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10CDAB17"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B7522E">
        <w:rPr>
          <w:rFonts w:ascii="Arial" w:eastAsia="宋体" w:hAnsi="Arial"/>
          <w:b/>
          <w:szCs w:val="22"/>
          <w:lang w:eastAsia="zh-CN"/>
        </w:rPr>
        <w:t>10</w:t>
      </w:r>
      <w:r w:rsidR="007F4039">
        <w:rPr>
          <w:rFonts w:ascii="Arial" w:eastAsia="宋体" w:hAnsi="Arial"/>
          <w:b/>
          <w:szCs w:val="22"/>
          <w:lang w:eastAsia="zh-CN"/>
        </w:rPr>
        <w:t>6</w:t>
      </w:r>
      <w:r w:rsidR="000B3D3C">
        <w:rPr>
          <w:rFonts w:ascii="Arial" w:eastAsia="宋体" w:hAnsi="Arial"/>
          <w:b/>
          <w:szCs w:val="22"/>
          <w:lang w:eastAsia="zh-CN"/>
        </w:rPr>
        <w:t>-e</w:t>
      </w:r>
      <w:r w:rsidR="00BD7E76" w:rsidRPr="005634ED">
        <w:rPr>
          <w:rFonts w:ascii="Arial" w:eastAsia="MS Mincho" w:hAnsi="Arial"/>
          <w:b/>
          <w:szCs w:val="22"/>
          <w:lang w:eastAsia="ja-JP"/>
        </w:rPr>
        <w:tab/>
      </w:r>
      <w:r w:rsidR="004543DC" w:rsidRPr="004543DC">
        <w:rPr>
          <w:rFonts w:ascii="Arial" w:eastAsia="宋体" w:hAnsi="Arial"/>
          <w:b/>
          <w:szCs w:val="22"/>
        </w:rPr>
        <w:t>R1-</w:t>
      </w:r>
      <w:r w:rsidR="007F4039" w:rsidRPr="004543DC">
        <w:rPr>
          <w:rFonts w:ascii="Arial" w:eastAsia="宋体" w:hAnsi="Arial"/>
          <w:b/>
          <w:szCs w:val="22"/>
        </w:rPr>
        <w:t>2</w:t>
      </w:r>
      <w:r w:rsidR="007F4039">
        <w:rPr>
          <w:rFonts w:ascii="Arial" w:eastAsia="宋体" w:hAnsi="Arial"/>
          <w:b/>
          <w:szCs w:val="22"/>
        </w:rPr>
        <w:t>1</w:t>
      </w:r>
      <w:r w:rsidR="00067592">
        <w:rPr>
          <w:rFonts w:ascii="Arial" w:eastAsia="宋体" w:hAnsi="Arial"/>
          <w:b/>
          <w:szCs w:val="22"/>
        </w:rPr>
        <w:t>07840</w:t>
      </w:r>
    </w:p>
    <w:p w14:paraId="5F04922C" w14:textId="17B37D76"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392A65" w:rsidRPr="00392A65">
        <w:rPr>
          <w:rFonts w:ascii="Arial" w:eastAsia="宋体" w:hAnsi="Arial"/>
          <w:b/>
          <w:bCs/>
          <w:szCs w:val="22"/>
          <w:lang w:val="en-GB" w:eastAsia="zh-CN"/>
        </w:rPr>
        <w:t>August 16</w:t>
      </w:r>
      <w:r w:rsidR="00392A65" w:rsidRPr="00392A65">
        <w:rPr>
          <w:rFonts w:ascii="Arial" w:eastAsia="宋体" w:hAnsi="Arial"/>
          <w:b/>
          <w:bCs/>
          <w:szCs w:val="22"/>
          <w:vertAlign w:val="superscript"/>
          <w:lang w:val="en-GB" w:eastAsia="zh-CN"/>
        </w:rPr>
        <w:t>th</w:t>
      </w:r>
      <w:r w:rsidR="00392A65" w:rsidRPr="00392A65">
        <w:rPr>
          <w:rFonts w:ascii="Arial" w:eastAsia="宋体" w:hAnsi="Arial"/>
          <w:b/>
          <w:bCs/>
          <w:szCs w:val="22"/>
          <w:lang w:val="en-GB" w:eastAsia="zh-CN"/>
        </w:rPr>
        <w:t xml:space="preserve"> – 27</w:t>
      </w:r>
      <w:r w:rsidR="00392A65" w:rsidRPr="00392A65">
        <w:rPr>
          <w:rFonts w:ascii="Arial" w:eastAsia="宋体" w:hAnsi="Arial"/>
          <w:b/>
          <w:bCs/>
          <w:szCs w:val="22"/>
          <w:vertAlign w:val="superscript"/>
          <w:lang w:val="en-GB" w:eastAsia="zh-CN"/>
        </w:rPr>
        <w:t>th</w:t>
      </w:r>
      <w:r w:rsidRPr="00C5186E">
        <w:rPr>
          <w:rFonts w:ascii="Arial" w:eastAsia="宋体" w:hAnsi="Arial"/>
          <w:b/>
          <w:szCs w:val="22"/>
          <w:lang w:eastAsia="zh-CN"/>
        </w:rPr>
        <w:t>, 202</w:t>
      </w:r>
      <w:r w:rsidR="00094E8D">
        <w:rPr>
          <w:rFonts w:ascii="Arial" w:eastAsia="宋体" w:hAnsi="Arial"/>
          <w:b/>
          <w:szCs w:val="22"/>
          <w:lang w:eastAsia="zh-CN"/>
        </w:rPr>
        <w:t>1</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7B6D37AB"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3D1968" w:rsidRPr="003D1968">
        <w:rPr>
          <w:rFonts w:eastAsia="MS Gothic"/>
          <w:noProof w:val="0"/>
          <w:sz w:val="24"/>
          <w:szCs w:val="22"/>
        </w:rPr>
        <w:t>inter-cell multi-TRP operation</w:t>
      </w:r>
    </w:p>
    <w:p w14:paraId="4EA871AB" w14:textId="6AED5A64"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8A15CE">
        <w:rPr>
          <w:rFonts w:eastAsia="MS Gothic"/>
          <w:noProof w:val="0"/>
          <w:sz w:val="24"/>
          <w:szCs w:val="22"/>
        </w:rPr>
        <w:t>2.</w:t>
      </w:r>
      <w:r w:rsidR="00624984">
        <w:rPr>
          <w:rFonts w:eastAsia="MS Gothic"/>
          <w:noProof w:val="0"/>
          <w:sz w:val="24"/>
          <w:szCs w:val="22"/>
        </w:rPr>
        <w:t>2</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65DE5E6F" w:rsidR="008A15CE" w:rsidRPr="00453280" w:rsidRDefault="008315E8" w:rsidP="00E6604D">
      <w:pPr>
        <w:spacing w:beforeLines="50" w:before="120" w:afterLines="50" w:after="120"/>
        <w:jc w:val="both"/>
        <w:rPr>
          <w:rFonts w:eastAsiaTheme="minorEastAsia"/>
          <w:color w:val="000000"/>
          <w:sz w:val="22"/>
          <w:szCs w:val="22"/>
          <w:lang w:val="x-none" w:eastAsia="zh-CN"/>
        </w:rPr>
      </w:pPr>
      <w:r w:rsidRPr="00453280">
        <w:rPr>
          <w:rFonts w:eastAsiaTheme="minorEastAsia"/>
          <w:color w:val="000000"/>
          <w:sz w:val="22"/>
          <w:szCs w:val="22"/>
          <w:lang w:val="x-none" w:eastAsia="zh-CN"/>
        </w:rPr>
        <w:t>In RAN#86 meeting, a new WID</w:t>
      </w:r>
      <w:r w:rsidR="0017526D" w:rsidRPr="00453280">
        <w:rPr>
          <w:rFonts w:eastAsiaTheme="minorEastAsia"/>
          <w:color w:val="000000"/>
          <w:sz w:val="22"/>
          <w:szCs w:val="22"/>
          <w:lang w:val="x-none" w:eastAsia="zh-CN"/>
        </w:rPr>
        <w:t xml:space="preserve"> [1]</w:t>
      </w:r>
      <w:r w:rsidRPr="00453280">
        <w:rPr>
          <w:rFonts w:eastAsiaTheme="minorEastAsia"/>
          <w:color w:val="000000"/>
          <w:sz w:val="22"/>
          <w:szCs w:val="22"/>
          <w:lang w:val="x-none" w:eastAsia="zh-CN"/>
        </w:rPr>
        <w:t xml:space="preserve"> of ‘Further enhancements on MIMO for NR’ was approved.</w:t>
      </w:r>
      <w:r w:rsidR="008C0512">
        <w:rPr>
          <w:rFonts w:eastAsiaTheme="minorEastAsia"/>
          <w:color w:val="000000"/>
          <w:sz w:val="22"/>
          <w:szCs w:val="22"/>
          <w:lang w:val="x-none" w:eastAsia="zh-CN"/>
        </w:rPr>
        <w:t xml:space="preserve"> And the WID was updated [2] in RAN#92</w:t>
      </w:r>
      <w:r w:rsidR="00067592">
        <w:rPr>
          <w:rFonts w:eastAsiaTheme="minorEastAsia"/>
          <w:color w:val="000000"/>
          <w:sz w:val="22"/>
          <w:szCs w:val="22"/>
          <w:lang w:val="x-none" w:eastAsia="zh-CN"/>
        </w:rPr>
        <w:t>e</w:t>
      </w:r>
      <w:r w:rsidR="008C0512">
        <w:rPr>
          <w:rFonts w:eastAsiaTheme="minorEastAsia"/>
          <w:color w:val="000000"/>
          <w:sz w:val="22"/>
          <w:szCs w:val="22"/>
          <w:lang w:val="x-none" w:eastAsia="zh-CN"/>
        </w:rPr>
        <w:t xml:space="preserve"> meeting.</w:t>
      </w:r>
      <w:r w:rsidR="00D50A99" w:rsidRPr="00453280">
        <w:rPr>
          <w:rFonts w:eastAsiaTheme="minorEastAsia"/>
          <w:color w:val="000000"/>
          <w:sz w:val="22"/>
          <w:szCs w:val="22"/>
          <w:lang w:val="x-none" w:eastAsia="zh-CN"/>
        </w:rPr>
        <w:t xml:space="preserve"> </w:t>
      </w:r>
      <w:r w:rsidR="00E6604D" w:rsidRPr="00E6604D">
        <w:rPr>
          <w:rFonts w:eastAsiaTheme="minorEastAsia"/>
          <w:color w:val="000000"/>
          <w:sz w:val="22"/>
          <w:szCs w:val="22"/>
          <w:lang w:val="x-none" w:eastAsia="zh-CN"/>
        </w:rPr>
        <w:t>In this contribution, we discuss the item 2-b for inter-cell multi-TRP operation.</w:t>
      </w:r>
    </w:p>
    <w:p w14:paraId="1B365D3B" w14:textId="77777777" w:rsidR="00A64ED0" w:rsidRPr="00453280" w:rsidRDefault="00A64ED0" w:rsidP="00C30910">
      <w:pPr>
        <w:spacing w:beforeLines="50" w:before="120" w:afterLines="50" w:after="120"/>
        <w:jc w:val="both"/>
        <w:rPr>
          <w:rFonts w:eastAsiaTheme="minorEastAsia"/>
          <w:color w:val="000000"/>
          <w:sz w:val="22"/>
          <w:szCs w:val="22"/>
          <w:lang w:val="x-none" w:eastAsia="zh-CN"/>
        </w:rPr>
      </w:pPr>
    </w:p>
    <w:p w14:paraId="690113A0" w14:textId="331B4739" w:rsidR="00F2224D" w:rsidRDefault="007B6448" w:rsidP="00F2224D">
      <w:pPr>
        <w:pStyle w:val="1"/>
      </w:pPr>
      <w:r>
        <w:t>Configuration of cells with different PCI</w:t>
      </w:r>
      <w:r w:rsidR="00F2224D" w:rsidRPr="006A1D17">
        <w:t xml:space="preserve"> </w:t>
      </w:r>
    </w:p>
    <w:p w14:paraId="69BB671A" w14:textId="6A714A60" w:rsidR="00B71681" w:rsidRDefault="0040774B"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w:t>
      </w:r>
      <w:r w:rsidR="00110608">
        <w:rPr>
          <w:rFonts w:eastAsiaTheme="minorEastAsia"/>
          <w:color w:val="000000"/>
          <w:sz w:val="22"/>
          <w:szCs w:val="22"/>
          <w:lang w:val="x-none" w:eastAsia="zh-CN"/>
        </w:rPr>
        <w:t>previous RAN1</w:t>
      </w:r>
      <w:r>
        <w:rPr>
          <w:rFonts w:eastAsiaTheme="minorEastAsia"/>
          <w:color w:val="000000"/>
          <w:sz w:val="22"/>
          <w:szCs w:val="22"/>
          <w:lang w:val="x-none" w:eastAsia="zh-CN"/>
        </w:rPr>
        <w:t xml:space="preserve"> meeting</w:t>
      </w:r>
      <w:r w:rsidR="00110608">
        <w:rPr>
          <w:rFonts w:eastAsiaTheme="minorEastAsia"/>
          <w:color w:val="000000"/>
          <w:sz w:val="22"/>
          <w:szCs w:val="22"/>
          <w:lang w:val="x-none" w:eastAsia="zh-CN"/>
        </w:rPr>
        <w:t>s</w:t>
      </w:r>
      <w:r>
        <w:rPr>
          <w:rFonts w:eastAsiaTheme="minorEastAsia"/>
          <w:color w:val="000000"/>
          <w:sz w:val="22"/>
          <w:szCs w:val="22"/>
          <w:lang w:val="x-none" w:eastAsia="zh-CN"/>
        </w:rPr>
        <w:t xml:space="preserve">, </w:t>
      </w:r>
      <w:r w:rsidR="00DC342A">
        <w:rPr>
          <w:rFonts w:eastAsiaTheme="minorEastAsia"/>
          <w:color w:val="000000"/>
          <w:sz w:val="22"/>
          <w:szCs w:val="22"/>
          <w:lang w:val="x-none" w:eastAsia="zh-CN"/>
        </w:rPr>
        <w:t xml:space="preserve">it was agreed to support </w:t>
      </w:r>
      <w:r w:rsidR="00DC342A" w:rsidRPr="00DC342A">
        <w:rPr>
          <w:rFonts w:eastAsiaTheme="minorEastAsia"/>
          <w:color w:val="000000"/>
          <w:sz w:val="22"/>
          <w:szCs w:val="22"/>
          <w:lang w:val="x-none" w:eastAsia="zh-CN"/>
        </w:rPr>
        <w:t>RRC configuration of non-serving cell</w:t>
      </w:r>
      <w:r w:rsidR="003D2A73">
        <w:rPr>
          <w:rFonts w:eastAsiaTheme="minorEastAsia"/>
          <w:color w:val="000000"/>
          <w:sz w:val="22"/>
          <w:szCs w:val="22"/>
          <w:lang w:val="x-none" w:eastAsia="zh-CN"/>
        </w:rPr>
        <w:t xml:space="preserve">(s), </w:t>
      </w:r>
      <w:proofErr w:type="spellStart"/>
      <w:r w:rsidR="003D2A73">
        <w:rPr>
          <w:rFonts w:eastAsiaTheme="minorEastAsia"/>
          <w:color w:val="000000"/>
          <w:sz w:val="22"/>
          <w:szCs w:val="22"/>
          <w:lang w:val="x-none" w:eastAsia="zh-CN"/>
        </w:rPr>
        <w:t>a.k.a</w:t>
      </w:r>
      <w:proofErr w:type="spellEnd"/>
      <w:r w:rsidR="00607110">
        <w:rPr>
          <w:rFonts w:eastAsiaTheme="minorEastAsia"/>
          <w:color w:val="000000"/>
          <w:sz w:val="22"/>
          <w:szCs w:val="22"/>
          <w:lang w:val="x-none" w:eastAsia="zh-CN"/>
        </w:rPr>
        <w:t>, cell(s) with different PCI</w:t>
      </w:r>
      <w:r w:rsidR="00DC342A">
        <w:rPr>
          <w:rFonts w:eastAsiaTheme="minorEastAsia"/>
          <w:color w:val="000000"/>
          <w:sz w:val="22"/>
          <w:szCs w:val="22"/>
          <w:lang w:val="x-none" w:eastAsia="zh-CN"/>
        </w:rPr>
        <w:t xml:space="preserve">, and </w:t>
      </w:r>
      <w:r w:rsidR="00B71681">
        <w:rPr>
          <w:rFonts w:eastAsiaTheme="minorEastAsia"/>
          <w:color w:val="000000"/>
          <w:sz w:val="22"/>
          <w:szCs w:val="22"/>
          <w:lang w:val="x-none" w:eastAsia="zh-CN"/>
        </w:rPr>
        <w:t>associate n</w:t>
      </w:r>
      <w:r w:rsidR="00B71681" w:rsidRPr="00B71681">
        <w:rPr>
          <w:rFonts w:eastAsiaTheme="minorEastAsia"/>
          <w:color w:val="000000"/>
          <w:sz w:val="22"/>
          <w:szCs w:val="22"/>
          <w:lang w:val="x-none" w:eastAsia="zh-CN"/>
        </w:rPr>
        <w:t>on-serving cell</w:t>
      </w:r>
      <w:r w:rsidR="003D2A73">
        <w:rPr>
          <w:rFonts w:eastAsiaTheme="minorEastAsia"/>
          <w:color w:val="000000"/>
          <w:sz w:val="22"/>
          <w:szCs w:val="22"/>
          <w:lang w:val="x-none" w:eastAsia="zh-CN"/>
        </w:rPr>
        <w:t>(s)</w:t>
      </w:r>
      <w:r w:rsidR="00B71681" w:rsidRPr="00B71681">
        <w:rPr>
          <w:rFonts w:eastAsiaTheme="minorEastAsia"/>
          <w:color w:val="000000"/>
          <w:sz w:val="22"/>
          <w:szCs w:val="22"/>
          <w:lang w:val="x-none" w:eastAsia="zh-CN"/>
        </w:rPr>
        <w:t xml:space="preserve"> with the TCI state and/or QCL-info at least when neighbor cell SSB</w:t>
      </w:r>
      <w:r w:rsidR="00B71681">
        <w:rPr>
          <w:rFonts w:eastAsiaTheme="minorEastAsia"/>
          <w:color w:val="000000"/>
          <w:sz w:val="22"/>
          <w:szCs w:val="22"/>
          <w:lang w:val="x-none" w:eastAsia="zh-CN"/>
        </w:rPr>
        <w:t xml:space="preserve"> </w:t>
      </w:r>
      <w:r w:rsidR="00B71681" w:rsidRPr="00B71681">
        <w:rPr>
          <w:rFonts w:eastAsiaTheme="minorEastAsia"/>
          <w:color w:val="000000"/>
          <w:sz w:val="22"/>
          <w:szCs w:val="22"/>
          <w:lang w:val="x-none" w:eastAsia="zh-CN"/>
        </w:rPr>
        <w:t xml:space="preserve">is used as QCL </w:t>
      </w:r>
      <w:proofErr w:type="spellStart"/>
      <w:r w:rsidR="00B71681" w:rsidRPr="00B71681">
        <w:rPr>
          <w:rFonts w:eastAsiaTheme="minorEastAsia"/>
          <w:color w:val="000000"/>
          <w:sz w:val="22"/>
          <w:szCs w:val="22"/>
          <w:lang w:val="x-none" w:eastAsia="zh-CN"/>
        </w:rPr>
        <w:t>referenceSignal</w:t>
      </w:r>
      <w:proofErr w:type="spellEnd"/>
      <w:r w:rsidR="00B71681">
        <w:rPr>
          <w:rFonts w:eastAsiaTheme="minorEastAsia"/>
          <w:color w:val="000000"/>
          <w:sz w:val="22"/>
          <w:szCs w:val="22"/>
          <w:lang w:val="x-none" w:eastAsia="zh-CN"/>
        </w:rPr>
        <w:t>.</w:t>
      </w:r>
      <w:r w:rsidR="0069005F">
        <w:rPr>
          <w:rFonts w:eastAsiaTheme="minorEastAsia"/>
          <w:color w:val="000000"/>
          <w:sz w:val="22"/>
          <w:szCs w:val="22"/>
          <w:lang w:val="x-none" w:eastAsia="zh-CN"/>
        </w:rPr>
        <w:t xml:space="preserve"> However, how to configure </w:t>
      </w:r>
      <w:r w:rsidR="0089524B">
        <w:rPr>
          <w:rFonts w:eastAsiaTheme="minorEastAsia"/>
          <w:color w:val="000000"/>
          <w:sz w:val="22"/>
          <w:szCs w:val="22"/>
          <w:lang w:val="x-none" w:eastAsia="zh-CN"/>
        </w:rPr>
        <w:t>the cells with different PCI</w:t>
      </w:r>
      <w:r w:rsidR="00330466">
        <w:rPr>
          <w:rFonts w:eastAsiaTheme="minorEastAsia"/>
          <w:color w:val="000000"/>
          <w:sz w:val="22"/>
          <w:szCs w:val="22"/>
          <w:lang w:val="x-none" w:eastAsia="zh-CN"/>
        </w:rPr>
        <w:t xml:space="preserve"> should be further discussed.</w:t>
      </w:r>
      <w:r w:rsidR="00267E47">
        <w:rPr>
          <w:rFonts w:eastAsiaTheme="minorEastAsia"/>
          <w:color w:val="000000"/>
          <w:sz w:val="22"/>
          <w:szCs w:val="22"/>
          <w:lang w:val="x-none" w:eastAsia="zh-CN"/>
        </w:rPr>
        <w:t xml:space="preserve"> In RAN1#104-e and RAN1#104b-e meetings, following agreements were made.</w:t>
      </w:r>
    </w:p>
    <w:tbl>
      <w:tblPr>
        <w:tblStyle w:val="af"/>
        <w:tblW w:w="0" w:type="auto"/>
        <w:tblLook w:val="04A0" w:firstRow="1" w:lastRow="0" w:firstColumn="1" w:lastColumn="0" w:noHBand="0" w:noVBand="1"/>
      </w:tblPr>
      <w:tblGrid>
        <w:gridCol w:w="9962"/>
      </w:tblGrid>
      <w:tr w:rsidR="00267E47" w14:paraId="7C75F6F1" w14:textId="77777777" w:rsidTr="00FF226F">
        <w:tc>
          <w:tcPr>
            <w:tcW w:w="9962" w:type="dxa"/>
          </w:tcPr>
          <w:p w14:paraId="5B0368B8" w14:textId="04C768E7" w:rsidR="00267E47" w:rsidRPr="00453280" w:rsidRDefault="00267E47" w:rsidP="00FF226F">
            <w:pPr>
              <w:spacing w:before="0" w:after="0"/>
              <w:rPr>
                <w:rFonts w:eastAsia="Batang"/>
                <w:b/>
                <w:bCs/>
                <w:sz w:val="20"/>
                <w:szCs w:val="20"/>
                <w:lang w:eastAsia="zh-CN"/>
              </w:rPr>
            </w:pPr>
            <w:r w:rsidRPr="00453280">
              <w:rPr>
                <w:rFonts w:eastAsia="Batang"/>
                <w:b/>
                <w:bCs/>
                <w:sz w:val="20"/>
                <w:szCs w:val="20"/>
                <w:highlight w:val="green"/>
                <w:lang w:val="en-GB" w:eastAsia="zh-CN"/>
              </w:rPr>
              <w:t>Agreement</w:t>
            </w:r>
            <w:r w:rsidR="00F106B0">
              <w:rPr>
                <w:rFonts w:eastAsia="Batang"/>
                <w:b/>
                <w:bCs/>
                <w:sz w:val="20"/>
                <w:szCs w:val="20"/>
                <w:lang w:val="en-GB" w:eastAsia="zh-CN"/>
              </w:rPr>
              <w:t xml:space="preserve"> (RAN1#104-e)</w:t>
            </w:r>
          </w:p>
          <w:p w14:paraId="28DD2E5F" w14:textId="77777777" w:rsidR="003F11E4" w:rsidRPr="003F11E4" w:rsidRDefault="003F11E4" w:rsidP="003F11E4">
            <w:pPr>
              <w:spacing w:before="0" w:after="0"/>
              <w:rPr>
                <w:rFonts w:eastAsia="Malgun Gothic"/>
                <w:iCs/>
                <w:sz w:val="20"/>
                <w:szCs w:val="20"/>
                <w:lang w:eastAsia="zh-CN"/>
              </w:rPr>
            </w:pPr>
            <w:r w:rsidRPr="003F11E4">
              <w:rPr>
                <w:rFonts w:eastAsia="Malgun Gothic"/>
                <w:iCs/>
                <w:sz w:val="20"/>
                <w:szCs w:val="20"/>
                <w:lang w:eastAsia="zh-CN"/>
              </w:rPr>
              <w:t>Non-serving cell information at least includes non-serving cell PCI to support inter-cell multi-DCI multi-TRP operation</w:t>
            </w:r>
          </w:p>
          <w:p w14:paraId="4848B593" w14:textId="70DF774D" w:rsidR="003F11E4" w:rsidRDefault="003F11E4" w:rsidP="003F11E4">
            <w:pPr>
              <w:numPr>
                <w:ilvl w:val="0"/>
                <w:numId w:val="45"/>
              </w:numPr>
              <w:spacing w:before="0" w:after="0"/>
              <w:rPr>
                <w:rFonts w:eastAsia="Malgun Gothic"/>
                <w:iCs/>
                <w:sz w:val="20"/>
                <w:szCs w:val="20"/>
                <w:lang w:eastAsia="zh-CN"/>
              </w:rPr>
            </w:pPr>
            <w:r w:rsidRPr="003F11E4">
              <w:rPr>
                <w:rFonts w:eastAsia="Malgun Gothic"/>
                <w:iCs/>
                <w:sz w:val="20"/>
                <w:szCs w:val="20"/>
                <w:lang w:eastAsia="zh-CN"/>
              </w:rPr>
              <w:t>FFS: Whether the indication of PCI is implicit or explicit</w:t>
            </w:r>
          </w:p>
          <w:p w14:paraId="47F0B60A" w14:textId="77777777" w:rsidR="00746546" w:rsidRPr="003F11E4" w:rsidRDefault="00746546" w:rsidP="00453280">
            <w:pPr>
              <w:spacing w:before="0" w:after="0"/>
              <w:ind w:left="800"/>
              <w:rPr>
                <w:rFonts w:eastAsia="Malgun Gothic"/>
                <w:iCs/>
                <w:sz w:val="20"/>
                <w:szCs w:val="20"/>
                <w:lang w:eastAsia="zh-CN"/>
              </w:rPr>
            </w:pPr>
          </w:p>
          <w:p w14:paraId="4C7B179D" w14:textId="116BCC36" w:rsidR="00746546" w:rsidRPr="00746546" w:rsidRDefault="00746546" w:rsidP="00352CB1">
            <w:pPr>
              <w:spacing w:before="0" w:after="0"/>
              <w:rPr>
                <w:rFonts w:eastAsia="Malgun Gothic"/>
                <w:iCs/>
                <w:sz w:val="20"/>
                <w:szCs w:val="20"/>
                <w:lang w:eastAsia="zh-CN"/>
              </w:rPr>
            </w:pPr>
            <w:r w:rsidRPr="00453280">
              <w:rPr>
                <w:rFonts w:eastAsia="Batang"/>
                <w:b/>
                <w:bCs/>
                <w:sz w:val="20"/>
                <w:szCs w:val="20"/>
                <w:highlight w:val="green"/>
                <w:lang w:val="en-GB" w:eastAsia="zh-CN"/>
              </w:rPr>
              <w:t>Agreement</w:t>
            </w:r>
            <w:r w:rsidR="00F106B0">
              <w:rPr>
                <w:rFonts w:eastAsia="Batang"/>
                <w:b/>
                <w:bCs/>
                <w:sz w:val="20"/>
                <w:szCs w:val="20"/>
                <w:lang w:val="en-GB" w:eastAsia="zh-CN"/>
              </w:rPr>
              <w:t xml:space="preserve"> (RAN1#104-e)</w:t>
            </w:r>
          </w:p>
          <w:p w14:paraId="2945B74E" w14:textId="77777777" w:rsidR="00746546" w:rsidRPr="00746546" w:rsidRDefault="00746546">
            <w:pPr>
              <w:spacing w:before="0" w:after="0"/>
              <w:rPr>
                <w:rFonts w:eastAsia="Malgun Gothic"/>
                <w:iCs/>
                <w:sz w:val="20"/>
                <w:szCs w:val="20"/>
                <w:lang w:eastAsia="zh-CN"/>
              </w:rPr>
            </w:pPr>
            <w:r w:rsidRPr="00746546">
              <w:rPr>
                <w:rFonts w:eastAsia="Malgun Gothic"/>
                <w:iCs/>
                <w:sz w:val="20"/>
                <w:szCs w:val="20"/>
                <w:lang w:eastAsia="zh-CN"/>
              </w:rPr>
              <w:t xml:space="preserve">At least following non-serving cell SSB information are needed in inter-cell MTRP operation </w:t>
            </w:r>
          </w:p>
          <w:p w14:paraId="7295F9EF" w14:textId="77777777" w:rsidR="00746546" w:rsidRPr="00746546" w:rsidRDefault="00746546">
            <w:pPr>
              <w:spacing w:before="0" w:after="0"/>
              <w:rPr>
                <w:rFonts w:eastAsia="Malgun Gothic"/>
                <w:iCs/>
                <w:sz w:val="20"/>
                <w:szCs w:val="20"/>
                <w:lang w:eastAsia="zh-CN"/>
              </w:rPr>
            </w:pPr>
            <w:r w:rsidRPr="00746546">
              <w:rPr>
                <w:rFonts w:eastAsia="Malgun Gothic" w:hint="eastAsia"/>
                <w:iCs/>
                <w:sz w:val="20"/>
                <w:szCs w:val="20"/>
                <w:lang w:eastAsia="zh-CN"/>
              </w:rPr>
              <w:t>•</w:t>
            </w:r>
            <w:r w:rsidRPr="00746546">
              <w:rPr>
                <w:rFonts w:eastAsia="Malgun Gothic"/>
                <w:iCs/>
                <w:sz w:val="20"/>
                <w:szCs w:val="20"/>
                <w:lang w:eastAsia="zh-CN"/>
              </w:rPr>
              <w:tab/>
              <w:t>SSB time domain position</w:t>
            </w:r>
          </w:p>
          <w:p w14:paraId="7EA2346A" w14:textId="77777777" w:rsidR="00746546" w:rsidRPr="00746546" w:rsidRDefault="00746546">
            <w:pPr>
              <w:spacing w:before="0" w:after="0"/>
              <w:rPr>
                <w:rFonts w:eastAsia="Malgun Gothic"/>
                <w:iCs/>
                <w:sz w:val="20"/>
                <w:szCs w:val="20"/>
                <w:lang w:eastAsia="zh-CN"/>
              </w:rPr>
            </w:pPr>
            <w:r w:rsidRPr="00746546">
              <w:rPr>
                <w:rFonts w:eastAsia="Malgun Gothic" w:hint="eastAsia"/>
                <w:iCs/>
                <w:sz w:val="20"/>
                <w:szCs w:val="20"/>
                <w:lang w:eastAsia="zh-CN"/>
              </w:rPr>
              <w:t>•</w:t>
            </w:r>
            <w:r w:rsidRPr="00746546">
              <w:rPr>
                <w:rFonts w:eastAsia="Malgun Gothic"/>
                <w:iCs/>
                <w:sz w:val="20"/>
                <w:szCs w:val="20"/>
                <w:lang w:eastAsia="zh-CN"/>
              </w:rPr>
              <w:tab/>
              <w:t>SSB transmission periodicity</w:t>
            </w:r>
          </w:p>
          <w:p w14:paraId="2FC1CA9C" w14:textId="77777777" w:rsidR="00746546" w:rsidRPr="00746546" w:rsidRDefault="00746546">
            <w:pPr>
              <w:spacing w:before="0" w:after="0"/>
              <w:rPr>
                <w:rFonts w:eastAsia="Malgun Gothic"/>
                <w:iCs/>
                <w:sz w:val="20"/>
                <w:szCs w:val="20"/>
                <w:lang w:eastAsia="zh-CN"/>
              </w:rPr>
            </w:pPr>
            <w:r w:rsidRPr="00746546">
              <w:rPr>
                <w:rFonts w:eastAsia="Malgun Gothic" w:hint="eastAsia"/>
                <w:iCs/>
                <w:sz w:val="20"/>
                <w:szCs w:val="20"/>
                <w:lang w:eastAsia="zh-CN"/>
              </w:rPr>
              <w:t>•</w:t>
            </w:r>
            <w:r w:rsidRPr="00746546">
              <w:rPr>
                <w:rFonts w:eastAsia="Malgun Gothic"/>
                <w:iCs/>
                <w:sz w:val="20"/>
                <w:szCs w:val="20"/>
                <w:lang w:eastAsia="zh-CN"/>
              </w:rPr>
              <w:tab/>
              <w:t>SSB transmission power</w:t>
            </w:r>
          </w:p>
          <w:p w14:paraId="38867F24" w14:textId="77777777" w:rsidR="00746546" w:rsidRPr="00746546" w:rsidRDefault="00746546" w:rsidP="00746546">
            <w:pPr>
              <w:spacing w:before="0" w:after="0"/>
              <w:rPr>
                <w:rFonts w:eastAsia="Malgun Gothic"/>
                <w:iCs/>
                <w:sz w:val="20"/>
                <w:szCs w:val="20"/>
                <w:lang w:eastAsia="zh-CN"/>
              </w:rPr>
            </w:pPr>
            <w:r w:rsidRPr="00746546">
              <w:rPr>
                <w:rFonts w:eastAsia="Malgun Gothic"/>
                <w:iCs/>
                <w:sz w:val="20"/>
                <w:szCs w:val="20"/>
                <w:lang w:eastAsia="zh-CN"/>
              </w:rPr>
              <w:t>FFS: Other non-serving cell information</w:t>
            </w:r>
          </w:p>
          <w:p w14:paraId="7D8B5270" w14:textId="3CBDB51C" w:rsidR="00267E47" w:rsidRDefault="00746546" w:rsidP="00746546">
            <w:pPr>
              <w:spacing w:before="0" w:after="0"/>
              <w:rPr>
                <w:rFonts w:eastAsia="Malgun Gothic"/>
                <w:iCs/>
                <w:sz w:val="20"/>
                <w:szCs w:val="20"/>
                <w:lang w:eastAsia="zh-CN"/>
              </w:rPr>
            </w:pPr>
            <w:r w:rsidRPr="00746546">
              <w:rPr>
                <w:rFonts w:eastAsia="Malgun Gothic"/>
                <w:iCs/>
                <w:sz w:val="20"/>
                <w:szCs w:val="20"/>
                <w:lang w:eastAsia="zh-CN"/>
              </w:rPr>
              <w:t>FFS: Whether indication of these information is implicit or explicit</w:t>
            </w:r>
          </w:p>
          <w:p w14:paraId="54D9C8AA" w14:textId="77777777" w:rsidR="00F106B0" w:rsidRDefault="00F106B0" w:rsidP="00746546">
            <w:pPr>
              <w:spacing w:before="0" w:after="0"/>
              <w:rPr>
                <w:rFonts w:eastAsia="Malgun Gothic"/>
                <w:iCs/>
                <w:sz w:val="20"/>
                <w:szCs w:val="20"/>
                <w:lang w:eastAsia="zh-CN"/>
              </w:rPr>
            </w:pPr>
          </w:p>
          <w:p w14:paraId="3AF74932" w14:textId="2DFE2B30" w:rsidR="00F106B0" w:rsidRPr="00F106B0" w:rsidRDefault="00F106B0" w:rsidP="00F106B0">
            <w:pPr>
              <w:spacing w:before="0" w:after="0"/>
              <w:rPr>
                <w:rFonts w:eastAsiaTheme="minorEastAsia"/>
                <w:b/>
                <w:bCs/>
                <w:iCs/>
                <w:sz w:val="20"/>
                <w:szCs w:val="20"/>
                <w:lang w:eastAsia="zh-CN"/>
              </w:rPr>
            </w:pPr>
            <w:r w:rsidRPr="00453280">
              <w:rPr>
                <w:rFonts w:eastAsia="Batang"/>
                <w:b/>
                <w:bCs/>
                <w:sz w:val="20"/>
                <w:szCs w:val="20"/>
                <w:highlight w:val="green"/>
                <w:lang w:val="en-GB" w:eastAsia="zh-CN"/>
              </w:rPr>
              <w:t>Agreement</w:t>
            </w:r>
            <w:r>
              <w:rPr>
                <w:rFonts w:eastAsia="Batang"/>
                <w:b/>
                <w:bCs/>
                <w:sz w:val="20"/>
                <w:szCs w:val="20"/>
                <w:lang w:val="en-GB" w:eastAsia="zh-CN"/>
              </w:rPr>
              <w:t xml:space="preserve"> (RAN1#104b-e)</w:t>
            </w:r>
          </w:p>
          <w:p w14:paraId="3BBFD73C" w14:textId="77777777" w:rsidR="00F106B0" w:rsidRPr="00F106B0" w:rsidRDefault="00F106B0" w:rsidP="00F106B0">
            <w:pPr>
              <w:numPr>
                <w:ilvl w:val="0"/>
                <w:numId w:val="48"/>
              </w:numPr>
              <w:spacing w:before="0" w:after="0"/>
              <w:rPr>
                <w:rFonts w:eastAsiaTheme="minorEastAsia"/>
                <w:bCs/>
                <w:iCs/>
                <w:sz w:val="20"/>
                <w:szCs w:val="20"/>
                <w:lang w:eastAsia="zh-CN"/>
              </w:rPr>
            </w:pPr>
            <w:r w:rsidRPr="00F106B0">
              <w:rPr>
                <w:rFonts w:eastAsiaTheme="minorEastAsia"/>
                <w:bCs/>
                <w:iCs/>
                <w:sz w:val="20"/>
                <w:szCs w:val="20"/>
                <w:lang w:eastAsia="zh-CN"/>
              </w:rPr>
              <w:t>For intercell MTRP operation, 1 additional PCI different from the serving cell PCI is supported per CC</w:t>
            </w:r>
          </w:p>
          <w:p w14:paraId="49B0EAFE" w14:textId="77777777" w:rsidR="00F106B0" w:rsidRPr="00F106B0" w:rsidRDefault="00F106B0" w:rsidP="00F106B0">
            <w:pPr>
              <w:numPr>
                <w:ilvl w:val="1"/>
                <w:numId w:val="48"/>
              </w:numPr>
              <w:spacing w:before="0" w:after="0"/>
              <w:rPr>
                <w:rFonts w:eastAsiaTheme="minorEastAsia"/>
                <w:bCs/>
                <w:iCs/>
                <w:sz w:val="20"/>
                <w:szCs w:val="20"/>
                <w:lang w:eastAsia="zh-CN"/>
              </w:rPr>
            </w:pPr>
            <w:r w:rsidRPr="00F106B0">
              <w:rPr>
                <w:rFonts w:eastAsiaTheme="minorEastAsia"/>
                <w:bCs/>
                <w:iCs/>
                <w:sz w:val="20"/>
                <w:szCs w:val="20"/>
                <w:lang w:eastAsia="zh-CN"/>
              </w:rPr>
              <w:t>The additional PCI is the one associated with one or more TCI states that are activated for [CSI-RS for CSI]/PDSCH/PDCCH, per CC.</w:t>
            </w:r>
          </w:p>
          <w:p w14:paraId="2333F614" w14:textId="77777777" w:rsidR="00F106B0" w:rsidRPr="00F106B0" w:rsidRDefault="00F106B0" w:rsidP="00F106B0">
            <w:pPr>
              <w:numPr>
                <w:ilvl w:val="1"/>
                <w:numId w:val="48"/>
              </w:numPr>
              <w:spacing w:before="0" w:after="0"/>
              <w:rPr>
                <w:rFonts w:eastAsiaTheme="minorEastAsia"/>
                <w:bCs/>
                <w:iCs/>
                <w:sz w:val="20"/>
                <w:szCs w:val="20"/>
                <w:lang w:eastAsia="zh-CN"/>
              </w:rPr>
            </w:pPr>
            <w:r w:rsidRPr="00F106B0">
              <w:rPr>
                <w:rFonts w:eastAsiaTheme="minorEastAsia"/>
                <w:bCs/>
                <w:iCs/>
                <w:sz w:val="20"/>
                <w:szCs w:val="20"/>
                <w:lang w:eastAsia="zh-CN"/>
              </w:rPr>
              <w:t>Applicable at least for non-cross carrier QCL indication</w:t>
            </w:r>
          </w:p>
          <w:p w14:paraId="1B743502" w14:textId="77777777" w:rsidR="00F106B0" w:rsidRPr="00F106B0" w:rsidRDefault="00F106B0" w:rsidP="00F106B0">
            <w:pPr>
              <w:numPr>
                <w:ilvl w:val="2"/>
                <w:numId w:val="48"/>
              </w:numPr>
              <w:spacing w:before="0" w:after="0"/>
              <w:rPr>
                <w:rFonts w:eastAsiaTheme="minorEastAsia"/>
                <w:bCs/>
                <w:iCs/>
                <w:sz w:val="20"/>
                <w:szCs w:val="20"/>
                <w:lang w:eastAsia="zh-CN"/>
              </w:rPr>
            </w:pPr>
            <w:r w:rsidRPr="00F106B0">
              <w:rPr>
                <w:rFonts w:eastAsiaTheme="minorEastAsia"/>
                <w:bCs/>
                <w:iCs/>
                <w:sz w:val="20"/>
                <w:szCs w:val="20"/>
                <w:lang w:eastAsia="zh-CN"/>
              </w:rPr>
              <w:t>FFS: Cross carrier scheduling QCL indication</w:t>
            </w:r>
          </w:p>
          <w:p w14:paraId="54225C1A" w14:textId="77777777" w:rsidR="00F106B0" w:rsidRPr="00F106B0" w:rsidRDefault="00F106B0" w:rsidP="00F106B0">
            <w:pPr>
              <w:numPr>
                <w:ilvl w:val="0"/>
                <w:numId w:val="48"/>
              </w:numPr>
              <w:spacing w:before="0" w:after="0"/>
              <w:rPr>
                <w:rFonts w:eastAsiaTheme="minorEastAsia"/>
                <w:bCs/>
                <w:iCs/>
                <w:sz w:val="20"/>
                <w:szCs w:val="20"/>
                <w:lang w:eastAsia="zh-CN"/>
              </w:rPr>
            </w:pPr>
            <w:r w:rsidRPr="00F106B0">
              <w:rPr>
                <w:rFonts w:eastAsiaTheme="minorEastAsia"/>
                <w:bCs/>
                <w:iCs/>
                <w:sz w:val="20"/>
                <w:szCs w:val="20"/>
                <w:lang w:eastAsia="zh-CN"/>
              </w:rPr>
              <w:t>RAN1 to decide on the maximum number of PCIs different from the serving cell PCI per CC and/or across all CCs that can be RRC-configured for multi-DCI based inter-cell multi-TRP</w:t>
            </w:r>
          </w:p>
          <w:p w14:paraId="0F8856C8" w14:textId="7D53A633" w:rsidR="00F106B0" w:rsidRPr="00453280" w:rsidRDefault="00F106B0" w:rsidP="00453280">
            <w:pPr>
              <w:numPr>
                <w:ilvl w:val="0"/>
                <w:numId w:val="48"/>
              </w:numPr>
              <w:spacing w:before="0" w:after="0"/>
              <w:rPr>
                <w:rFonts w:eastAsiaTheme="minorEastAsia"/>
                <w:bCs/>
                <w:iCs/>
                <w:sz w:val="20"/>
                <w:szCs w:val="20"/>
                <w:lang w:eastAsia="zh-CN"/>
              </w:rPr>
            </w:pPr>
            <w:r w:rsidRPr="00F106B0">
              <w:rPr>
                <w:rFonts w:eastAsiaTheme="minorEastAsia"/>
                <w:bCs/>
                <w:iCs/>
                <w:sz w:val="20"/>
                <w:szCs w:val="20"/>
                <w:lang w:eastAsia="zh-CN"/>
              </w:rPr>
              <w:t>Above should be specified by reusing R15 QCL rules as concluded in RAN1#104-e</w:t>
            </w:r>
          </w:p>
        </w:tc>
      </w:tr>
    </w:tbl>
    <w:p w14:paraId="1F46619D" w14:textId="77777777" w:rsidR="00FD4775" w:rsidRDefault="00FD4775" w:rsidP="006D2468">
      <w:pPr>
        <w:spacing w:beforeLines="50" w:before="120" w:afterLines="50" w:after="120"/>
        <w:jc w:val="both"/>
        <w:rPr>
          <w:rFonts w:eastAsiaTheme="minorEastAsia"/>
          <w:color w:val="000000"/>
          <w:sz w:val="22"/>
          <w:szCs w:val="22"/>
          <w:lang w:val="x-none" w:eastAsia="zh-CN"/>
        </w:rPr>
      </w:pPr>
    </w:p>
    <w:p w14:paraId="1BD52701" w14:textId="1FAED49C" w:rsidR="00035504" w:rsidRDefault="00330466" w:rsidP="006D2468">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F</w:t>
      </w:r>
      <w:r>
        <w:rPr>
          <w:rFonts w:eastAsiaTheme="minorEastAsia"/>
          <w:color w:val="000000"/>
          <w:sz w:val="22"/>
          <w:szCs w:val="22"/>
          <w:lang w:val="x-none" w:eastAsia="zh-CN"/>
        </w:rPr>
        <w:t xml:space="preserve">or </w:t>
      </w:r>
      <w:r w:rsidR="0089524B">
        <w:rPr>
          <w:rFonts w:eastAsiaTheme="minorEastAsia"/>
          <w:color w:val="000000"/>
          <w:sz w:val="22"/>
          <w:szCs w:val="22"/>
          <w:lang w:val="x-none" w:eastAsia="zh-CN"/>
        </w:rPr>
        <w:t>cells with different PCI</w:t>
      </w:r>
      <w:r>
        <w:rPr>
          <w:rFonts w:eastAsiaTheme="minorEastAsia"/>
          <w:color w:val="000000"/>
          <w:sz w:val="22"/>
          <w:szCs w:val="22"/>
          <w:lang w:val="x-none" w:eastAsia="zh-CN"/>
        </w:rPr>
        <w:t xml:space="preserve">, it was agreed that the </w:t>
      </w:r>
      <w:r w:rsidR="0040774B" w:rsidRPr="0040774B">
        <w:rPr>
          <w:rFonts w:eastAsiaTheme="minorEastAsia"/>
          <w:color w:val="000000"/>
          <w:sz w:val="22"/>
          <w:szCs w:val="22"/>
          <w:lang w:val="x-none" w:eastAsia="zh-CN"/>
        </w:rPr>
        <w:t xml:space="preserve">information provided by SSB-Configuration-r16/ssb-InfoNcell-r16 and/or </w:t>
      </w:r>
      <w:proofErr w:type="spellStart"/>
      <w:r w:rsidR="0040774B" w:rsidRPr="0040774B">
        <w:rPr>
          <w:rFonts w:eastAsiaTheme="minorEastAsia"/>
          <w:color w:val="000000"/>
          <w:sz w:val="22"/>
          <w:szCs w:val="22"/>
          <w:lang w:val="x-none" w:eastAsia="zh-CN"/>
        </w:rPr>
        <w:t>MeasObject</w:t>
      </w:r>
      <w:proofErr w:type="spellEnd"/>
      <w:r w:rsidR="0040774B" w:rsidRPr="0040774B">
        <w:rPr>
          <w:rFonts w:eastAsiaTheme="minorEastAsia"/>
          <w:color w:val="000000"/>
          <w:sz w:val="22"/>
          <w:szCs w:val="22"/>
          <w:lang w:val="x-none" w:eastAsia="zh-CN"/>
        </w:rPr>
        <w:t xml:space="preserve"> can be starting point</w:t>
      </w:r>
      <w:r>
        <w:rPr>
          <w:rFonts w:eastAsiaTheme="minorEastAsia"/>
          <w:color w:val="000000"/>
          <w:sz w:val="22"/>
          <w:szCs w:val="22"/>
          <w:lang w:val="x-none" w:eastAsia="zh-CN"/>
        </w:rPr>
        <w:t xml:space="preserve">. </w:t>
      </w:r>
      <w:r w:rsidR="000C1746">
        <w:rPr>
          <w:rFonts w:eastAsiaTheme="minorEastAsia"/>
          <w:color w:val="000000"/>
          <w:sz w:val="22"/>
          <w:szCs w:val="22"/>
          <w:lang w:val="x-none" w:eastAsia="zh-CN"/>
        </w:rPr>
        <w:t xml:space="preserve">However, </w:t>
      </w:r>
      <w:r w:rsidR="00CE78A8">
        <w:rPr>
          <w:rFonts w:eastAsiaTheme="minorEastAsia"/>
          <w:color w:val="000000"/>
          <w:sz w:val="22"/>
          <w:szCs w:val="22"/>
          <w:lang w:val="x-none" w:eastAsia="zh-CN"/>
        </w:rPr>
        <w:t xml:space="preserve">it is not suitable to </w:t>
      </w:r>
      <w:r w:rsidR="00090CC0">
        <w:rPr>
          <w:rFonts w:eastAsiaTheme="minorEastAsia"/>
          <w:color w:val="000000"/>
          <w:sz w:val="22"/>
          <w:szCs w:val="22"/>
          <w:lang w:val="x-none" w:eastAsia="zh-CN"/>
        </w:rPr>
        <w:t>revise based on</w:t>
      </w:r>
      <w:r w:rsidR="00CE78A8">
        <w:rPr>
          <w:rFonts w:eastAsiaTheme="minorEastAsia"/>
          <w:color w:val="000000"/>
          <w:sz w:val="22"/>
          <w:szCs w:val="22"/>
          <w:lang w:val="x-none" w:eastAsia="zh-CN"/>
        </w:rPr>
        <w:t xml:space="preserve"> those IEs directly for non-serving cell information configuration.</w:t>
      </w:r>
      <w:r w:rsidR="00627627">
        <w:rPr>
          <w:rFonts w:eastAsiaTheme="minorEastAsia"/>
          <w:color w:val="000000"/>
          <w:sz w:val="22"/>
          <w:szCs w:val="22"/>
          <w:lang w:val="x-none" w:eastAsia="zh-CN"/>
        </w:rPr>
        <w:t xml:space="preserve"> There are so many cell</w:t>
      </w:r>
      <w:r w:rsidR="00E203D2">
        <w:rPr>
          <w:rFonts w:eastAsiaTheme="minorEastAsia"/>
          <w:color w:val="000000"/>
          <w:sz w:val="22"/>
          <w:szCs w:val="22"/>
          <w:lang w:val="x-none" w:eastAsia="zh-CN"/>
        </w:rPr>
        <w:t>s configured in those IEs, while t</w:t>
      </w:r>
      <w:r w:rsidR="00E203D2" w:rsidRPr="00E203D2">
        <w:rPr>
          <w:rFonts w:eastAsiaTheme="minorEastAsia"/>
          <w:color w:val="000000"/>
          <w:sz w:val="22"/>
          <w:szCs w:val="22"/>
          <w:lang w:val="x-none" w:eastAsia="zh-CN"/>
        </w:rPr>
        <w:t xml:space="preserve">he number of </w:t>
      </w:r>
      <w:r w:rsidR="00F828DD">
        <w:rPr>
          <w:rFonts w:eastAsiaTheme="minorEastAsia"/>
          <w:color w:val="000000"/>
          <w:sz w:val="22"/>
          <w:szCs w:val="22"/>
          <w:lang w:val="x-none" w:eastAsia="zh-CN"/>
        </w:rPr>
        <w:t>cells with different PCI</w:t>
      </w:r>
      <w:r w:rsidR="00E203D2" w:rsidRPr="00E203D2">
        <w:rPr>
          <w:rFonts w:eastAsiaTheme="minorEastAsia"/>
          <w:color w:val="000000"/>
          <w:sz w:val="22"/>
          <w:szCs w:val="22"/>
          <w:lang w:val="x-none" w:eastAsia="zh-CN"/>
        </w:rPr>
        <w:t xml:space="preserve"> </w:t>
      </w:r>
      <w:r w:rsidR="005B62B2">
        <w:rPr>
          <w:rFonts w:eastAsiaTheme="minorEastAsia"/>
          <w:color w:val="000000"/>
          <w:sz w:val="22"/>
          <w:szCs w:val="22"/>
          <w:lang w:val="x-none" w:eastAsia="zh-CN"/>
        </w:rPr>
        <w:t xml:space="preserve">required </w:t>
      </w:r>
      <w:r w:rsidR="00E203D2" w:rsidRPr="00E203D2">
        <w:rPr>
          <w:rFonts w:eastAsiaTheme="minorEastAsia"/>
          <w:color w:val="000000"/>
          <w:sz w:val="22"/>
          <w:szCs w:val="22"/>
          <w:lang w:val="x-none" w:eastAsia="zh-CN"/>
        </w:rPr>
        <w:t xml:space="preserve">for MTRP inter-cell </w:t>
      </w:r>
      <w:r w:rsidR="00E203D2">
        <w:rPr>
          <w:rFonts w:eastAsiaTheme="minorEastAsia"/>
          <w:color w:val="000000"/>
          <w:sz w:val="22"/>
          <w:szCs w:val="22"/>
          <w:lang w:val="x-none" w:eastAsia="zh-CN"/>
        </w:rPr>
        <w:t xml:space="preserve">operation is </w:t>
      </w:r>
      <w:r w:rsidR="00E203D2" w:rsidRPr="00E203D2">
        <w:rPr>
          <w:rFonts w:eastAsiaTheme="minorEastAsia"/>
          <w:color w:val="000000"/>
          <w:sz w:val="22"/>
          <w:szCs w:val="22"/>
          <w:lang w:val="x-none" w:eastAsia="zh-CN"/>
        </w:rPr>
        <w:t xml:space="preserve">limited. </w:t>
      </w:r>
    </w:p>
    <w:p w14:paraId="7C6239A0" w14:textId="111F2C28" w:rsidR="002830CE" w:rsidRDefault="00035504" w:rsidP="00306B24">
      <w:pPr>
        <w:spacing w:beforeLines="50" w:before="120" w:afterLines="50" w:after="120"/>
        <w:jc w:val="both"/>
        <w:rPr>
          <w:rFonts w:eastAsiaTheme="minorEastAsia"/>
          <w:color w:val="000000"/>
          <w:sz w:val="22"/>
          <w:szCs w:val="22"/>
          <w:lang w:val="x-none" w:eastAsia="zh-CN"/>
        </w:rPr>
      </w:pPr>
      <w:r w:rsidRPr="00035504">
        <w:rPr>
          <w:rFonts w:eastAsiaTheme="minorEastAsia"/>
          <w:color w:val="000000"/>
          <w:sz w:val="22"/>
          <w:szCs w:val="22"/>
          <w:lang w:val="x-none" w:eastAsia="zh-CN"/>
        </w:rPr>
        <w:lastRenderedPageBreak/>
        <w:t xml:space="preserve">Hence, it is proposed to define a separate </w:t>
      </w:r>
      <w:r w:rsidR="00D64903">
        <w:rPr>
          <w:rFonts w:eastAsiaTheme="minorEastAsia"/>
          <w:color w:val="000000"/>
          <w:sz w:val="22"/>
          <w:szCs w:val="22"/>
          <w:lang w:val="x-none" w:eastAsia="zh-CN"/>
        </w:rPr>
        <w:t xml:space="preserve">new </w:t>
      </w:r>
      <w:r w:rsidRPr="00035504">
        <w:rPr>
          <w:rFonts w:eastAsiaTheme="minorEastAsia"/>
          <w:color w:val="000000"/>
          <w:sz w:val="22"/>
          <w:szCs w:val="22"/>
          <w:lang w:val="x-none" w:eastAsia="zh-CN"/>
        </w:rPr>
        <w:t xml:space="preserve">IE for </w:t>
      </w:r>
      <w:r w:rsidR="000D52DC">
        <w:rPr>
          <w:rFonts w:eastAsiaTheme="minorEastAsia"/>
          <w:color w:val="000000"/>
          <w:sz w:val="22"/>
          <w:szCs w:val="22"/>
          <w:lang w:val="x-none" w:eastAsia="zh-CN"/>
        </w:rPr>
        <w:t xml:space="preserve">configured </w:t>
      </w:r>
      <w:r w:rsidR="00F828DD">
        <w:rPr>
          <w:rFonts w:eastAsiaTheme="minorEastAsia"/>
          <w:color w:val="000000"/>
          <w:sz w:val="22"/>
          <w:szCs w:val="22"/>
          <w:lang w:val="x-none" w:eastAsia="zh-CN"/>
        </w:rPr>
        <w:t>cells with different PCI</w:t>
      </w:r>
      <w:r w:rsidRPr="00035504">
        <w:rPr>
          <w:rFonts w:eastAsiaTheme="minorEastAsia"/>
          <w:color w:val="000000"/>
          <w:sz w:val="22"/>
          <w:szCs w:val="22"/>
          <w:lang w:val="x-none" w:eastAsia="zh-CN"/>
        </w:rPr>
        <w:t xml:space="preserve"> for MTRP inter-cell operation, and it can include the least needed parameters or elements from SSB-Configuration-r16/ssb-InfoNcell-r16 and/or </w:t>
      </w:r>
      <w:proofErr w:type="spellStart"/>
      <w:r w:rsidRPr="00035504">
        <w:rPr>
          <w:rFonts w:eastAsiaTheme="minorEastAsia"/>
          <w:color w:val="000000"/>
          <w:sz w:val="22"/>
          <w:szCs w:val="22"/>
          <w:lang w:val="x-none" w:eastAsia="zh-CN"/>
        </w:rPr>
        <w:t>MeasObject</w:t>
      </w:r>
      <w:proofErr w:type="spellEnd"/>
      <w:r>
        <w:rPr>
          <w:rFonts w:eastAsiaTheme="minorEastAsia"/>
          <w:color w:val="000000"/>
          <w:sz w:val="22"/>
          <w:szCs w:val="22"/>
          <w:lang w:val="x-none" w:eastAsia="zh-CN"/>
        </w:rPr>
        <w:t xml:space="preserve">, e.g., </w:t>
      </w:r>
      <w:r w:rsidR="00D64903">
        <w:rPr>
          <w:rFonts w:eastAsiaTheme="minorEastAsia"/>
          <w:color w:val="000000"/>
          <w:sz w:val="22"/>
          <w:szCs w:val="22"/>
          <w:lang w:val="x-none" w:eastAsia="zh-CN"/>
        </w:rPr>
        <w:t>at</w:t>
      </w:r>
      <w:r w:rsidR="00D64903" w:rsidRPr="00D64903">
        <w:rPr>
          <w:rFonts w:eastAsiaTheme="minorEastAsia"/>
          <w:color w:val="000000"/>
          <w:sz w:val="22"/>
          <w:szCs w:val="22"/>
          <w:lang w:val="x-none" w:eastAsia="zh-CN"/>
        </w:rPr>
        <w:t xml:space="preserve"> least </w:t>
      </w:r>
      <w:proofErr w:type="spellStart"/>
      <w:r w:rsidR="00D64903" w:rsidRPr="00D64903">
        <w:rPr>
          <w:rFonts w:eastAsiaTheme="minorEastAsia"/>
          <w:color w:val="000000"/>
          <w:sz w:val="22"/>
          <w:szCs w:val="22"/>
          <w:lang w:val="x-none" w:eastAsia="zh-CN"/>
        </w:rPr>
        <w:t>PhysCellId</w:t>
      </w:r>
      <w:proofErr w:type="spellEnd"/>
      <w:r w:rsidR="00D64903" w:rsidRPr="00D64903">
        <w:rPr>
          <w:rFonts w:eastAsiaTheme="minorEastAsia"/>
          <w:color w:val="000000"/>
          <w:sz w:val="22"/>
          <w:szCs w:val="22"/>
          <w:lang w:val="x-none" w:eastAsia="zh-CN"/>
        </w:rPr>
        <w:t xml:space="preserve"> is </w:t>
      </w:r>
      <w:r w:rsidR="00D64903">
        <w:rPr>
          <w:rFonts w:eastAsiaTheme="minorEastAsia"/>
          <w:color w:val="000000"/>
          <w:sz w:val="22"/>
          <w:szCs w:val="22"/>
          <w:lang w:val="x-none" w:eastAsia="zh-CN"/>
        </w:rPr>
        <w:t>needed</w:t>
      </w:r>
      <w:r w:rsidR="00D64903" w:rsidRPr="00D64903">
        <w:rPr>
          <w:rFonts w:eastAsiaTheme="minorEastAsia"/>
          <w:color w:val="000000"/>
          <w:sz w:val="22"/>
          <w:szCs w:val="22"/>
          <w:lang w:val="x-none" w:eastAsia="zh-CN"/>
        </w:rPr>
        <w:t xml:space="preserve"> in the </w:t>
      </w:r>
      <w:r w:rsidR="00D64903">
        <w:rPr>
          <w:rFonts w:eastAsiaTheme="minorEastAsia"/>
          <w:color w:val="000000"/>
          <w:sz w:val="22"/>
          <w:szCs w:val="22"/>
          <w:lang w:val="x-none" w:eastAsia="zh-CN"/>
        </w:rPr>
        <w:t xml:space="preserve">new </w:t>
      </w:r>
      <w:r w:rsidR="00D64903" w:rsidRPr="00D64903">
        <w:rPr>
          <w:rFonts w:eastAsiaTheme="minorEastAsia"/>
          <w:color w:val="000000"/>
          <w:sz w:val="22"/>
          <w:szCs w:val="22"/>
          <w:lang w:val="x-none" w:eastAsia="zh-CN"/>
        </w:rPr>
        <w:t>IE</w:t>
      </w:r>
      <w:r w:rsidRPr="00035504">
        <w:rPr>
          <w:rFonts w:eastAsiaTheme="minorEastAsia"/>
          <w:color w:val="000000"/>
          <w:sz w:val="22"/>
          <w:szCs w:val="22"/>
          <w:lang w:val="x-none" w:eastAsia="zh-CN"/>
        </w:rPr>
        <w:t xml:space="preserve">. </w:t>
      </w:r>
      <w:r>
        <w:rPr>
          <w:rFonts w:eastAsiaTheme="minorEastAsia"/>
          <w:color w:val="000000"/>
          <w:sz w:val="22"/>
          <w:szCs w:val="22"/>
          <w:lang w:val="x-none" w:eastAsia="zh-CN"/>
        </w:rPr>
        <w:t>O</w:t>
      </w:r>
      <w:r w:rsidRPr="00035504">
        <w:rPr>
          <w:rFonts w:eastAsiaTheme="minorEastAsia"/>
          <w:color w:val="000000"/>
          <w:sz w:val="22"/>
          <w:szCs w:val="22"/>
          <w:lang w:val="x-none" w:eastAsia="zh-CN"/>
        </w:rPr>
        <w:t xml:space="preserve">nce a </w:t>
      </w:r>
      <w:proofErr w:type="spellStart"/>
      <w:r w:rsidR="00D64903" w:rsidRPr="00D64903">
        <w:rPr>
          <w:rFonts w:eastAsiaTheme="minorEastAsia"/>
          <w:color w:val="000000"/>
          <w:sz w:val="22"/>
          <w:szCs w:val="22"/>
          <w:lang w:val="x-none" w:eastAsia="zh-CN"/>
        </w:rPr>
        <w:t>PhysCellId</w:t>
      </w:r>
      <w:proofErr w:type="spellEnd"/>
      <w:r w:rsidR="00D64903" w:rsidRPr="00D64903">
        <w:rPr>
          <w:rFonts w:eastAsiaTheme="minorEastAsia"/>
          <w:color w:val="000000"/>
          <w:sz w:val="22"/>
          <w:szCs w:val="22"/>
          <w:lang w:val="x-none" w:eastAsia="zh-CN"/>
        </w:rPr>
        <w:t xml:space="preserve"> </w:t>
      </w:r>
      <w:r w:rsidRPr="00035504">
        <w:rPr>
          <w:rFonts w:eastAsiaTheme="minorEastAsia"/>
          <w:color w:val="000000"/>
          <w:sz w:val="22"/>
          <w:szCs w:val="22"/>
          <w:lang w:val="x-none" w:eastAsia="zh-CN"/>
        </w:rPr>
        <w:t xml:space="preserve">is indicated, many configurations for this cell can be obtained from </w:t>
      </w:r>
      <w:r w:rsidR="00341663">
        <w:rPr>
          <w:rFonts w:eastAsiaTheme="minorEastAsia"/>
          <w:color w:val="000000"/>
          <w:sz w:val="22"/>
          <w:szCs w:val="22"/>
          <w:lang w:val="x-none" w:eastAsia="zh-CN"/>
        </w:rPr>
        <w:t xml:space="preserve">existing configurations in </w:t>
      </w:r>
      <w:r w:rsidR="00341663" w:rsidRPr="00341663">
        <w:rPr>
          <w:rFonts w:eastAsiaTheme="minorEastAsia"/>
          <w:color w:val="000000"/>
          <w:sz w:val="22"/>
          <w:szCs w:val="22"/>
          <w:lang w:val="x-none" w:eastAsia="zh-CN"/>
        </w:rPr>
        <w:t xml:space="preserve">SSB-Configuration-r16/ssb-InfoNcell-r16 and/or </w:t>
      </w:r>
      <w:proofErr w:type="spellStart"/>
      <w:r w:rsidR="00341663" w:rsidRPr="00341663">
        <w:rPr>
          <w:rFonts w:eastAsiaTheme="minorEastAsia"/>
          <w:color w:val="000000"/>
          <w:sz w:val="22"/>
          <w:szCs w:val="22"/>
          <w:lang w:val="x-none" w:eastAsia="zh-CN"/>
        </w:rPr>
        <w:t>MeasObject</w:t>
      </w:r>
      <w:proofErr w:type="spellEnd"/>
      <w:r w:rsidRPr="00035504">
        <w:rPr>
          <w:rFonts w:eastAsiaTheme="minorEastAsia"/>
          <w:color w:val="000000"/>
          <w:sz w:val="22"/>
          <w:szCs w:val="22"/>
          <w:lang w:val="x-none" w:eastAsia="zh-CN"/>
        </w:rPr>
        <w:t xml:space="preserve">. In addition, a </w:t>
      </w:r>
      <w:r w:rsidR="007B6901">
        <w:rPr>
          <w:rFonts w:eastAsiaTheme="minorEastAsia"/>
          <w:color w:val="000000"/>
          <w:sz w:val="22"/>
          <w:szCs w:val="22"/>
          <w:lang w:val="x-none" w:eastAsia="zh-CN"/>
        </w:rPr>
        <w:t>new indicator</w:t>
      </w:r>
      <w:r w:rsidR="00F821FA">
        <w:rPr>
          <w:rFonts w:eastAsiaTheme="minorEastAsia"/>
          <w:color w:val="000000"/>
          <w:sz w:val="22"/>
          <w:szCs w:val="22"/>
          <w:lang w:val="x-none" w:eastAsia="zh-CN"/>
        </w:rPr>
        <w:t xml:space="preserve">, e.g., </w:t>
      </w:r>
      <w:r w:rsidR="002171B1">
        <w:rPr>
          <w:rFonts w:eastAsiaTheme="minorEastAsia"/>
          <w:color w:val="000000"/>
          <w:sz w:val="22"/>
          <w:szCs w:val="22"/>
          <w:lang w:val="x-none" w:eastAsia="zh-CN"/>
        </w:rPr>
        <w:t xml:space="preserve">by </w:t>
      </w:r>
      <w:r w:rsidR="00F821FA" w:rsidRPr="00F821FA">
        <w:rPr>
          <w:rFonts w:eastAsiaTheme="minorEastAsia"/>
          <w:color w:val="000000"/>
          <w:sz w:val="22"/>
          <w:szCs w:val="22"/>
          <w:lang w:val="x-none" w:eastAsia="zh-CN"/>
        </w:rPr>
        <w:t>re-index</w:t>
      </w:r>
      <w:r w:rsidR="002171B1">
        <w:rPr>
          <w:rFonts w:eastAsiaTheme="minorEastAsia"/>
          <w:color w:val="000000"/>
          <w:sz w:val="22"/>
          <w:szCs w:val="22"/>
          <w:lang w:val="x-none" w:eastAsia="zh-CN"/>
        </w:rPr>
        <w:t>ing</w:t>
      </w:r>
      <w:r w:rsidR="00F821FA" w:rsidRPr="00F821FA">
        <w:rPr>
          <w:rFonts w:eastAsiaTheme="minorEastAsia"/>
          <w:color w:val="000000"/>
          <w:sz w:val="22"/>
          <w:szCs w:val="22"/>
          <w:lang w:val="x-none" w:eastAsia="zh-CN"/>
        </w:rPr>
        <w:t xml:space="preserve"> the non-serving cell</w:t>
      </w:r>
      <w:r w:rsidR="00442249">
        <w:rPr>
          <w:rFonts w:eastAsiaTheme="minorEastAsia"/>
          <w:color w:val="000000"/>
          <w:sz w:val="22"/>
          <w:szCs w:val="22"/>
          <w:lang w:val="x-none" w:eastAsia="zh-CN"/>
        </w:rPr>
        <w:t>s</w:t>
      </w:r>
      <w:r w:rsidR="002171B1">
        <w:rPr>
          <w:rFonts w:eastAsiaTheme="minorEastAsia"/>
          <w:color w:val="000000"/>
          <w:sz w:val="22"/>
          <w:szCs w:val="22"/>
          <w:lang w:val="x-none" w:eastAsia="zh-CN"/>
        </w:rPr>
        <w:t>,</w:t>
      </w:r>
      <w:r w:rsidRPr="00035504">
        <w:rPr>
          <w:rFonts w:eastAsiaTheme="minorEastAsia"/>
          <w:color w:val="000000"/>
          <w:sz w:val="22"/>
          <w:szCs w:val="22"/>
          <w:lang w:val="x-none" w:eastAsia="zh-CN"/>
        </w:rPr>
        <w:t xml:space="preserve"> can be included in the </w:t>
      </w:r>
      <w:r w:rsidR="00341663">
        <w:rPr>
          <w:rFonts w:eastAsiaTheme="minorEastAsia"/>
          <w:color w:val="000000"/>
          <w:sz w:val="22"/>
          <w:szCs w:val="22"/>
          <w:lang w:val="x-none" w:eastAsia="zh-CN"/>
        </w:rPr>
        <w:t xml:space="preserve">new </w:t>
      </w:r>
      <w:r w:rsidRPr="00035504">
        <w:rPr>
          <w:rFonts w:eastAsiaTheme="minorEastAsia"/>
          <w:color w:val="000000"/>
          <w:sz w:val="22"/>
          <w:szCs w:val="22"/>
          <w:lang w:val="x-none" w:eastAsia="zh-CN"/>
        </w:rPr>
        <w:t xml:space="preserve">IE for the non-serving cell </w:t>
      </w:r>
      <w:r w:rsidR="00796ED7">
        <w:rPr>
          <w:rFonts w:eastAsiaTheme="minorEastAsia"/>
          <w:color w:val="000000"/>
          <w:sz w:val="22"/>
          <w:szCs w:val="22"/>
          <w:lang w:val="x-none" w:eastAsia="zh-CN"/>
        </w:rPr>
        <w:t xml:space="preserve">indication </w:t>
      </w:r>
      <w:r w:rsidRPr="00035504">
        <w:rPr>
          <w:rFonts w:eastAsiaTheme="minorEastAsia"/>
          <w:color w:val="000000"/>
          <w:sz w:val="22"/>
          <w:szCs w:val="22"/>
          <w:lang w:val="x-none" w:eastAsia="zh-CN"/>
        </w:rPr>
        <w:t xml:space="preserve">to reduce the signaling overhead. </w:t>
      </w:r>
      <w:r w:rsidR="008F4826">
        <w:rPr>
          <w:rFonts w:eastAsiaTheme="minorEastAsia"/>
          <w:color w:val="000000"/>
          <w:sz w:val="22"/>
          <w:szCs w:val="22"/>
          <w:lang w:val="x-none" w:eastAsia="zh-CN"/>
        </w:rPr>
        <w:t xml:space="preserve">Considering the trade-off between complexity and flexibility, </w:t>
      </w:r>
      <w:r w:rsidR="00D611CB">
        <w:rPr>
          <w:rFonts w:eastAsiaTheme="minorEastAsia"/>
          <w:color w:val="000000"/>
          <w:sz w:val="22"/>
          <w:szCs w:val="22"/>
          <w:lang w:val="x-none" w:eastAsia="zh-CN"/>
        </w:rPr>
        <w:t>i</w:t>
      </w:r>
      <w:r w:rsidR="00D611CB" w:rsidRPr="00D611CB">
        <w:rPr>
          <w:rFonts w:eastAsiaTheme="minorEastAsia"/>
          <w:color w:val="000000"/>
          <w:sz w:val="22"/>
          <w:szCs w:val="22"/>
          <w:lang w:val="x-none" w:eastAsia="zh-CN"/>
        </w:rPr>
        <w:t>t is proposed to support at least three non-serving cells</w:t>
      </w:r>
      <w:r w:rsidR="004654D5">
        <w:rPr>
          <w:rFonts w:eastAsiaTheme="minorEastAsia"/>
          <w:color w:val="000000"/>
          <w:sz w:val="22"/>
          <w:szCs w:val="22"/>
          <w:lang w:val="x-none" w:eastAsia="zh-CN"/>
        </w:rPr>
        <w:t xml:space="preserve"> configuration. In that case, 2-bit new indicator is sufficient </w:t>
      </w:r>
      <w:r w:rsidR="00B54EBD">
        <w:rPr>
          <w:rFonts w:eastAsiaTheme="minorEastAsia"/>
          <w:color w:val="000000"/>
          <w:sz w:val="22"/>
          <w:szCs w:val="22"/>
          <w:lang w:val="x-none" w:eastAsia="zh-CN"/>
        </w:rPr>
        <w:t>for cell indication.</w:t>
      </w:r>
    </w:p>
    <w:p w14:paraId="65B6B0AE" w14:textId="77777777" w:rsidR="0012628A" w:rsidRDefault="0012628A" w:rsidP="002B2EDB">
      <w:pPr>
        <w:spacing w:beforeLines="50" w:before="120" w:afterLines="50" w:after="120"/>
        <w:jc w:val="both"/>
        <w:rPr>
          <w:rFonts w:eastAsiaTheme="minorEastAsia"/>
          <w:color w:val="000000"/>
          <w:sz w:val="22"/>
          <w:szCs w:val="22"/>
          <w:lang w:val="x-none" w:eastAsia="zh-CN"/>
        </w:rPr>
      </w:pPr>
    </w:p>
    <w:p w14:paraId="32EBB118" w14:textId="77777777" w:rsidR="0012628A" w:rsidRPr="00B44D24" w:rsidRDefault="0012628A" w:rsidP="0012628A">
      <w:pPr>
        <w:spacing w:before="60"/>
        <w:rPr>
          <w:b/>
          <w:bCs/>
          <w:color w:val="212121"/>
          <w:sz w:val="23"/>
          <w:szCs w:val="23"/>
          <w:u w:val="single"/>
        </w:rPr>
      </w:pPr>
      <w:bookmarkStart w:id="3" w:name="_Hlk60905101"/>
      <w:r w:rsidRPr="00B44D24">
        <w:rPr>
          <w:rFonts w:eastAsiaTheme="minorEastAsia"/>
          <w:b/>
          <w:bCs/>
          <w:sz w:val="22"/>
          <w:szCs w:val="22"/>
          <w:u w:val="single"/>
        </w:rPr>
        <w:t>Proposal 1:</w:t>
      </w:r>
    </w:p>
    <w:bookmarkEnd w:id="3"/>
    <w:p w14:paraId="67901333" w14:textId="75E63872" w:rsidR="00B81373" w:rsidRPr="00B81373" w:rsidRDefault="00B81373" w:rsidP="00B81373">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Define a separate IE for </w:t>
      </w:r>
      <w:r w:rsidR="00DF3881">
        <w:rPr>
          <w:rFonts w:ascii="Times New Roman" w:hAnsi="Times New Roman" w:cs="Times New Roman"/>
          <w:b/>
          <w:bCs/>
          <w:i/>
          <w:iCs/>
          <w:color w:val="212121"/>
          <w:sz w:val="22"/>
          <w:szCs w:val="22"/>
        </w:rPr>
        <w:t>cells with different PCI</w:t>
      </w:r>
      <w:r w:rsidRPr="00B81373">
        <w:rPr>
          <w:rFonts w:ascii="Times New Roman" w:hAnsi="Times New Roman" w:cs="Times New Roman"/>
          <w:b/>
          <w:bCs/>
          <w:i/>
          <w:iCs/>
          <w:color w:val="212121"/>
          <w:sz w:val="22"/>
          <w:szCs w:val="22"/>
        </w:rPr>
        <w:t xml:space="preserve"> for MTRP inter-cell operation. </w:t>
      </w:r>
    </w:p>
    <w:p w14:paraId="29B0FB4A" w14:textId="1AC84AF2" w:rsidR="00B7514B" w:rsidRDefault="00B7514B" w:rsidP="00AE5B74">
      <w:pPr>
        <w:pStyle w:val="aa"/>
        <w:numPr>
          <w:ilvl w:val="1"/>
          <w:numId w:val="44"/>
        </w:numPr>
        <w:spacing w:before="60"/>
        <w:ind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At least </w:t>
      </w:r>
      <w:proofErr w:type="spellStart"/>
      <w:r w:rsidRPr="00B81373">
        <w:rPr>
          <w:rFonts w:ascii="Times New Roman" w:hAnsi="Times New Roman" w:cs="Times New Roman"/>
          <w:b/>
          <w:bCs/>
          <w:i/>
          <w:iCs/>
          <w:color w:val="212121"/>
          <w:sz w:val="22"/>
          <w:szCs w:val="22"/>
        </w:rPr>
        <w:t>PhysCellId</w:t>
      </w:r>
      <w:proofErr w:type="spellEnd"/>
      <w:r w:rsidRPr="00B81373">
        <w:rPr>
          <w:rFonts w:ascii="Times New Roman" w:hAnsi="Times New Roman" w:cs="Times New Roman"/>
          <w:b/>
          <w:bCs/>
          <w:i/>
          <w:iCs/>
          <w:color w:val="212121"/>
          <w:sz w:val="22"/>
          <w:szCs w:val="22"/>
        </w:rPr>
        <w:t xml:space="preserve"> is included in the IE. </w:t>
      </w:r>
    </w:p>
    <w:p w14:paraId="1D3D81C4" w14:textId="1C105558" w:rsidR="00B81373" w:rsidRDefault="00B81373" w:rsidP="00AE5B74">
      <w:pPr>
        <w:pStyle w:val="aa"/>
        <w:numPr>
          <w:ilvl w:val="1"/>
          <w:numId w:val="44"/>
        </w:numPr>
        <w:spacing w:before="60"/>
        <w:ind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A </w:t>
      </w:r>
      <w:r w:rsidR="003F05A8">
        <w:rPr>
          <w:rFonts w:ascii="Times New Roman" w:hAnsi="Times New Roman" w:cs="Times New Roman"/>
          <w:b/>
          <w:bCs/>
          <w:i/>
          <w:iCs/>
          <w:color w:val="212121"/>
          <w:sz w:val="22"/>
          <w:szCs w:val="22"/>
        </w:rPr>
        <w:t>new indicator</w:t>
      </w:r>
      <w:r w:rsidR="00565757">
        <w:rPr>
          <w:rFonts w:ascii="Times New Roman" w:hAnsi="Times New Roman" w:cs="Times New Roman"/>
          <w:b/>
          <w:bCs/>
          <w:i/>
          <w:iCs/>
          <w:color w:val="212121"/>
          <w:sz w:val="22"/>
          <w:szCs w:val="22"/>
        </w:rPr>
        <w:t xml:space="preserve"> (e.g., </w:t>
      </w:r>
      <w:r w:rsidR="00565757" w:rsidRPr="00565757">
        <w:rPr>
          <w:rFonts w:ascii="Times New Roman" w:hAnsi="Times New Roman" w:cs="Times New Roman"/>
          <w:b/>
          <w:bCs/>
          <w:i/>
          <w:iCs/>
          <w:color w:val="212121"/>
          <w:sz w:val="22"/>
          <w:szCs w:val="22"/>
        </w:rPr>
        <w:t>re-index the non-serving cells</w:t>
      </w:r>
      <w:r w:rsidR="00565757">
        <w:rPr>
          <w:rFonts w:ascii="Times New Roman" w:hAnsi="Times New Roman" w:cs="Times New Roman"/>
          <w:b/>
          <w:bCs/>
          <w:i/>
          <w:iCs/>
          <w:color w:val="212121"/>
          <w:sz w:val="22"/>
          <w:szCs w:val="22"/>
        </w:rPr>
        <w:t>)</w:t>
      </w:r>
      <w:r w:rsidRPr="00B81373">
        <w:rPr>
          <w:rFonts w:ascii="Times New Roman" w:hAnsi="Times New Roman" w:cs="Times New Roman"/>
          <w:b/>
          <w:bCs/>
          <w:i/>
          <w:iCs/>
          <w:color w:val="212121"/>
          <w:sz w:val="22"/>
          <w:szCs w:val="22"/>
        </w:rPr>
        <w:t xml:space="preserve"> is needed in the IE to indicate each </w:t>
      </w:r>
      <w:r w:rsidR="00DF3881">
        <w:rPr>
          <w:rFonts w:ascii="Times New Roman" w:hAnsi="Times New Roman" w:cs="Times New Roman"/>
          <w:b/>
          <w:bCs/>
          <w:i/>
          <w:iCs/>
          <w:color w:val="212121"/>
          <w:sz w:val="22"/>
          <w:szCs w:val="22"/>
        </w:rPr>
        <w:t>cell with different PCI</w:t>
      </w:r>
      <w:r w:rsidRPr="00B81373">
        <w:rPr>
          <w:rFonts w:ascii="Times New Roman" w:hAnsi="Times New Roman" w:cs="Times New Roman"/>
          <w:b/>
          <w:bCs/>
          <w:i/>
          <w:iCs/>
          <w:color w:val="212121"/>
          <w:sz w:val="22"/>
          <w:szCs w:val="22"/>
        </w:rPr>
        <w:t xml:space="preserve">. </w:t>
      </w:r>
    </w:p>
    <w:p w14:paraId="4457BC75" w14:textId="3C5649E0" w:rsidR="00DF3881" w:rsidRDefault="00DF3881" w:rsidP="00DF3881">
      <w:pPr>
        <w:pStyle w:val="aa"/>
        <w:spacing w:before="60"/>
        <w:ind w:left="840" w:firstLineChars="0" w:firstLine="0"/>
        <w:jc w:val="both"/>
        <w:rPr>
          <w:rFonts w:ascii="Times New Roman" w:hAnsi="Times New Roman" w:cs="Times New Roman"/>
          <w:b/>
          <w:bCs/>
          <w:i/>
          <w:iCs/>
          <w:color w:val="212121"/>
          <w:sz w:val="22"/>
          <w:szCs w:val="22"/>
        </w:rPr>
      </w:pPr>
    </w:p>
    <w:p w14:paraId="6927C345" w14:textId="77777777" w:rsidR="002513A2" w:rsidRPr="00B44D24" w:rsidRDefault="002513A2" w:rsidP="002513A2">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2</w:t>
      </w:r>
      <w:r w:rsidRPr="00B44D24">
        <w:rPr>
          <w:rFonts w:eastAsiaTheme="minorEastAsia"/>
          <w:b/>
          <w:bCs/>
          <w:sz w:val="22"/>
          <w:szCs w:val="22"/>
          <w:u w:val="single"/>
        </w:rPr>
        <w:t>:</w:t>
      </w:r>
    </w:p>
    <w:p w14:paraId="357B2E1F" w14:textId="238FC799" w:rsidR="002513A2" w:rsidRDefault="002513A2" w:rsidP="002513A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84097E">
        <w:rPr>
          <w:rFonts w:ascii="Times New Roman" w:hAnsi="Times New Roman" w:cs="Times New Roman"/>
          <w:b/>
          <w:bCs/>
          <w:i/>
          <w:iCs/>
          <w:color w:val="212121"/>
          <w:sz w:val="22"/>
          <w:szCs w:val="22"/>
        </w:rPr>
        <w:t xml:space="preserve">Support to configure more than one </w:t>
      </w:r>
      <w:r>
        <w:rPr>
          <w:rFonts w:ascii="Times New Roman" w:hAnsi="Times New Roman" w:cs="Times New Roman"/>
          <w:b/>
          <w:bCs/>
          <w:i/>
          <w:iCs/>
          <w:color w:val="212121"/>
          <w:sz w:val="22"/>
          <w:szCs w:val="22"/>
        </w:rPr>
        <w:t>cell with different PCI</w:t>
      </w:r>
      <w:r w:rsidRPr="0084097E">
        <w:rPr>
          <w:rFonts w:ascii="Times New Roman" w:hAnsi="Times New Roman" w:cs="Times New Roman"/>
          <w:b/>
          <w:bCs/>
          <w:i/>
          <w:iCs/>
          <w:color w:val="212121"/>
          <w:sz w:val="22"/>
          <w:szCs w:val="22"/>
        </w:rPr>
        <w:t xml:space="preserve"> on a CC.</w:t>
      </w:r>
    </w:p>
    <w:p w14:paraId="51A51EFF" w14:textId="5DE8FFD6" w:rsidR="002513A2" w:rsidRDefault="002513A2" w:rsidP="002513A2">
      <w:pPr>
        <w:pStyle w:val="aa"/>
        <w:numPr>
          <w:ilvl w:val="1"/>
          <w:numId w:val="44"/>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Support to configure at least 3 </w:t>
      </w:r>
      <w:r w:rsidR="00F9704D">
        <w:rPr>
          <w:rFonts w:ascii="Times New Roman" w:hAnsi="Times New Roman" w:cs="Times New Roman"/>
          <w:b/>
          <w:bCs/>
          <w:i/>
          <w:iCs/>
          <w:color w:val="212121"/>
          <w:sz w:val="22"/>
          <w:szCs w:val="22"/>
        </w:rPr>
        <w:t xml:space="preserve">cells with different PCI </w:t>
      </w:r>
      <w:r>
        <w:rPr>
          <w:rFonts w:ascii="Times New Roman" w:hAnsi="Times New Roman" w:cs="Times New Roman"/>
          <w:b/>
          <w:bCs/>
          <w:i/>
          <w:iCs/>
          <w:color w:val="212121"/>
          <w:sz w:val="22"/>
          <w:szCs w:val="22"/>
        </w:rPr>
        <w:t>on a CC with 2-bit new indicator.</w:t>
      </w:r>
    </w:p>
    <w:p w14:paraId="555CEE1D" w14:textId="77777777" w:rsidR="002513A2" w:rsidRPr="00352CB1" w:rsidRDefault="002513A2" w:rsidP="00453280">
      <w:pPr>
        <w:pStyle w:val="aa"/>
        <w:spacing w:before="60"/>
        <w:ind w:left="840" w:firstLineChars="0" w:firstLine="0"/>
        <w:jc w:val="both"/>
        <w:rPr>
          <w:rFonts w:ascii="Times New Roman" w:hAnsi="Times New Roman" w:cs="Times New Roman"/>
          <w:b/>
          <w:bCs/>
          <w:i/>
          <w:iCs/>
          <w:color w:val="212121"/>
          <w:sz w:val="22"/>
          <w:szCs w:val="22"/>
        </w:rPr>
      </w:pPr>
    </w:p>
    <w:p w14:paraId="3E41DDE2" w14:textId="7AC9CA03" w:rsidR="000C776C" w:rsidRDefault="000C776C" w:rsidP="000C776C">
      <w:pPr>
        <w:pStyle w:val="1"/>
      </w:pPr>
      <w:r>
        <w:t xml:space="preserve">Configuration of </w:t>
      </w:r>
      <w:r w:rsidR="00F651D9">
        <w:t>TCI state/</w:t>
      </w:r>
      <w:r>
        <w:t>QCL-info</w:t>
      </w:r>
    </w:p>
    <w:p w14:paraId="54416C3A" w14:textId="1218064C" w:rsidR="00B54EBD" w:rsidRDefault="00C34E8F" w:rsidP="00B54EBD">
      <w:pPr>
        <w:spacing w:beforeLines="50" w:before="120" w:afterLines="50" w:after="120"/>
        <w:jc w:val="both"/>
        <w:rPr>
          <w:rFonts w:eastAsiaTheme="minorEastAsia"/>
          <w:color w:val="000000"/>
          <w:sz w:val="22"/>
          <w:szCs w:val="22"/>
          <w:lang w:val="x-none" w:eastAsia="zh-CN"/>
        </w:rPr>
      </w:pPr>
      <w:r w:rsidRPr="00C34E8F">
        <w:rPr>
          <w:rFonts w:eastAsiaTheme="minorEastAsia"/>
          <w:color w:val="000000"/>
          <w:sz w:val="22"/>
          <w:szCs w:val="22"/>
          <w:lang w:val="x-none" w:eastAsia="zh-CN"/>
        </w:rPr>
        <w:t>In RAN1#104-e and RAN1#104b-e meetings, following agreements were made</w:t>
      </w:r>
      <w:r>
        <w:rPr>
          <w:rFonts w:eastAsiaTheme="minorEastAsia"/>
          <w:color w:val="000000"/>
          <w:sz w:val="22"/>
          <w:szCs w:val="22"/>
          <w:lang w:val="x-none" w:eastAsia="zh-CN"/>
        </w:rPr>
        <w:t xml:space="preserve"> related to configuration of TCI state/QCL-info</w:t>
      </w:r>
      <w:r w:rsidRPr="00C34E8F">
        <w:rPr>
          <w:rFonts w:eastAsiaTheme="minorEastAsia"/>
          <w:color w:val="000000"/>
          <w:sz w:val="22"/>
          <w:szCs w:val="22"/>
          <w:lang w:val="x-none" w:eastAsia="zh-CN"/>
        </w:rPr>
        <w:t>.</w:t>
      </w:r>
    </w:p>
    <w:tbl>
      <w:tblPr>
        <w:tblStyle w:val="af"/>
        <w:tblW w:w="0" w:type="auto"/>
        <w:tblLook w:val="04A0" w:firstRow="1" w:lastRow="0" w:firstColumn="1" w:lastColumn="0" w:noHBand="0" w:noVBand="1"/>
      </w:tblPr>
      <w:tblGrid>
        <w:gridCol w:w="9962"/>
      </w:tblGrid>
      <w:tr w:rsidR="00C34E8F" w14:paraId="1F18E9C2" w14:textId="77777777" w:rsidTr="00FF226F">
        <w:tc>
          <w:tcPr>
            <w:tcW w:w="9962" w:type="dxa"/>
          </w:tcPr>
          <w:p w14:paraId="70575C3E" w14:textId="3B9A8172" w:rsidR="00C34E8F" w:rsidRPr="00453280" w:rsidRDefault="00C34E8F" w:rsidP="00FF226F">
            <w:pPr>
              <w:spacing w:before="0" w:after="0"/>
              <w:rPr>
                <w:rFonts w:eastAsia="Batang"/>
                <w:b/>
                <w:bCs/>
                <w:sz w:val="20"/>
                <w:szCs w:val="20"/>
                <w:lang w:eastAsia="zh-CN"/>
              </w:rPr>
            </w:pPr>
            <w:r w:rsidRPr="00453280">
              <w:rPr>
                <w:rFonts w:eastAsia="Batang"/>
                <w:b/>
                <w:bCs/>
                <w:sz w:val="20"/>
                <w:szCs w:val="20"/>
                <w:highlight w:val="green"/>
                <w:lang w:val="en-GB" w:eastAsia="zh-CN"/>
              </w:rPr>
              <w:t>Agreement</w:t>
            </w:r>
            <w:r>
              <w:rPr>
                <w:rFonts w:eastAsia="Batang"/>
                <w:b/>
                <w:bCs/>
                <w:sz w:val="20"/>
                <w:szCs w:val="20"/>
                <w:lang w:val="en-GB" w:eastAsia="zh-CN"/>
              </w:rPr>
              <w:t xml:space="preserve"> (RAN1#104-e)</w:t>
            </w:r>
          </w:p>
          <w:p w14:paraId="627A9AA0" w14:textId="77777777" w:rsidR="00C34E8F" w:rsidRPr="00DB406F" w:rsidRDefault="00C34E8F" w:rsidP="00FF226F">
            <w:pPr>
              <w:spacing w:before="0" w:after="0"/>
              <w:rPr>
                <w:rFonts w:eastAsia="Batang"/>
                <w:sz w:val="20"/>
                <w:szCs w:val="20"/>
                <w:lang w:val="en-GB" w:eastAsia="zh-CN"/>
              </w:rPr>
            </w:pPr>
            <w:r w:rsidRPr="00DB406F">
              <w:rPr>
                <w:rFonts w:eastAsia="Batang"/>
                <w:sz w:val="20"/>
                <w:szCs w:val="20"/>
                <w:lang w:val="en-GB" w:eastAsia="zh-CN"/>
              </w:rPr>
              <w:t>For inter-cell MTRP operation, further discuss following options and down select in RAN1#104bis-e</w:t>
            </w:r>
          </w:p>
          <w:p w14:paraId="148ADFBE" w14:textId="77777777" w:rsidR="00C34E8F" w:rsidRPr="00DB406F" w:rsidRDefault="00C34E8F" w:rsidP="00FF226F">
            <w:pPr>
              <w:numPr>
                <w:ilvl w:val="0"/>
                <w:numId w:val="45"/>
              </w:numPr>
              <w:shd w:val="clear" w:color="auto" w:fill="FFFFFF"/>
              <w:spacing w:before="0" w:after="0" w:line="256" w:lineRule="auto"/>
              <w:contextualSpacing/>
              <w:rPr>
                <w:rFonts w:eastAsia="宋体"/>
                <w:sz w:val="20"/>
                <w:szCs w:val="20"/>
                <w:lang w:val="en-GB" w:eastAsia="x-none"/>
              </w:rPr>
            </w:pPr>
            <w:r w:rsidRPr="00DB406F">
              <w:rPr>
                <w:rFonts w:eastAsia="宋体"/>
                <w:sz w:val="20"/>
                <w:szCs w:val="20"/>
                <w:lang w:val="en-GB" w:eastAsia="ja-JP"/>
              </w:rPr>
              <w:t>Option1: Indicate/associate non-serving cell PCI in the TCI state</w:t>
            </w:r>
          </w:p>
          <w:p w14:paraId="2EB639EA" w14:textId="77777777" w:rsidR="00C34E8F" w:rsidRPr="00DB406F" w:rsidRDefault="00C34E8F" w:rsidP="00FF226F">
            <w:pPr>
              <w:numPr>
                <w:ilvl w:val="1"/>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FFS other non-serving cell information</w:t>
            </w:r>
          </w:p>
          <w:p w14:paraId="1FD8A133" w14:textId="77777777" w:rsidR="00C34E8F" w:rsidRPr="00DB406F" w:rsidRDefault="00C34E8F" w:rsidP="00FF226F">
            <w:pPr>
              <w:numPr>
                <w:ilvl w:val="0"/>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Option2: Introduce a flag to indicate whether a TCI state/QCL information is associated with non-serving cell information or serving cell</w:t>
            </w:r>
          </w:p>
          <w:p w14:paraId="54ACD72D" w14:textId="77777777" w:rsidR="00C34E8F" w:rsidRPr="00DB406F" w:rsidRDefault="00C34E8F" w:rsidP="00FF226F">
            <w:pPr>
              <w:numPr>
                <w:ilvl w:val="1"/>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FFS: how the flag is linked to non-serving cell</w:t>
            </w:r>
          </w:p>
          <w:p w14:paraId="05C7B54A" w14:textId="77777777" w:rsidR="00C34E8F" w:rsidRPr="00DB406F" w:rsidRDefault="00C34E8F" w:rsidP="00FF226F">
            <w:pPr>
              <w:numPr>
                <w:ilvl w:val="0"/>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Option3: Explicit or implicit grouping of TCI states associated with non-serving cell information corresponding to the serving cell and the non-serving cell respectively.</w:t>
            </w:r>
          </w:p>
          <w:p w14:paraId="5982867D" w14:textId="77777777" w:rsidR="00C34E8F" w:rsidRPr="00DB406F" w:rsidRDefault="00C34E8F" w:rsidP="00FF226F">
            <w:pPr>
              <w:numPr>
                <w:ilvl w:val="1"/>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 xml:space="preserve">FFS: Each group is associated with a </w:t>
            </w:r>
            <w:proofErr w:type="spellStart"/>
            <w:r w:rsidRPr="00DB406F">
              <w:rPr>
                <w:rFonts w:eastAsia="宋体"/>
                <w:sz w:val="20"/>
                <w:szCs w:val="20"/>
                <w:lang w:val="en-GB" w:eastAsia="ja-JP"/>
              </w:rPr>
              <w:t>CORESETPoolIndex</w:t>
            </w:r>
            <w:proofErr w:type="spellEnd"/>
            <w:r w:rsidRPr="00DB406F">
              <w:rPr>
                <w:rFonts w:eastAsia="宋体"/>
                <w:sz w:val="20"/>
                <w:szCs w:val="20"/>
                <w:lang w:val="en-GB" w:eastAsia="ja-JP"/>
              </w:rPr>
              <w:t xml:space="preserve"> value.</w:t>
            </w:r>
          </w:p>
          <w:p w14:paraId="7F6E427F" w14:textId="77777777" w:rsidR="00C34E8F" w:rsidRPr="00DB406F" w:rsidRDefault="00C34E8F" w:rsidP="00FF226F">
            <w:pPr>
              <w:numPr>
                <w:ilvl w:val="1"/>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FFS: how to link the group of TCI states to non-serving cell.</w:t>
            </w:r>
          </w:p>
          <w:p w14:paraId="43FA0137" w14:textId="77777777" w:rsidR="00C34E8F" w:rsidRPr="00DB406F" w:rsidRDefault="00C34E8F" w:rsidP="00FF226F">
            <w:pPr>
              <w:numPr>
                <w:ilvl w:val="0"/>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Option4: Re-index the non-serving cell RS, e.g., in the TCI state/QCL-Info, so that the UE can differentiate between a serving cell RS and a non-serving cell RS</w:t>
            </w:r>
          </w:p>
          <w:p w14:paraId="690D7737" w14:textId="77777777" w:rsidR="00C34E8F" w:rsidRPr="00DB406F" w:rsidRDefault="00C34E8F" w:rsidP="00FF226F">
            <w:pPr>
              <w:numPr>
                <w:ilvl w:val="1"/>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Example: serving cell RSs are indexed from #0, #1, …, #N-1, while non-serving cell RSs are re-indexed from #N, #N+1, …</w:t>
            </w:r>
          </w:p>
          <w:p w14:paraId="44A369D3" w14:textId="77777777" w:rsidR="00C34E8F" w:rsidRPr="00DB406F" w:rsidRDefault="00C34E8F" w:rsidP="00FF226F">
            <w:pPr>
              <w:numPr>
                <w:ilvl w:val="1"/>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 xml:space="preserve">FFS: detailed re-indexing rule(s) of non-serving cell RSs </w:t>
            </w:r>
          </w:p>
          <w:p w14:paraId="4C1F8C42" w14:textId="77777777" w:rsidR="00C34E8F" w:rsidRPr="00DB406F" w:rsidRDefault="00C34E8F" w:rsidP="00FF226F">
            <w:pPr>
              <w:numPr>
                <w:ilvl w:val="0"/>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 xml:space="preserve">Option5: Introduce a new indicator (e.g., re-index the non-serving cell) to indicate the non-serving cell information that a TCI state/QCL information is associated with </w:t>
            </w:r>
          </w:p>
          <w:p w14:paraId="71549A30" w14:textId="77777777" w:rsidR="00C34E8F" w:rsidRPr="00DB406F" w:rsidRDefault="00C34E8F" w:rsidP="00FF226F">
            <w:pPr>
              <w:numPr>
                <w:ilvl w:val="1"/>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FFS: how the indicator is linked to non-serving cell</w:t>
            </w:r>
          </w:p>
          <w:p w14:paraId="55AC17F3" w14:textId="77777777" w:rsidR="00C34E8F" w:rsidRPr="00DB406F" w:rsidRDefault="00C34E8F" w:rsidP="00FF226F">
            <w:pPr>
              <w:numPr>
                <w:ilvl w:val="1"/>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Note: when there is only one non-serving cell, it means the same as Option2.</w:t>
            </w:r>
          </w:p>
          <w:p w14:paraId="461FB080" w14:textId="77777777" w:rsidR="00C34E8F" w:rsidRPr="00917096" w:rsidRDefault="00C34E8F" w:rsidP="00FF226F">
            <w:pPr>
              <w:spacing w:before="0" w:after="0"/>
              <w:rPr>
                <w:rFonts w:eastAsia="等线"/>
                <w:iCs/>
                <w:sz w:val="20"/>
                <w:szCs w:val="20"/>
                <w:lang w:val="en-GB" w:eastAsia="zh-CN"/>
              </w:rPr>
            </w:pPr>
          </w:p>
          <w:p w14:paraId="65D8CA9B" w14:textId="0F7696CF" w:rsidR="00C34E8F" w:rsidRPr="00FF226F" w:rsidRDefault="00C34E8F" w:rsidP="00453280">
            <w:pPr>
              <w:spacing w:before="0" w:after="0"/>
              <w:rPr>
                <w:b/>
                <w:bCs/>
                <w:sz w:val="20"/>
                <w:szCs w:val="20"/>
                <w:highlight w:val="green"/>
                <w:lang w:eastAsia="x-none"/>
              </w:rPr>
            </w:pPr>
            <w:r w:rsidRPr="00453280">
              <w:rPr>
                <w:rFonts w:eastAsia="Batang"/>
                <w:b/>
                <w:bCs/>
                <w:sz w:val="20"/>
                <w:szCs w:val="20"/>
                <w:highlight w:val="green"/>
                <w:lang w:val="en-GB" w:eastAsia="zh-CN"/>
              </w:rPr>
              <w:t>Agreement</w:t>
            </w:r>
            <w:r>
              <w:rPr>
                <w:rFonts w:eastAsia="Batang"/>
                <w:b/>
                <w:bCs/>
                <w:sz w:val="20"/>
                <w:szCs w:val="20"/>
                <w:highlight w:val="green"/>
                <w:lang w:val="en-GB" w:eastAsia="zh-CN"/>
              </w:rPr>
              <w:t xml:space="preserve"> </w:t>
            </w:r>
            <w:r>
              <w:rPr>
                <w:rFonts w:eastAsia="Batang"/>
                <w:b/>
                <w:bCs/>
                <w:sz w:val="20"/>
                <w:szCs w:val="20"/>
                <w:lang w:val="en-GB" w:eastAsia="zh-CN"/>
              </w:rPr>
              <w:t>(RAN1#104b-e)</w:t>
            </w:r>
          </w:p>
          <w:p w14:paraId="48E178D8" w14:textId="77777777" w:rsidR="00C34E8F" w:rsidRPr="00FF226F" w:rsidRDefault="00C34E8F" w:rsidP="00FF226F">
            <w:pPr>
              <w:spacing w:before="0" w:after="0"/>
              <w:rPr>
                <w:sz w:val="20"/>
                <w:szCs w:val="15"/>
              </w:rPr>
            </w:pPr>
            <w:r w:rsidRPr="00FF226F">
              <w:rPr>
                <w:sz w:val="20"/>
                <w:szCs w:val="15"/>
              </w:rPr>
              <w:t xml:space="preserve">For intercell MTRP operation, </w:t>
            </w:r>
            <w:proofErr w:type="spellStart"/>
            <w:r w:rsidRPr="00FF226F">
              <w:rPr>
                <w:sz w:val="20"/>
                <w:szCs w:val="15"/>
              </w:rPr>
              <w:t>downselect</w:t>
            </w:r>
            <w:proofErr w:type="spellEnd"/>
            <w:r w:rsidRPr="00FF226F">
              <w:rPr>
                <w:sz w:val="20"/>
                <w:szCs w:val="15"/>
              </w:rPr>
              <w:t xml:space="preserve"> one or more of the following alternatives in RAN1#105-e</w:t>
            </w:r>
          </w:p>
          <w:p w14:paraId="0CE5DCD3" w14:textId="77777777" w:rsidR="00C34E8F" w:rsidRPr="00FF226F" w:rsidRDefault="00C34E8F" w:rsidP="00FF226F">
            <w:pPr>
              <w:numPr>
                <w:ilvl w:val="0"/>
                <w:numId w:val="48"/>
              </w:numPr>
              <w:spacing w:before="0" w:after="0"/>
              <w:rPr>
                <w:rFonts w:eastAsia="等线" w:cs="Times"/>
                <w:bCs/>
                <w:iCs/>
                <w:kern w:val="32"/>
                <w:sz w:val="20"/>
                <w:szCs w:val="20"/>
              </w:rPr>
            </w:pPr>
            <w:r w:rsidRPr="00FF226F">
              <w:rPr>
                <w:rFonts w:eastAsia="等线" w:cs="Times"/>
                <w:bCs/>
                <w:iCs/>
                <w:kern w:val="32"/>
                <w:sz w:val="20"/>
                <w:szCs w:val="20"/>
              </w:rPr>
              <w:t xml:space="preserve">Alt1: one PCI associated with one or more of activated TCI states for [PDSCH]/PDCCH can be associated with only one </w:t>
            </w:r>
            <w:proofErr w:type="spellStart"/>
            <w:r w:rsidRPr="00FF226F">
              <w:rPr>
                <w:rFonts w:eastAsia="等线" w:cs="Times"/>
                <w:bCs/>
                <w:iCs/>
                <w:kern w:val="32"/>
                <w:sz w:val="20"/>
                <w:szCs w:val="20"/>
              </w:rPr>
              <w:t>CORESETPoolIndex</w:t>
            </w:r>
            <w:proofErr w:type="spellEnd"/>
          </w:p>
          <w:p w14:paraId="695542C5" w14:textId="77777777" w:rsidR="00C34E8F" w:rsidRPr="00FF226F" w:rsidRDefault="00C34E8F" w:rsidP="00FF226F">
            <w:pPr>
              <w:numPr>
                <w:ilvl w:val="0"/>
                <w:numId w:val="48"/>
              </w:numPr>
              <w:spacing w:before="0" w:after="0"/>
              <w:rPr>
                <w:rFonts w:eastAsia="等线" w:cs="Times"/>
                <w:bCs/>
                <w:iCs/>
                <w:kern w:val="32"/>
                <w:sz w:val="20"/>
                <w:szCs w:val="20"/>
              </w:rPr>
            </w:pPr>
            <w:r w:rsidRPr="00FF226F">
              <w:rPr>
                <w:rFonts w:eastAsia="等线" w:cs="Times"/>
                <w:bCs/>
                <w:iCs/>
                <w:kern w:val="32"/>
                <w:sz w:val="20"/>
                <w:szCs w:val="20"/>
              </w:rPr>
              <w:t xml:space="preserve">Alt2: one PCI associated with one or more of activated TCI states for [PDSCH]/PDCCH can be associated with more than one </w:t>
            </w:r>
            <w:proofErr w:type="spellStart"/>
            <w:r w:rsidRPr="00FF226F">
              <w:rPr>
                <w:rFonts w:eastAsia="等线" w:cs="Times"/>
                <w:bCs/>
                <w:iCs/>
                <w:kern w:val="32"/>
                <w:sz w:val="20"/>
                <w:szCs w:val="20"/>
              </w:rPr>
              <w:t>CORESETPoolIndex</w:t>
            </w:r>
            <w:proofErr w:type="spellEnd"/>
          </w:p>
          <w:p w14:paraId="06EF81A5" w14:textId="77777777" w:rsidR="00C34E8F" w:rsidRPr="00FF226F" w:rsidRDefault="00C34E8F" w:rsidP="00FF226F">
            <w:pPr>
              <w:numPr>
                <w:ilvl w:val="0"/>
                <w:numId w:val="48"/>
              </w:numPr>
              <w:spacing w:before="0" w:after="0"/>
              <w:rPr>
                <w:rFonts w:eastAsia="等线" w:cs="Times"/>
                <w:bCs/>
                <w:iCs/>
                <w:kern w:val="32"/>
                <w:sz w:val="20"/>
                <w:szCs w:val="20"/>
              </w:rPr>
            </w:pPr>
            <w:r w:rsidRPr="00FF226F">
              <w:rPr>
                <w:rFonts w:eastAsia="等线" w:cs="Times"/>
                <w:bCs/>
                <w:iCs/>
                <w:kern w:val="32"/>
                <w:sz w:val="20"/>
                <w:szCs w:val="20"/>
              </w:rPr>
              <w:t xml:space="preserve">Alt3: one PCI associated with TCI states for [PDSCH]/PDCCH via QCL relationship without association with </w:t>
            </w:r>
            <w:proofErr w:type="spellStart"/>
            <w:r w:rsidRPr="00FF226F">
              <w:rPr>
                <w:rFonts w:eastAsia="等线" w:cs="Times"/>
                <w:bCs/>
                <w:iCs/>
                <w:kern w:val="32"/>
                <w:sz w:val="20"/>
                <w:szCs w:val="20"/>
              </w:rPr>
              <w:t>CORESETPoolIndex</w:t>
            </w:r>
            <w:proofErr w:type="spellEnd"/>
          </w:p>
          <w:p w14:paraId="2D4D5702" w14:textId="77777777" w:rsidR="00C34E8F" w:rsidRPr="00FF226F" w:rsidRDefault="00C34E8F" w:rsidP="00FF226F">
            <w:pPr>
              <w:spacing w:before="0" w:after="0"/>
              <w:rPr>
                <w:rFonts w:eastAsia="等线" w:cs="Times"/>
                <w:bCs/>
                <w:iCs/>
                <w:kern w:val="32"/>
                <w:sz w:val="20"/>
                <w:szCs w:val="20"/>
              </w:rPr>
            </w:pPr>
            <w:r w:rsidRPr="00FF226F">
              <w:rPr>
                <w:rFonts w:eastAsia="等线" w:cs="Times"/>
                <w:bCs/>
                <w:iCs/>
                <w:kern w:val="32"/>
                <w:sz w:val="20"/>
                <w:szCs w:val="20"/>
              </w:rPr>
              <w:t>Note: This agreement is not related to the down-selection of one of the 5 options from RAN1#104-e</w:t>
            </w:r>
          </w:p>
          <w:p w14:paraId="727F7784" w14:textId="1599EF11" w:rsidR="00C34E8F" w:rsidRPr="00453280" w:rsidRDefault="00C34E8F" w:rsidP="00453280">
            <w:pPr>
              <w:spacing w:before="0" w:after="0"/>
              <w:rPr>
                <w:rFonts w:eastAsia="等线" w:cs="Times"/>
                <w:bCs/>
                <w:iCs/>
                <w:kern w:val="32"/>
                <w:sz w:val="20"/>
                <w:szCs w:val="20"/>
              </w:rPr>
            </w:pPr>
            <w:r w:rsidRPr="00FF226F">
              <w:rPr>
                <w:rFonts w:eastAsia="等线" w:cs="Times"/>
                <w:bCs/>
                <w:iCs/>
                <w:kern w:val="32"/>
                <w:sz w:val="20"/>
                <w:szCs w:val="20"/>
              </w:rPr>
              <w:t>Note: Above should be specified by reusing Rel-15/Rel-16 QCL rules as concluded in RAN1#104-e</w:t>
            </w:r>
          </w:p>
        </w:tc>
      </w:tr>
    </w:tbl>
    <w:p w14:paraId="56E58DA1" w14:textId="709142B3" w:rsidR="00073CF8" w:rsidRDefault="00B54EBD" w:rsidP="00B54EBD">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lastRenderedPageBreak/>
        <w:t xml:space="preserve">To facilitate </w:t>
      </w:r>
      <w:proofErr w:type="spellStart"/>
      <w:r>
        <w:rPr>
          <w:rFonts w:eastAsiaTheme="minorEastAsia"/>
          <w:color w:val="000000"/>
          <w:sz w:val="22"/>
          <w:szCs w:val="22"/>
          <w:lang w:val="x-none" w:eastAsia="zh-CN"/>
        </w:rPr>
        <w:t>gNB’s</w:t>
      </w:r>
      <w:proofErr w:type="spellEnd"/>
      <w:r>
        <w:rPr>
          <w:rFonts w:eastAsiaTheme="minorEastAsia"/>
          <w:color w:val="000000"/>
          <w:sz w:val="22"/>
          <w:szCs w:val="22"/>
          <w:lang w:val="x-none" w:eastAsia="zh-CN"/>
        </w:rPr>
        <w:t xml:space="preserve"> L1/L2 mobility decision of non-serving cells/beams, multiple non-serving cells’ configurations can be RRC configured. And L1 beam measurement/reporting can be configured for those multiple non-serving cells. After receiving the L1 beam reporting results of those multiple non-serving cells, </w:t>
      </w:r>
      <w:proofErr w:type="spellStart"/>
      <w:r>
        <w:rPr>
          <w:rFonts w:eastAsiaTheme="minorEastAsia"/>
          <w:color w:val="000000"/>
          <w:sz w:val="22"/>
          <w:szCs w:val="22"/>
          <w:lang w:val="x-none" w:eastAsia="zh-CN"/>
        </w:rPr>
        <w:t>gNB</w:t>
      </w:r>
      <w:proofErr w:type="spellEnd"/>
      <w:r>
        <w:rPr>
          <w:rFonts w:eastAsiaTheme="minorEastAsia"/>
          <w:color w:val="000000"/>
          <w:sz w:val="22"/>
          <w:szCs w:val="22"/>
          <w:lang w:val="x-none" w:eastAsia="zh-CN"/>
        </w:rPr>
        <w:t xml:space="preserve"> can decide the target non-serving cell/beam for L1/L2 mobility and re-configure the association with TCI state/</w:t>
      </w:r>
      <w:r w:rsidRPr="00B71681">
        <w:rPr>
          <w:rFonts w:eastAsiaTheme="minorEastAsia"/>
          <w:color w:val="000000"/>
          <w:sz w:val="22"/>
          <w:szCs w:val="22"/>
          <w:lang w:val="x-none" w:eastAsia="zh-CN"/>
        </w:rPr>
        <w:t>QCL-info</w:t>
      </w:r>
      <w:r>
        <w:rPr>
          <w:rFonts w:eastAsiaTheme="minorEastAsia"/>
          <w:color w:val="000000"/>
          <w:sz w:val="22"/>
          <w:szCs w:val="22"/>
          <w:lang w:val="x-none" w:eastAsia="zh-CN"/>
        </w:rPr>
        <w:t xml:space="preserve"> configuration</w:t>
      </w:r>
      <w:r w:rsidR="00E30DBD">
        <w:rPr>
          <w:rFonts w:eastAsiaTheme="minorEastAsia"/>
          <w:color w:val="000000"/>
          <w:sz w:val="22"/>
          <w:szCs w:val="22"/>
          <w:lang w:val="x-none" w:eastAsia="zh-CN"/>
        </w:rPr>
        <w:t xml:space="preserve"> or update the activated TCI states by MAC CE</w:t>
      </w:r>
      <w:r>
        <w:rPr>
          <w:rFonts w:eastAsiaTheme="minorEastAsia"/>
          <w:color w:val="000000"/>
          <w:sz w:val="22"/>
          <w:szCs w:val="22"/>
          <w:lang w:val="x-none" w:eastAsia="zh-CN"/>
        </w:rPr>
        <w:t xml:space="preserve">. </w:t>
      </w:r>
      <w:r w:rsidR="00A37459" w:rsidRPr="00A37459">
        <w:rPr>
          <w:rFonts w:eastAsiaTheme="minorEastAsia"/>
          <w:color w:val="000000"/>
          <w:sz w:val="22"/>
          <w:szCs w:val="22"/>
          <w:lang w:val="x-none" w:eastAsia="zh-CN"/>
        </w:rPr>
        <w:t>For TCI state/QCL-info configuration, the indicator of re-indexing index of non-serving cell</w:t>
      </w:r>
      <w:r w:rsidR="00A37459">
        <w:rPr>
          <w:rFonts w:eastAsiaTheme="minorEastAsia"/>
          <w:color w:val="000000"/>
          <w:sz w:val="22"/>
          <w:szCs w:val="22"/>
          <w:lang w:val="x-none" w:eastAsia="zh-CN"/>
        </w:rPr>
        <w:t>s</w:t>
      </w:r>
      <w:r w:rsidR="00A37459" w:rsidRPr="00A37459">
        <w:rPr>
          <w:rFonts w:eastAsiaTheme="minorEastAsia"/>
          <w:color w:val="000000"/>
          <w:sz w:val="22"/>
          <w:szCs w:val="22"/>
          <w:lang w:val="x-none" w:eastAsia="zh-CN"/>
        </w:rPr>
        <w:t xml:space="preserve"> can be configured in TCI state/QCL-Info if SSB of non-serving cell is configured as QCL source RS. Hence, Option 5 </w:t>
      </w:r>
      <w:r w:rsidR="00710C92">
        <w:rPr>
          <w:rFonts w:eastAsiaTheme="minorEastAsia"/>
          <w:color w:val="000000"/>
          <w:sz w:val="22"/>
          <w:szCs w:val="22"/>
          <w:lang w:val="x-none" w:eastAsia="zh-CN"/>
        </w:rPr>
        <w:t>should</w:t>
      </w:r>
      <w:r w:rsidR="00A37459" w:rsidRPr="00A37459">
        <w:rPr>
          <w:rFonts w:eastAsiaTheme="minorEastAsia"/>
          <w:color w:val="000000"/>
          <w:sz w:val="22"/>
          <w:szCs w:val="22"/>
          <w:lang w:val="x-none" w:eastAsia="zh-CN"/>
        </w:rPr>
        <w:t xml:space="preserve"> be supported, which </w:t>
      </w:r>
      <w:r w:rsidR="00073CF8">
        <w:rPr>
          <w:rFonts w:eastAsiaTheme="minorEastAsia"/>
          <w:color w:val="000000"/>
          <w:sz w:val="22"/>
          <w:szCs w:val="22"/>
          <w:lang w:val="x-none" w:eastAsia="zh-CN"/>
        </w:rPr>
        <w:t>considers</w:t>
      </w:r>
      <w:r w:rsidR="001F6EC8">
        <w:rPr>
          <w:rFonts w:eastAsiaTheme="minorEastAsia"/>
          <w:color w:val="000000"/>
          <w:sz w:val="22"/>
          <w:szCs w:val="22"/>
          <w:lang w:val="x-none" w:eastAsia="zh-CN"/>
        </w:rPr>
        <w:t xml:space="preserve"> </w:t>
      </w:r>
      <w:r w:rsidR="00710C92">
        <w:rPr>
          <w:rFonts w:eastAsiaTheme="minorEastAsia"/>
          <w:color w:val="000000"/>
          <w:sz w:val="22"/>
          <w:szCs w:val="22"/>
          <w:lang w:val="x-none" w:eastAsia="zh-CN"/>
        </w:rPr>
        <w:t xml:space="preserve">signaling overhead for </w:t>
      </w:r>
      <w:r w:rsidR="001F6EC8">
        <w:rPr>
          <w:rFonts w:eastAsiaTheme="minorEastAsia"/>
          <w:color w:val="000000"/>
          <w:sz w:val="22"/>
          <w:szCs w:val="22"/>
          <w:lang w:val="x-none" w:eastAsia="zh-CN"/>
        </w:rPr>
        <w:t>the case</w:t>
      </w:r>
      <w:r w:rsidR="00073CF8">
        <w:rPr>
          <w:rFonts w:eastAsiaTheme="minorEastAsia"/>
          <w:color w:val="000000"/>
          <w:sz w:val="22"/>
          <w:szCs w:val="22"/>
          <w:lang w:val="x-none" w:eastAsia="zh-CN"/>
        </w:rPr>
        <w:t xml:space="preserve"> of more than one RRC configured non-serving cell</w:t>
      </w:r>
      <w:r w:rsidR="00AE59B8">
        <w:rPr>
          <w:rFonts w:eastAsiaTheme="minorEastAsia"/>
          <w:color w:val="000000"/>
          <w:sz w:val="22"/>
          <w:szCs w:val="22"/>
          <w:lang w:val="x-none" w:eastAsia="zh-CN"/>
        </w:rPr>
        <w:t>.</w:t>
      </w:r>
    </w:p>
    <w:p w14:paraId="59CDEAE4" w14:textId="2BD4D581" w:rsidR="00B54EBD" w:rsidRDefault="00B54EBD" w:rsidP="00B54EBD">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In multi-DCI based MTRP transmission, considering that a </w:t>
      </w:r>
      <w:proofErr w:type="spellStart"/>
      <w:r>
        <w:rPr>
          <w:rFonts w:eastAsiaTheme="minorEastAsia"/>
          <w:color w:val="000000"/>
          <w:sz w:val="22"/>
          <w:szCs w:val="22"/>
          <w:lang w:val="x-none" w:eastAsia="zh-CN"/>
        </w:rPr>
        <w:t>CORESETPoolIndex</w:t>
      </w:r>
      <w:proofErr w:type="spellEnd"/>
      <w:r>
        <w:rPr>
          <w:rFonts w:eastAsiaTheme="minorEastAsia"/>
          <w:color w:val="000000"/>
          <w:sz w:val="22"/>
          <w:szCs w:val="22"/>
          <w:lang w:val="x-none" w:eastAsia="zh-CN"/>
        </w:rPr>
        <w:t xml:space="preserve"> represents one TRP and up to two </w:t>
      </w:r>
      <w:proofErr w:type="spellStart"/>
      <w:r w:rsidRPr="00E0364F">
        <w:rPr>
          <w:rFonts w:eastAsiaTheme="minorEastAsia"/>
          <w:color w:val="000000"/>
          <w:sz w:val="22"/>
          <w:szCs w:val="22"/>
          <w:lang w:val="x-none" w:eastAsia="zh-CN"/>
        </w:rPr>
        <w:t>CORESETPoolIndex</w:t>
      </w:r>
      <w:proofErr w:type="spellEnd"/>
      <w:r>
        <w:rPr>
          <w:rFonts w:eastAsiaTheme="minorEastAsia"/>
          <w:color w:val="000000"/>
          <w:sz w:val="22"/>
          <w:szCs w:val="22"/>
          <w:lang w:val="x-none" w:eastAsia="zh-CN"/>
        </w:rPr>
        <w:t xml:space="preserve"> can be configured, at most one non-serving cell can be configured to be associated with the </w:t>
      </w:r>
      <w:r w:rsidR="007077C8" w:rsidRPr="007077C8">
        <w:rPr>
          <w:rFonts w:eastAsiaTheme="minorEastAsia"/>
          <w:color w:val="000000"/>
          <w:sz w:val="22"/>
          <w:szCs w:val="22"/>
          <w:lang w:val="x-none" w:eastAsia="zh-CN"/>
        </w:rPr>
        <w:t xml:space="preserve">activated </w:t>
      </w:r>
      <w:r w:rsidRPr="0033453E">
        <w:rPr>
          <w:rFonts w:eastAsiaTheme="minorEastAsia"/>
          <w:color w:val="000000"/>
          <w:sz w:val="22"/>
          <w:szCs w:val="22"/>
          <w:lang w:val="x-none" w:eastAsia="zh-CN"/>
        </w:rPr>
        <w:t>TCI state/QCL-info configuration</w:t>
      </w:r>
      <w:r>
        <w:rPr>
          <w:rFonts w:eastAsiaTheme="minorEastAsia"/>
          <w:color w:val="000000"/>
          <w:sz w:val="22"/>
          <w:szCs w:val="22"/>
          <w:lang w:val="x-none" w:eastAsia="zh-CN"/>
        </w:rPr>
        <w:t xml:space="preserve"> on a CC.</w:t>
      </w:r>
      <w:r w:rsidR="00FA6298">
        <w:rPr>
          <w:rFonts w:eastAsiaTheme="minorEastAsia"/>
          <w:color w:val="000000"/>
          <w:sz w:val="22"/>
          <w:szCs w:val="22"/>
          <w:lang w:val="x-none" w:eastAsia="zh-CN"/>
        </w:rPr>
        <w:t xml:space="preserve"> Hence, Alt.1</w:t>
      </w:r>
      <w:r w:rsidR="00600D7E">
        <w:rPr>
          <w:rFonts w:eastAsiaTheme="minorEastAsia"/>
          <w:color w:val="000000"/>
          <w:sz w:val="22"/>
          <w:szCs w:val="22"/>
          <w:lang w:val="x-none" w:eastAsia="zh-CN"/>
        </w:rPr>
        <w:t xml:space="preserve"> can be supported that</w:t>
      </w:r>
      <w:r w:rsidR="00600D7E" w:rsidRPr="00600D7E">
        <w:rPr>
          <w:rFonts w:eastAsiaTheme="minorEastAsia"/>
          <w:color w:val="000000"/>
          <w:sz w:val="22"/>
          <w:szCs w:val="22"/>
          <w:lang w:val="x-none" w:eastAsia="zh-CN"/>
        </w:rPr>
        <w:t xml:space="preserve"> one PCI associated with one or more of activated TCI states for PDSCH/PDCCH can be associated with only one </w:t>
      </w:r>
      <w:proofErr w:type="spellStart"/>
      <w:r w:rsidR="00600D7E" w:rsidRPr="00600D7E">
        <w:rPr>
          <w:rFonts w:eastAsiaTheme="minorEastAsia"/>
          <w:color w:val="000000"/>
          <w:sz w:val="22"/>
          <w:szCs w:val="22"/>
          <w:lang w:val="x-none" w:eastAsia="zh-CN"/>
        </w:rPr>
        <w:t>CORESETPoolIndex</w:t>
      </w:r>
      <w:proofErr w:type="spellEnd"/>
      <w:r w:rsidR="00026EBB">
        <w:rPr>
          <w:rFonts w:eastAsiaTheme="minorEastAsia"/>
          <w:color w:val="000000"/>
          <w:sz w:val="22"/>
          <w:szCs w:val="22"/>
          <w:lang w:val="x-none" w:eastAsia="zh-CN"/>
        </w:rPr>
        <w:t>.</w:t>
      </w:r>
    </w:p>
    <w:p w14:paraId="3CB938C5" w14:textId="5CD49654" w:rsidR="00345075" w:rsidRPr="00453280" w:rsidRDefault="00345075" w:rsidP="00345075">
      <w:pPr>
        <w:spacing w:before="60"/>
        <w:rPr>
          <w:rFonts w:eastAsiaTheme="minorEastAsia"/>
          <w:b/>
          <w:bCs/>
          <w:sz w:val="22"/>
          <w:szCs w:val="22"/>
          <w:u w:val="single"/>
          <w:lang w:val="x-none"/>
        </w:rPr>
      </w:pPr>
    </w:p>
    <w:p w14:paraId="4FDF0A05" w14:textId="683175F7" w:rsidR="009F61CC" w:rsidRPr="00B44D24" w:rsidRDefault="009F61CC" w:rsidP="009F61CC">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3</w:t>
      </w:r>
      <w:r w:rsidRPr="00B44D24">
        <w:rPr>
          <w:rFonts w:eastAsiaTheme="minorEastAsia"/>
          <w:b/>
          <w:bCs/>
          <w:sz w:val="22"/>
          <w:szCs w:val="22"/>
          <w:u w:val="single"/>
        </w:rPr>
        <w:t>:</w:t>
      </w:r>
    </w:p>
    <w:p w14:paraId="3A903596" w14:textId="77777777" w:rsidR="009F61CC" w:rsidRDefault="009F61CC" w:rsidP="009F61CC">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84097E">
        <w:rPr>
          <w:rFonts w:ascii="Times New Roman" w:hAnsi="Times New Roman" w:cs="Times New Roman"/>
          <w:b/>
          <w:bCs/>
          <w:i/>
          <w:iCs/>
          <w:color w:val="212121"/>
          <w:sz w:val="22"/>
          <w:szCs w:val="22"/>
        </w:rPr>
        <w:t>Support</w:t>
      </w:r>
      <w:r>
        <w:rPr>
          <w:rFonts w:ascii="Times New Roman" w:hAnsi="Times New Roman" w:cs="Times New Roman"/>
          <w:b/>
          <w:bCs/>
          <w:i/>
          <w:iCs/>
          <w:color w:val="212121"/>
          <w:sz w:val="22"/>
          <w:szCs w:val="22"/>
        </w:rPr>
        <w:t xml:space="preserve"> Option 5 for TCI state/QCL-info configuration, i.e., </w:t>
      </w:r>
      <w:r w:rsidRPr="0084097E">
        <w:rPr>
          <w:rFonts w:ascii="Times New Roman" w:hAnsi="Times New Roman" w:cs="Times New Roman"/>
          <w:b/>
          <w:bCs/>
          <w:i/>
          <w:iCs/>
          <w:color w:val="212121"/>
          <w:sz w:val="22"/>
          <w:szCs w:val="22"/>
        </w:rPr>
        <w:t xml:space="preserve">to configure </w:t>
      </w:r>
      <w:r>
        <w:rPr>
          <w:rFonts w:ascii="Times New Roman" w:hAnsi="Times New Roman" w:cs="Times New Roman" w:hint="eastAsia"/>
          <w:b/>
          <w:bCs/>
          <w:i/>
          <w:iCs/>
          <w:color w:val="212121"/>
          <w:sz w:val="22"/>
          <w:szCs w:val="22"/>
        </w:rPr>
        <w:t>a</w:t>
      </w:r>
      <w:r>
        <w:rPr>
          <w:rFonts w:ascii="Times New Roman" w:hAnsi="Times New Roman" w:cs="Times New Roman"/>
          <w:b/>
          <w:bCs/>
          <w:i/>
          <w:iCs/>
          <w:color w:val="212121"/>
          <w:sz w:val="22"/>
          <w:szCs w:val="22"/>
        </w:rPr>
        <w:t xml:space="preserve"> new indicator (e.g., </w:t>
      </w:r>
      <w:r w:rsidRPr="00565757">
        <w:rPr>
          <w:rFonts w:ascii="Times New Roman" w:hAnsi="Times New Roman" w:cs="Times New Roman"/>
          <w:b/>
          <w:bCs/>
          <w:i/>
          <w:iCs/>
          <w:color w:val="212121"/>
          <w:sz w:val="22"/>
          <w:szCs w:val="22"/>
        </w:rPr>
        <w:t>re-index the non-serving cells</w:t>
      </w:r>
      <w:r>
        <w:rPr>
          <w:rFonts w:ascii="Times New Roman" w:hAnsi="Times New Roman" w:cs="Times New Roman"/>
          <w:b/>
          <w:bCs/>
          <w:i/>
          <w:iCs/>
          <w:color w:val="212121"/>
          <w:sz w:val="22"/>
          <w:szCs w:val="22"/>
        </w:rPr>
        <w:t xml:space="preserve">) </w:t>
      </w:r>
      <w:r w:rsidRPr="00B81373">
        <w:rPr>
          <w:rFonts w:ascii="Times New Roman" w:hAnsi="Times New Roman" w:cs="Times New Roman"/>
          <w:b/>
          <w:bCs/>
          <w:i/>
          <w:iCs/>
          <w:color w:val="212121"/>
          <w:sz w:val="22"/>
          <w:szCs w:val="22"/>
        </w:rPr>
        <w:t xml:space="preserve">in TCI state/QCL-Info configuration </w:t>
      </w:r>
      <w:r>
        <w:rPr>
          <w:rFonts w:ascii="Times New Roman" w:hAnsi="Times New Roman" w:cs="Times New Roman"/>
          <w:b/>
          <w:bCs/>
          <w:i/>
          <w:iCs/>
          <w:color w:val="212121"/>
          <w:sz w:val="22"/>
          <w:szCs w:val="22"/>
        </w:rPr>
        <w:t>to indicate the non-serving cell</w:t>
      </w:r>
      <w:r w:rsidRPr="00B81373">
        <w:rPr>
          <w:rFonts w:ascii="Times New Roman" w:hAnsi="Times New Roman" w:cs="Times New Roman"/>
          <w:b/>
          <w:bCs/>
          <w:i/>
          <w:iCs/>
          <w:color w:val="212121"/>
          <w:sz w:val="22"/>
          <w:szCs w:val="22"/>
        </w:rPr>
        <w:t>.</w:t>
      </w:r>
    </w:p>
    <w:p w14:paraId="332EEAA3" w14:textId="77777777" w:rsidR="009F61CC" w:rsidRDefault="009F61CC" w:rsidP="00B8749B">
      <w:pPr>
        <w:spacing w:before="60"/>
        <w:rPr>
          <w:rFonts w:eastAsiaTheme="minorEastAsia"/>
          <w:b/>
          <w:bCs/>
          <w:sz w:val="22"/>
          <w:szCs w:val="22"/>
          <w:u w:val="single"/>
        </w:rPr>
      </w:pPr>
    </w:p>
    <w:p w14:paraId="10319D71" w14:textId="5EB13A0D" w:rsidR="00B8749B" w:rsidRPr="00B44D24" w:rsidRDefault="00B8749B" w:rsidP="00B8749B">
      <w:pPr>
        <w:spacing w:before="60"/>
        <w:rPr>
          <w:b/>
          <w:bCs/>
          <w:color w:val="212121"/>
          <w:sz w:val="23"/>
          <w:szCs w:val="23"/>
          <w:u w:val="single"/>
        </w:rPr>
      </w:pPr>
      <w:r w:rsidRPr="00B44D24">
        <w:rPr>
          <w:rFonts w:eastAsiaTheme="minorEastAsia"/>
          <w:b/>
          <w:bCs/>
          <w:sz w:val="22"/>
          <w:szCs w:val="22"/>
          <w:u w:val="single"/>
        </w:rPr>
        <w:t xml:space="preserve">Proposal </w:t>
      </w:r>
      <w:r w:rsidR="000C7AF6">
        <w:rPr>
          <w:rFonts w:eastAsiaTheme="minorEastAsia"/>
          <w:b/>
          <w:bCs/>
          <w:sz w:val="22"/>
          <w:szCs w:val="22"/>
          <w:u w:val="single"/>
        </w:rPr>
        <w:t>4</w:t>
      </w:r>
      <w:r w:rsidRPr="00B44D24">
        <w:rPr>
          <w:rFonts w:eastAsiaTheme="minorEastAsia"/>
          <w:b/>
          <w:bCs/>
          <w:sz w:val="22"/>
          <w:szCs w:val="22"/>
          <w:u w:val="single"/>
        </w:rPr>
        <w:t>:</w:t>
      </w:r>
    </w:p>
    <w:p w14:paraId="5A719F76" w14:textId="24FDAA8A" w:rsidR="00B8749B" w:rsidRDefault="00945B2C" w:rsidP="00B8749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945B2C">
        <w:rPr>
          <w:rFonts w:ascii="Times New Roman" w:hAnsi="Times New Roman" w:cs="Times New Roman"/>
          <w:b/>
          <w:bCs/>
          <w:i/>
          <w:iCs/>
          <w:color w:val="212121"/>
          <w:sz w:val="22"/>
          <w:szCs w:val="22"/>
        </w:rPr>
        <w:t xml:space="preserve">Support Alt1: one PCI associated with one or more of activated TCI states for PDSCH/PDCCH can be associated with only one </w:t>
      </w:r>
      <w:proofErr w:type="spellStart"/>
      <w:r w:rsidRPr="00945B2C">
        <w:rPr>
          <w:rFonts w:ascii="Times New Roman" w:hAnsi="Times New Roman" w:cs="Times New Roman"/>
          <w:b/>
          <w:bCs/>
          <w:i/>
          <w:iCs/>
          <w:color w:val="212121"/>
          <w:sz w:val="22"/>
          <w:szCs w:val="22"/>
        </w:rPr>
        <w:t>CORESETPoolIndex</w:t>
      </w:r>
      <w:proofErr w:type="spellEnd"/>
      <w:r w:rsidR="00B8749B" w:rsidRPr="0084097E">
        <w:rPr>
          <w:rFonts w:ascii="Times New Roman" w:hAnsi="Times New Roman" w:cs="Times New Roman"/>
          <w:b/>
          <w:bCs/>
          <w:i/>
          <w:iCs/>
          <w:color w:val="212121"/>
          <w:sz w:val="22"/>
          <w:szCs w:val="22"/>
        </w:rPr>
        <w:t>.</w:t>
      </w:r>
    </w:p>
    <w:p w14:paraId="28D834B3" w14:textId="6DF2F392" w:rsidR="00D853D2" w:rsidRDefault="00B33844" w:rsidP="002B2EDB">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In addition to TCI state configuration for DL, non-serving cell SSB configuration is also needed for </w:t>
      </w:r>
      <w:r w:rsidR="00652AAF">
        <w:rPr>
          <w:rFonts w:eastAsiaTheme="minorEastAsia"/>
          <w:color w:val="000000"/>
          <w:sz w:val="22"/>
          <w:szCs w:val="22"/>
          <w:lang w:val="x-none" w:eastAsia="zh-CN"/>
        </w:rPr>
        <w:t>UL channels</w:t>
      </w:r>
      <w:r>
        <w:rPr>
          <w:rFonts w:eastAsiaTheme="minorEastAsia"/>
          <w:color w:val="000000"/>
          <w:sz w:val="22"/>
          <w:szCs w:val="22"/>
          <w:lang w:val="x-none" w:eastAsia="zh-CN"/>
        </w:rPr>
        <w:t xml:space="preserve">. </w:t>
      </w:r>
      <w:r w:rsidR="009276FE">
        <w:rPr>
          <w:rFonts w:eastAsiaTheme="minorEastAsia"/>
          <w:color w:val="000000"/>
          <w:sz w:val="22"/>
          <w:szCs w:val="22"/>
          <w:lang w:val="x-none" w:eastAsia="zh-CN"/>
        </w:rPr>
        <w:t>For example, i</w:t>
      </w:r>
      <w:r w:rsidR="006F4435">
        <w:rPr>
          <w:rFonts w:eastAsiaTheme="minorEastAsia"/>
          <w:color w:val="000000"/>
          <w:sz w:val="22"/>
          <w:szCs w:val="22"/>
          <w:lang w:val="x-none" w:eastAsia="zh-CN"/>
        </w:rPr>
        <w:t xml:space="preserve">t is also reasonable to configure the </w:t>
      </w:r>
      <w:r w:rsidR="006F4435" w:rsidRPr="006F4435">
        <w:rPr>
          <w:rFonts w:eastAsiaTheme="minorEastAsia"/>
          <w:color w:val="000000"/>
          <w:sz w:val="22"/>
          <w:szCs w:val="22"/>
          <w:lang w:val="x-none" w:eastAsia="zh-CN"/>
        </w:rPr>
        <w:t>non-serving SSB</w:t>
      </w:r>
      <w:r w:rsidR="006F4435">
        <w:rPr>
          <w:rFonts w:eastAsiaTheme="minorEastAsia"/>
          <w:color w:val="000000"/>
          <w:sz w:val="22"/>
          <w:szCs w:val="22"/>
          <w:lang w:val="x-none" w:eastAsia="zh-CN"/>
        </w:rPr>
        <w:t xml:space="preserve"> as</w:t>
      </w:r>
      <w:r w:rsidR="006F4435" w:rsidRPr="006F4435">
        <w:rPr>
          <w:rFonts w:eastAsiaTheme="minorEastAsia"/>
          <w:color w:val="000000"/>
          <w:sz w:val="22"/>
          <w:szCs w:val="22"/>
          <w:lang w:val="x-none" w:eastAsia="zh-CN"/>
        </w:rPr>
        <w:t xml:space="preserve"> QCL </w:t>
      </w:r>
      <w:r w:rsidR="00A55869">
        <w:rPr>
          <w:rFonts w:eastAsiaTheme="minorEastAsia"/>
          <w:color w:val="000000"/>
          <w:sz w:val="22"/>
          <w:szCs w:val="22"/>
          <w:lang w:val="x-none" w:eastAsia="zh-CN"/>
        </w:rPr>
        <w:t xml:space="preserve">source </w:t>
      </w:r>
      <w:r w:rsidR="00892A23" w:rsidRPr="00892A23">
        <w:rPr>
          <w:rFonts w:eastAsiaTheme="minorEastAsia"/>
          <w:color w:val="000000"/>
          <w:sz w:val="22"/>
          <w:szCs w:val="22"/>
          <w:lang w:val="x-none" w:eastAsia="zh-CN"/>
        </w:rPr>
        <w:t xml:space="preserve">RS with existing QCL relation </w:t>
      </w:r>
      <w:r w:rsidR="006F4435" w:rsidRPr="006F4435">
        <w:rPr>
          <w:rFonts w:eastAsiaTheme="minorEastAsia"/>
          <w:color w:val="000000"/>
          <w:sz w:val="22"/>
          <w:szCs w:val="22"/>
          <w:lang w:val="x-none" w:eastAsia="zh-CN"/>
        </w:rPr>
        <w:t>for UL</w:t>
      </w:r>
      <w:r w:rsidR="000C4880">
        <w:rPr>
          <w:rFonts w:eastAsiaTheme="minorEastAsia"/>
          <w:color w:val="000000"/>
          <w:sz w:val="22"/>
          <w:szCs w:val="22"/>
          <w:lang w:val="x-none" w:eastAsia="zh-CN"/>
        </w:rPr>
        <w:t xml:space="preserve"> </w:t>
      </w:r>
      <w:r w:rsidR="00987978" w:rsidRPr="00987978">
        <w:rPr>
          <w:rFonts w:eastAsiaTheme="minorEastAsia"/>
          <w:color w:val="000000"/>
          <w:sz w:val="22"/>
          <w:szCs w:val="22"/>
          <w:lang w:val="x-none" w:eastAsia="zh-CN"/>
        </w:rPr>
        <w:t>SRS, PUCCH, and PUSCH transmission</w:t>
      </w:r>
      <w:r w:rsidR="00F12D99">
        <w:rPr>
          <w:rFonts w:eastAsiaTheme="minorEastAsia"/>
          <w:color w:val="000000"/>
          <w:sz w:val="22"/>
          <w:szCs w:val="22"/>
          <w:lang w:val="x-none" w:eastAsia="zh-CN"/>
        </w:rPr>
        <w:t>.</w:t>
      </w:r>
      <w:r w:rsidR="00B94882">
        <w:rPr>
          <w:rFonts w:eastAsiaTheme="minorEastAsia"/>
          <w:color w:val="000000"/>
          <w:sz w:val="22"/>
          <w:szCs w:val="22"/>
          <w:lang w:val="x-none" w:eastAsia="zh-CN"/>
        </w:rPr>
        <w:t xml:space="preserve"> So that UL transmission </w:t>
      </w:r>
      <w:r w:rsidR="004C7B45">
        <w:rPr>
          <w:rFonts w:eastAsiaTheme="minorEastAsia"/>
          <w:color w:val="000000"/>
          <w:sz w:val="22"/>
          <w:szCs w:val="22"/>
          <w:lang w:val="x-none" w:eastAsia="zh-CN"/>
        </w:rPr>
        <w:t xml:space="preserve">to a non-serving cell </w:t>
      </w:r>
      <w:r w:rsidR="00B94882">
        <w:rPr>
          <w:rFonts w:eastAsiaTheme="minorEastAsia"/>
          <w:color w:val="000000"/>
          <w:sz w:val="22"/>
          <w:szCs w:val="22"/>
          <w:lang w:val="x-none" w:eastAsia="zh-CN"/>
        </w:rPr>
        <w:t xml:space="preserve">can be </w:t>
      </w:r>
      <w:r w:rsidR="004C7B45">
        <w:rPr>
          <w:rFonts w:eastAsiaTheme="minorEastAsia"/>
          <w:color w:val="000000"/>
          <w:sz w:val="22"/>
          <w:szCs w:val="22"/>
          <w:lang w:val="x-none" w:eastAsia="zh-CN"/>
        </w:rPr>
        <w:t>enabled.</w:t>
      </w:r>
    </w:p>
    <w:p w14:paraId="327BF14C" w14:textId="77777777" w:rsidR="00B73209" w:rsidRDefault="00B73209" w:rsidP="00040410">
      <w:pPr>
        <w:spacing w:before="60"/>
        <w:jc w:val="both"/>
        <w:rPr>
          <w:rFonts w:eastAsiaTheme="minorEastAsia"/>
          <w:sz w:val="22"/>
          <w:szCs w:val="22"/>
          <w:lang w:eastAsia="zh-CN"/>
        </w:rPr>
      </w:pPr>
    </w:p>
    <w:p w14:paraId="44C123D5" w14:textId="1C77282B" w:rsidR="00E1287A" w:rsidRPr="00B44D24" w:rsidRDefault="00E31CA2" w:rsidP="007A30CB">
      <w:pPr>
        <w:spacing w:before="60"/>
        <w:rPr>
          <w:b/>
          <w:bCs/>
          <w:color w:val="212121"/>
          <w:sz w:val="23"/>
          <w:szCs w:val="23"/>
          <w:u w:val="single"/>
        </w:rPr>
      </w:pPr>
      <w:r w:rsidRPr="00B44D24">
        <w:rPr>
          <w:rFonts w:eastAsiaTheme="minorEastAsia"/>
          <w:b/>
          <w:bCs/>
          <w:sz w:val="22"/>
          <w:szCs w:val="22"/>
          <w:u w:val="single"/>
        </w:rPr>
        <w:t xml:space="preserve">Proposal </w:t>
      </w:r>
      <w:r w:rsidR="000C7AF6">
        <w:rPr>
          <w:rFonts w:eastAsiaTheme="minorEastAsia"/>
          <w:b/>
          <w:bCs/>
          <w:sz w:val="22"/>
          <w:szCs w:val="22"/>
          <w:u w:val="single"/>
        </w:rPr>
        <w:t>5</w:t>
      </w:r>
      <w:r w:rsidRPr="00B44D24">
        <w:rPr>
          <w:rFonts w:eastAsiaTheme="minorEastAsia"/>
          <w:b/>
          <w:bCs/>
          <w:sz w:val="22"/>
          <w:szCs w:val="22"/>
          <w:u w:val="single"/>
        </w:rPr>
        <w:t>:</w:t>
      </w:r>
    </w:p>
    <w:p w14:paraId="57983551" w14:textId="224CC47A" w:rsidR="004B1257" w:rsidRPr="00C617EF" w:rsidRDefault="006F5822" w:rsidP="00DA19E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F5822">
        <w:rPr>
          <w:rFonts w:ascii="Times New Roman" w:hAnsi="Times New Roman" w:cs="Times New Roman"/>
          <w:b/>
          <w:bCs/>
          <w:i/>
          <w:iCs/>
          <w:color w:val="212121"/>
          <w:sz w:val="22"/>
          <w:szCs w:val="22"/>
        </w:rPr>
        <w:t xml:space="preserve">Support configuration of </w:t>
      </w:r>
      <w:r w:rsidR="00C82620" w:rsidRPr="00C82620">
        <w:rPr>
          <w:rFonts w:ascii="Times New Roman" w:hAnsi="Times New Roman" w:cs="Times New Roman"/>
          <w:b/>
          <w:bCs/>
          <w:i/>
          <w:iCs/>
          <w:color w:val="212121"/>
          <w:sz w:val="22"/>
          <w:szCs w:val="22"/>
        </w:rPr>
        <w:t xml:space="preserve">SSBs from </w:t>
      </w:r>
      <w:r w:rsidR="00C82620">
        <w:rPr>
          <w:rFonts w:ascii="Times New Roman" w:hAnsi="Times New Roman" w:cs="Times New Roman"/>
          <w:b/>
          <w:bCs/>
          <w:i/>
          <w:iCs/>
          <w:color w:val="212121"/>
          <w:sz w:val="22"/>
          <w:szCs w:val="22"/>
        </w:rPr>
        <w:t xml:space="preserve">a </w:t>
      </w:r>
      <w:r w:rsidR="00C82620" w:rsidRPr="00C82620">
        <w:rPr>
          <w:rFonts w:ascii="Times New Roman" w:hAnsi="Times New Roman" w:cs="Times New Roman"/>
          <w:b/>
          <w:bCs/>
          <w:i/>
          <w:iCs/>
          <w:color w:val="212121"/>
          <w:sz w:val="22"/>
          <w:szCs w:val="22"/>
        </w:rPr>
        <w:t xml:space="preserve">cell with different PCI </w:t>
      </w:r>
      <w:r w:rsidRPr="006F5822">
        <w:rPr>
          <w:rFonts w:ascii="Times New Roman" w:hAnsi="Times New Roman" w:cs="Times New Roman"/>
          <w:b/>
          <w:bCs/>
          <w:i/>
          <w:iCs/>
          <w:color w:val="212121"/>
          <w:sz w:val="22"/>
          <w:szCs w:val="22"/>
        </w:rPr>
        <w:t xml:space="preserve">as QCL source RS </w:t>
      </w:r>
      <w:r w:rsidR="00987978" w:rsidRPr="00987978">
        <w:rPr>
          <w:rFonts w:ascii="Times New Roman" w:hAnsi="Times New Roman" w:cs="Times New Roman"/>
          <w:b/>
          <w:bCs/>
          <w:i/>
          <w:iCs/>
          <w:color w:val="212121"/>
          <w:sz w:val="22"/>
          <w:szCs w:val="22"/>
        </w:rPr>
        <w:t>with existing QCL relation for UL SRS, PUCCH, and PUSCH transmission</w:t>
      </w:r>
      <w:r w:rsidRPr="006F5822">
        <w:rPr>
          <w:rFonts w:ascii="Times New Roman" w:hAnsi="Times New Roman" w:cs="Times New Roman"/>
          <w:b/>
          <w:bCs/>
          <w:i/>
          <w:iCs/>
          <w:color w:val="212121"/>
          <w:sz w:val="22"/>
          <w:szCs w:val="22"/>
        </w:rPr>
        <w:t>.</w:t>
      </w:r>
    </w:p>
    <w:p w14:paraId="2DBC85DF" w14:textId="66CF06A7" w:rsidR="00CA1FF9" w:rsidRDefault="00CA1FF9" w:rsidP="00D92C41">
      <w:pPr>
        <w:pStyle w:val="x00text"/>
        <w:spacing w:before="60" w:after="60"/>
        <w:jc w:val="both"/>
        <w:rPr>
          <w:rFonts w:eastAsiaTheme="minorEastAsia"/>
          <w:color w:val="212121"/>
          <w:sz w:val="22"/>
          <w:szCs w:val="22"/>
          <w:lang w:eastAsia="zh-CN"/>
        </w:rPr>
      </w:pPr>
    </w:p>
    <w:p w14:paraId="6B0A6E90" w14:textId="0D97C56D" w:rsidR="00CB1E16" w:rsidRDefault="00CB1E16" w:rsidP="00CB1E16">
      <w:pPr>
        <w:pStyle w:val="1"/>
      </w:pPr>
      <w:r>
        <w:t>Rate matching</w:t>
      </w:r>
    </w:p>
    <w:p w14:paraId="2F3F28BC" w14:textId="77777777" w:rsidR="00CB1E16" w:rsidRPr="00453280" w:rsidRDefault="00CB1E16" w:rsidP="00D92C41">
      <w:pPr>
        <w:pStyle w:val="x00text"/>
        <w:spacing w:before="60" w:after="60"/>
        <w:jc w:val="both"/>
        <w:rPr>
          <w:rFonts w:eastAsiaTheme="minorEastAsia"/>
          <w:color w:val="212121"/>
          <w:sz w:val="22"/>
          <w:szCs w:val="22"/>
          <w:lang w:val="x-none" w:eastAsia="zh-CN"/>
        </w:rPr>
      </w:pPr>
    </w:p>
    <w:p w14:paraId="5542E0C4" w14:textId="087969B9" w:rsidR="00E4192A" w:rsidRDefault="00707902"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I</w:t>
      </w:r>
      <w:r>
        <w:rPr>
          <w:rFonts w:eastAsiaTheme="minorEastAsia"/>
          <w:color w:val="212121"/>
          <w:sz w:val="22"/>
          <w:szCs w:val="22"/>
          <w:lang w:eastAsia="zh-CN"/>
        </w:rPr>
        <w:t xml:space="preserve">n RAN1#104-e meeting, </w:t>
      </w:r>
      <w:r w:rsidR="00372312">
        <w:rPr>
          <w:rFonts w:eastAsiaTheme="minorEastAsia"/>
          <w:color w:val="212121"/>
          <w:sz w:val="22"/>
          <w:szCs w:val="22"/>
          <w:lang w:eastAsia="zh-CN"/>
        </w:rPr>
        <w:t>following agreement was made on rate matching.</w:t>
      </w:r>
    </w:p>
    <w:tbl>
      <w:tblPr>
        <w:tblStyle w:val="af"/>
        <w:tblW w:w="0" w:type="auto"/>
        <w:tblLook w:val="04A0" w:firstRow="1" w:lastRow="0" w:firstColumn="1" w:lastColumn="0" w:noHBand="0" w:noVBand="1"/>
      </w:tblPr>
      <w:tblGrid>
        <w:gridCol w:w="9962"/>
      </w:tblGrid>
      <w:tr w:rsidR="00E4192A" w14:paraId="45AF66AF" w14:textId="77777777" w:rsidTr="00FF226F">
        <w:tc>
          <w:tcPr>
            <w:tcW w:w="9962" w:type="dxa"/>
          </w:tcPr>
          <w:p w14:paraId="1B5301BC" w14:textId="77777777" w:rsidR="00E4192A" w:rsidRPr="00DB406F" w:rsidRDefault="00E4192A" w:rsidP="00FF226F">
            <w:pPr>
              <w:spacing w:before="0" w:after="0"/>
              <w:rPr>
                <w:rFonts w:eastAsia="Batang"/>
                <w:sz w:val="20"/>
                <w:szCs w:val="20"/>
                <w:lang w:eastAsia="zh-CN"/>
              </w:rPr>
            </w:pPr>
            <w:r w:rsidRPr="00DB406F">
              <w:rPr>
                <w:rFonts w:eastAsia="Batang"/>
                <w:sz w:val="20"/>
                <w:szCs w:val="20"/>
                <w:highlight w:val="green"/>
                <w:lang w:val="en-GB" w:eastAsia="zh-CN"/>
              </w:rPr>
              <w:t>Agreement</w:t>
            </w:r>
          </w:p>
          <w:p w14:paraId="5A764444" w14:textId="77777777" w:rsidR="00E4192A" w:rsidRPr="00DB406F" w:rsidRDefault="00E4192A" w:rsidP="00FF226F">
            <w:pPr>
              <w:spacing w:before="0" w:after="0"/>
              <w:rPr>
                <w:rFonts w:eastAsia="Batang"/>
                <w:sz w:val="20"/>
                <w:szCs w:val="20"/>
                <w:lang w:val="en-GB" w:eastAsia="zh-CN"/>
              </w:rPr>
            </w:pPr>
            <w:r w:rsidRPr="00DB406F">
              <w:rPr>
                <w:rFonts w:eastAsia="Batang"/>
                <w:sz w:val="20"/>
                <w:szCs w:val="20"/>
                <w:lang w:val="en-GB" w:eastAsia="zh-CN"/>
              </w:rPr>
              <w:t>Agree on scheme1</w:t>
            </w:r>
          </w:p>
          <w:p w14:paraId="0625BCAC" w14:textId="77777777" w:rsidR="00E4192A" w:rsidRPr="00DB406F" w:rsidRDefault="00E4192A" w:rsidP="00FF226F">
            <w:pPr>
              <w:numPr>
                <w:ilvl w:val="0"/>
                <w:numId w:val="46"/>
              </w:numPr>
              <w:overflowPunct w:val="0"/>
              <w:autoSpaceDE w:val="0"/>
              <w:autoSpaceDN w:val="0"/>
              <w:adjustRightInd w:val="0"/>
              <w:spacing w:before="0" w:after="180"/>
              <w:contextualSpacing/>
              <w:textAlignment w:val="baseline"/>
              <w:rPr>
                <w:rFonts w:eastAsia="宋体"/>
                <w:sz w:val="20"/>
                <w:szCs w:val="20"/>
                <w:lang w:val="en-GB" w:eastAsia="ja-JP"/>
              </w:rPr>
            </w:pPr>
            <w:r w:rsidRPr="00DB406F">
              <w:rPr>
                <w:rFonts w:eastAsia="宋体"/>
                <w:sz w:val="20"/>
                <w:szCs w:val="20"/>
                <w:lang w:val="en-GB" w:eastAsia="ja-JP"/>
              </w:rPr>
              <w:t>Scheme1: PDSCH/PDCCH from non-serving cell (PCI) associated with TCI state and/or QCL-info is rate matched around non-serving cell SSB with the same PCI</w:t>
            </w:r>
          </w:p>
          <w:p w14:paraId="70C3CF66" w14:textId="77777777" w:rsidR="00E4192A" w:rsidRPr="00DB406F" w:rsidRDefault="00E4192A" w:rsidP="00FF226F">
            <w:pPr>
              <w:numPr>
                <w:ilvl w:val="0"/>
                <w:numId w:val="46"/>
              </w:numPr>
              <w:overflowPunct w:val="0"/>
              <w:autoSpaceDE w:val="0"/>
              <w:autoSpaceDN w:val="0"/>
              <w:adjustRightInd w:val="0"/>
              <w:spacing w:before="0" w:after="180"/>
              <w:contextualSpacing/>
              <w:textAlignment w:val="baseline"/>
              <w:rPr>
                <w:rFonts w:eastAsia="宋体"/>
                <w:sz w:val="20"/>
                <w:szCs w:val="20"/>
                <w:lang w:val="en-GB" w:eastAsia="ja-JP"/>
              </w:rPr>
            </w:pPr>
            <w:r w:rsidRPr="00DB406F">
              <w:rPr>
                <w:rFonts w:eastAsia="宋体"/>
                <w:sz w:val="20"/>
                <w:szCs w:val="20"/>
                <w:lang w:val="en-GB" w:eastAsia="ja-JP"/>
              </w:rPr>
              <w:t xml:space="preserve">FFS: whether PDSCH /PDCCH from serving cell (PCI) is rate matched around non-serving cell SSB </w:t>
            </w:r>
          </w:p>
          <w:p w14:paraId="5DD81520" w14:textId="01C8EB2A" w:rsidR="00E4192A" w:rsidRPr="00453280" w:rsidRDefault="00E4192A" w:rsidP="00453280">
            <w:pPr>
              <w:numPr>
                <w:ilvl w:val="0"/>
                <w:numId w:val="46"/>
              </w:numPr>
              <w:overflowPunct w:val="0"/>
              <w:autoSpaceDE w:val="0"/>
              <w:autoSpaceDN w:val="0"/>
              <w:adjustRightInd w:val="0"/>
              <w:spacing w:before="0" w:after="180"/>
              <w:contextualSpacing/>
              <w:textAlignment w:val="baseline"/>
              <w:rPr>
                <w:rFonts w:eastAsia="宋体"/>
                <w:sz w:val="20"/>
                <w:szCs w:val="20"/>
                <w:lang w:val="en-GB" w:eastAsia="ja-JP"/>
              </w:rPr>
            </w:pPr>
            <w:r w:rsidRPr="00DB406F">
              <w:rPr>
                <w:rFonts w:eastAsia="宋体"/>
                <w:sz w:val="20"/>
                <w:szCs w:val="20"/>
                <w:lang w:val="en-GB" w:eastAsia="ja-JP"/>
              </w:rPr>
              <w:t>FFS: whether PDSCH/PDCCH from non-serving cell (PCI) associated with TCI state and/or QCL-info is rate matched around serving cell SSB</w:t>
            </w:r>
          </w:p>
        </w:tc>
      </w:tr>
    </w:tbl>
    <w:p w14:paraId="5D162F1E" w14:textId="5C93EE35" w:rsidR="00E4192A" w:rsidRDefault="00E4192A" w:rsidP="00D92C41">
      <w:pPr>
        <w:pStyle w:val="x00text"/>
        <w:spacing w:before="60" w:after="60"/>
        <w:jc w:val="both"/>
        <w:rPr>
          <w:rFonts w:eastAsiaTheme="minorEastAsia"/>
          <w:color w:val="212121"/>
          <w:sz w:val="22"/>
          <w:szCs w:val="22"/>
          <w:lang w:eastAsia="zh-CN"/>
        </w:rPr>
      </w:pPr>
    </w:p>
    <w:p w14:paraId="58114A28" w14:textId="761A4167" w:rsidR="00707902" w:rsidRDefault="003811B5" w:rsidP="00D92C41">
      <w:pPr>
        <w:pStyle w:val="x00text"/>
        <w:spacing w:before="60" w:after="60"/>
        <w:jc w:val="both"/>
        <w:rPr>
          <w:rFonts w:eastAsiaTheme="minorEastAsia"/>
          <w:color w:val="212121"/>
          <w:sz w:val="22"/>
          <w:szCs w:val="22"/>
          <w:lang w:eastAsia="zh-CN"/>
        </w:rPr>
      </w:pPr>
      <w:r>
        <w:rPr>
          <w:rFonts w:eastAsiaTheme="minorEastAsia"/>
          <w:color w:val="212121"/>
          <w:sz w:val="22"/>
          <w:szCs w:val="22"/>
          <w:lang w:eastAsia="zh-CN"/>
        </w:rPr>
        <w:t xml:space="preserve">It </w:t>
      </w:r>
      <w:r w:rsidR="00707902">
        <w:rPr>
          <w:rFonts w:eastAsiaTheme="minorEastAsia"/>
          <w:color w:val="212121"/>
          <w:sz w:val="22"/>
          <w:szCs w:val="22"/>
          <w:lang w:eastAsia="zh-CN"/>
        </w:rPr>
        <w:t xml:space="preserve">has been agreed that </w:t>
      </w:r>
      <w:r w:rsidR="00707902" w:rsidRPr="00707902">
        <w:rPr>
          <w:rFonts w:eastAsiaTheme="minorEastAsia"/>
          <w:color w:val="212121"/>
          <w:sz w:val="22"/>
          <w:szCs w:val="22"/>
          <w:lang w:eastAsia="zh-CN"/>
        </w:rPr>
        <w:t>PDSCH/PDCCH from non-serving cell (PCI) associated with TCI state and/or QCL-info is rate matched around non-serving cell SSB with the same PCI</w:t>
      </w:r>
      <w:r w:rsidR="00707902">
        <w:rPr>
          <w:rFonts w:eastAsiaTheme="minorEastAsia"/>
          <w:color w:val="212121"/>
          <w:sz w:val="22"/>
          <w:szCs w:val="22"/>
          <w:lang w:eastAsia="zh-CN"/>
        </w:rPr>
        <w:t>.</w:t>
      </w:r>
      <w:r w:rsidR="004A6D4A">
        <w:rPr>
          <w:rFonts w:eastAsiaTheme="minorEastAsia"/>
          <w:color w:val="212121"/>
          <w:sz w:val="22"/>
          <w:szCs w:val="22"/>
          <w:lang w:eastAsia="zh-CN"/>
        </w:rPr>
        <w:t xml:space="preserve"> But the rate matching between serving cell and non-serving cell is </w:t>
      </w:r>
      <w:r w:rsidR="00F871B4">
        <w:rPr>
          <w:rFonts w:eastAsiaTheme="minorEastAsia"/>
          <w:color w:val="212121"/>
          <w:sz w:val="22"/>
          <w:szCs w:val="22"/>
          <w:lang w:eastAsia="zh-CN"/>
        </w:rPr>
        <w:t>still</w:t>
      </w:r>
      <w:r w:rsidR="004A6D4A">
        <w:rPr>
          <w:rFonts w:eastAsiaTheme="minorEastAsia"/>
          <w:color w:val="212121"/>
          <w:sz w:val="22"/>
          <w:szCs w:val="22"/>
          <w:lang w:eastAsia="zh-CN"/>
        </w:rPr>
        <w:t xml:space="preserve"> FFS. In our understanding, </w:t>
      </w:r>
      <w:r w:rsidR="00C85897">
        <w:rPr>
          <w:rFonts w:eastAsiaTheme="minorEastAsia"/>
          <w:color w:val="212121"/>
          <w:sz w:val="22"/>
          <w:szCs w:val="22"/>
          <w:lang w:eastAsia="zh-CN"/>
        </w:rPr>
        <w:t xml:space="preserve">rate matching </w:t>
      </w:r>
      <w:r w:rsidR="00407680">
        <w:rPr>
          <w:rFonts w:eastAsiaTheme="minorEastAsia"/>
          <w:color w:val="212121"/>
          <w:sz w:val="22"/>
          <w:szCs w:val="22"/>
          <w:lang w:eastAsia="zh-CN"/>
        </w:rPr>
        <w:t xml:space="preserve">of PDSCH/PDCCH around SSB </w:t>
      </w:r>
      <w:r w:rsidR="00C85897">
        <w:rPr>
          <w:rFonts w:eastAsiaTheme="minorEastAsia"/>
          <w:color w:val="212121"/>
          <w:sz w:val="22"/>
          <w:szCs w:val="22"/>
          <w:lang w:eastAsia="zh-CN"/>
        </w:rPr>
        <w:t xml:space="preserve">is only needed </w:t>
      </w:r>
      <w:r w:rsidR="00F871B4">
        <w:rPr>
          <w:rFonts w:eastAsiaTheme="minorEastAsia"/>
          <w:color w:val="212121"/>
          <w:sz w:val="22"/>
          <w:szCs w:val="22"/>
          <w:lang w:eastAsia="zh-CN"/>
        </w:rPr>
        <w:t>within</w:t>
      </w:r>
      <w:r w:rsidR="00C85897">
        <w:rPr>
          <w:rFonts w:eastAsiaTheme="minorEastAsia"/>
          <w:color w:val="212121"/>
          <w:sz w:val="22"/>
          <w:szCs w:val="22"/>
          <w:lang w:eastAsia="zh-CN"/>
        </w:rPr>
        <w:t xml:space="preserve"> </w:t>
      </w:r>
      <w:r w:rsidR="00F07DC2">
        <w:rPr>
          <w:rFonts w:eastAsiaTheme="minorEastAsia"/>
          <w:color w:val="212121"/>
          <w:sz w:val="22"/>
          <w:szCs w:val="22"/>
          <w:lang w:eastAsia="zh-CN"/>
        </w:rPr>
        <w:t xml:space="preserve">the same cell, </w:t>
      </w:r>
      <w:r w:rsidR="00F871B4">
        <w:rPr>
          <w:rFonts w:eastAsiaTheme="minorEastAsia"/>
          <w:color w:val="212121"/>
          <w:sz w:val="22"/>
          <w:szCs w:val="22"/>
          <w:lang w:eastAsia="zh-CN"/>
        </w:rPr>
        <w:t xml:space="preserve">and </w:t>
      </w:r>
      <w:r w:rsidR="00F07DC2">
        <w:rPr>
          <w:rFonts w:eastAsiaTheme="minorEastAsia"/>
          <w:color w:val="212121"/>
          <w:sz w:val="22"/>
          <w:szCs w:val="22"/>
          <w:lang w:eastAsia="zh-CN"/>
        </w:rPr>
        <w:t xml:space="preserve">there is no </w:t>
      </w:r>
      <w:r w:rsidR="00F871B4">
        <w:rPr>
          <w:rFonts w:eastAsiaTheme="minorEastAsia"/>
          <w:color w:val="212121"/>
          <w:sz w:val="22"/>
          <w:szCs w:val="22"/>
          <w:lang w:eastAsia="zh-CN"/>
        </w:rPr>
        <w:t>need</w:t>
      </w:r>
      <w:r w:rsidR="00F07DC2">
        <w:rPr>
          <w:rFonts w:eastAsiaTheme="minorEastAsia"/>
          <w:color w:val="212121"/>
          <w:sz w:val="22"/>
          <w:szCs w:val="22"/>
          <w:lang w:eastAsia="zh-CN"/>
        </w:rPr>
        <w:t xml:space="preserve"> to consider rate matching across cells, which </w:t>
      </w:r>
      <w:r w:rsidR="005732F9">
        <w:rPr>
          <w:rFonts w:eastAsiaTheme="minorEastAsia"/>
          <w:color w:val="212121"/>
          <w:sz w:val="22"/>
          <w:szCs w:val="22"/>
          <w:lang w:eastAsia="zh-CN"/>
        </w:rPr>
        <w:t>would decrease resource efficiency.</w:t>
      </w:r>
    </w:p>
    <w:p w14:paraId="4672D757" w14:textId="7BC0F2DD" w:rsidR="00F871B4" w:rsidRDefault="00F871B4" w:rsidP="00D92C41">
      <w:pPr>
        <w:pStyle w:val="x00text"/>
        <w:spacing w:before="60" w:after="60"/>
        <w:jc w:val="both"/>
        <w:rPr>
          <w:rFonts w:eastAsiaTheme="minorEastAsia"/>
          <w:color w:val="212121"/>
          <w:sz w:val="22"/>
          <w:szCs w:val="22"/>
          <w:lang w:eastAsia="zh-CN"/>
        </w:rPr>
      </w:pPr>
    </w:p>
    <w:p w14:paraId="006ADEEB" w14:textId="684BF863" w:rsidR="00F871B4" w:rsidRPr="00B44D24" w:rsidRDefault="00F871B4" w:rsidP="00F871B4">
      <w:pPr>
        <w:spacing w:before="60"/>
        <w:rPr>
          <w:b/>
          <w:bCs/>
          <w:color w:val="212121"/>
          <w:sz w:val="23"/>
          <w:szCs w:val="23"/>
          <w:u w:val="single"/>
        </w:rPr>
      </w:pPr>
      <w:r w:rsidRPr="00B44D24">
        <w:rPr>
          <w:rFonts w:eastAsiaTheme="minorEastAsia"/>
          <w:b/>
          <w:bCs/>
          <w:sz w:val="22"/>
          <w:szCs w:val="22"/>
          <w:u w:val="single"/>
        </w:rPr>
        <w:t xml:space="preserve">Proposal </w:t>
      </w:r>
      <w:r w:rsidR="000C7AF6">
        <w:rPr>
          <w:rFonts w:eastAsiaTheme="minorEastAsia"/>
          <w:b/>
          <w:bCs/>
          <w:sz w:val="22"/>
          <w:szCs w:val="22"/>
          <w:u w:val="single"/>
        </w:rPr>
        <w:t>6</w:t>
      </w:r>
      <w:r w:rsidRPr="00B44D24">
        <w:rPr>
          <w:rFonts w:eastAsiaTheme="minorEastAsia"/>
          <w:b/>
          <w:bCs/>
          <w:sz w:val="22"/>
          <w:szCs w:val="22"/>
          <w:u w:val="single"/>
        </w:rPr>
        <w:t>:</w:t>
      </w:r>
    </w:p>
    <w:p w14:paraId="5C1496EB" w14:textId="185C85DA" w:rsidR="00F871B4" w:rsidRDefault="005B2AFF" w:rsidP="005B2AFF">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77711">
        <w:rPr>
          <w:rFonts w:ascii="Times New Roman" w:hAnsi="Times New Roman" w:cs="Times New Roman"/>
          <w:b/>
          <w:bCs/>
          <w:i/>
          <w:iCs/>
          <w:color w:val="212121"/>
          <w:sz w:val="22"/>
          <w:szCs w:val="22"/>
        </w:rPr>
        <w:t xml:space="preserve">Do not support PDSCH /PDCCH from serving cell (or </w:t>
      </w:r>
      <w:r w:rsidR="00352CB1">
        <w:rPr>
          <w:rFonts w:ascii="Times New Roman" w:hAnsi="Times New Roman" w:cs="Times New Roman"/>
          <w:b/>
          <w:bCs/>
          <w:i/>
          <w:iCs/>
          <w:color w:val="212121"/>
          <w:sz w:val="22"/>
          <w:szCs w:val="22"/>
        </w:rPr>
        <w:t>cell with different PCI</w:t>
      </w:r>
      <w:r w:rsidRPr="00377711">
        <w:rPr>
          <w:rFonts w:ascii="Times New Roman" w:hAnsi="Times New Roman" w:cs="Times New Roman"/>
          <w:b/>
          <w:bCs/>
          <w:i/>
          <w:iCs/>
          <w:color w:val="212121"/>
          <w:sz w:val="22"/>
          <w:szCs w:val="22"/>
        </w:rPr>
        <w:t xml:space="preserve">) rate matched around </w:t>
      </w:r>
      <w:r w:rsidR="00352CB1">
        <w:rPr>
          <w:rFonts w:ascii="Times New Roman" w:hAnsi="Times New Roman" w:cs="Times New Roman"/>
          <w:b/>
          <w:bCs/>
          <w:i/>
          <w:iCs/>
          <w:color w:val="212121"/>
          <w:sz w:val="22"/>
          <w:szCs w:val="22"/>
        </w:rPr>
        <w:t>SSBs from the cell with different PCI</w:t>
      </w:r>
      <w:r w:rsidRPr="00377711">
        <w:rPr>
          <w:rFonts w:ascii="Times New Roman" w:hAnsi="Times New Roman" w:cs="Times New Roman"/>
          <w:b/>
          <w:bCs/>
          <w:i/>
          <w:iCs/>
          <w:color w:val="212121"/>
          <w:sz w:val="22"/>
          <w:szCs w:val="22"/>
        </w:rPr>
        <w:t xml:space="preserve"> (or serving cell).</w:t>
      </w:r>
    </w:p>
    <w:p w14:paraId="311C6CD4" w14:textId="77777777" w:rsidR="005B2AFF" w:rsidRPr="00377711" w:rsidRDefault="005B2AFF" w:rsidP="00377711">
      <w:pPr>
        <w:spacing w:before="60"/>
        <w:ind w:left="-60"/>
        <w:jc w:val="both"/>
        <w:rPr>
          <w:b/>
          <w:bCs/>
          <w:i/>
          <w:iCs/>
          <w:color w:val="212121"/>
          <w:sz w:val="22"/>
          <w:szCs w:val="22"/>
        </w:rPr>
      </w:pPr>
    </w:p>
    <w:p w14:paraId="54EA64FF" w14:textId="745CE0C2" w:rsidR="00073B26" w:rsidRDefault="000D6727" w:rsidP="000D6727">
      <w:pPr>
        <w:pStyle w:val="1"/>
        <w:rPr>
          <w:lang w:val="en-US"/>
        </w:rPr>
      </w:pPr>
      <w:r w:rsidRPr="000D6727">
        <w:rPr>
          <w:lang w:val="en-US"/>
        </w:rPr>
        <w:lastRenderedPageBreak/>
        <w:t>Conclusion</w:t>
      </w:r>
    </w:p>
    <w:p w14:paraId="44B9F7B1" w14:textId="58D60C07"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00BF28BF">
        <w:rPr>
          <w:rFonts w:eastAsia="MS Mincho"/>
          <w:sz w:val="22"/>
          <w:szCs w:val="22"/>
        </w:rPr>
        <w:t xml:space="preserve"> enhancements to support </w:t>
      </w:r>
      <w:r w:rsidR="00BF28BF" w:rsidRPr="00BF28BF">
        <w:rPr>
          <w:rFonts w:eastAsia="MS Mincho"/>
          <w:sz w:val="22"/>
          <w:szCs w:val="22"/>
        </w:rPr>
        <w:t>inter-cell multi-TRP operation</w:t>
      </w:r>
      <w:r w:rsidR="00BF28BF">
        <w:rPr>
          <w:rFonts w:eastAsia="MS Mincho"/>
          <w:sz w:val="22"/>
          <w:szCs w:val="22"/>
        </w:rPr>
        <w:t>. We have following proposal</w:t>
      </w:r>
      <w:r w:rsidR="00C617EF">
        <w:rPr>
          <w:rFonts w:eastAsia="MS Mincho"/>
          <w:sz w:val="22"/>
          <w:szCs w:val="22"/>
        </w:rPr>
        <w:t>s</w:t>
      </w:r>
      <w:r w:rsidR="00BF28BF">
        <w:rPr>
          <w:rFonts w:eastAsia="MS Mincho"/>
          <w:sz w:val="22"/>
          <w:szCs w:val="22"/>
        </w:rPr>
        <w:t>.</w:t>
      </w:r>
    </w:p>
    <w:p w14:paraId="472BFB24" w14:textId="77777777" w:rsidR="00565321" w:rsidRPr="00B44D24" w:rsidRDefault="00565321" w:rsidP="00565321">
      <w:pPr>
        <w:spacing w:before="60"/>
        <w:rPr>
          <w:b/>
          <w:bCs/>
          <w:color w:val="212121"/>
          <w:sz w:val="23"/>
          <w:szCs w:val="23"/>
          <w:u w:val="single"/>
        </w:rPr>
      </w:pPr>
      <w:r w:rsidRPr="00B44D24">
        <w:rPr>
          <w:rFonts w:eastAsiaTheme="minorEastAsia"/>
          <w:b/>
          <w:bCs/>
          <w:sz w:val="22"/>
          <w:szCs w:val="22"/>
          <w:u w:val="single"/>
        </w:rPr>
        <w:t>Proposal 1:</w:t>
      </w:r>
    </w:p>
    <w:p w14:paraId="7D4E5C61" w14:textId="77777777" w:rsidR="00565321" w:rsidRPr="00B81373" w:rsidRDefault="00565321" w:rsidP="0056532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Define a separate IE for </w:t>
      </w:r>
      <w:r>
        <w:rPr>
          <w:rFonts w:ascii="Times New Roman" w:hAnsi="Times New Roman" w:cs="Times New Roman"/>
          <w:b/>
          <w:bCs/>
          <w:i/>
          <w:iCs/>
          <w:color w:val="212121"/>
          <w:sz w:val="22"/>
          <w:szCs w:val="22"/>
        </w:rPr>
        <w:t>cells with different PCI</w:t>
      </w:r>
      <w:r w:rsidRPr="00B81373">
        <w:rPr>
          <w:rFonts w:ascii="Times New Roman" w:hAnsi="Times New Roman" w:cs="Times New Roman"/>
          <w:b/>
          <w:bCs/>
          <w:i/>
          <w:iCs/>
          <w:color w:val="212121"/>
          <w:sz w:val="22"/>
          <w:szCs w:val="22"/>
        </w:rPr>
        <w:t xml:space="preserve"> for MTRP inter-cell operation. </w:t>
      </w:r>
    </w:p>
    <w:p w14:paraId="423B004E" w14:textId="77777777" w:rsidR="00565321" w:rsidRDefault="00565321" w:rsidP="00565321">
      <w:pPr>
        <w:pStyle w:val="aa"/>
        <w:numPr>
          <w:ilvl w:val="1"/>
          <w:numId w:val="44"/>
        </w:numPr>
        <w:spacing w:before="60"/>
        <w:ind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At least </w:t>
      </w:r>
      <w:proofErr w:type="spellStart"/>
      <w:r w:rsidRPr="00B81373">
        <w:rPr>
          <w:rFonts w:ascii="Times New Roman" w:hAnsi="Times New Roman" w:cs="Times New Roman"/>
          <w:b/>
          <w:bCs/>
          <w:i/>
          <w:iCs/>
          <w:color w:val="212121"/>
          <w:sz w:val="22"/>
          <w:szCs w:val="22"/>
        </w:rPr>
        <w:t>PhysCellId</w:t>
      </w:r>
      <w:proofErr w:type="spellEnd"/>
      <w:r w:rsidRPr="00B81373">
        <w:rPr>
          <w:rFonts w:ascii="Times New Roman" w:hAnsi="Times New Roman" w:cs="Times New Roman"/>
          <w:b/>
          <w:bCs/>
          <w:i/>
          <w:iCs/>
          <w:color w:val="212121"/>
          <w:sz w:val="22"/>
          <w:szCs w:val="22"/>
        </w:rPr>
        <w:t xml:space="preserve"> is included in the IE. </w:t>
      </w:r>
    </w:p>
    <w:p w14:paraId="2784A9BF" w14:textId="44043C9C" w:rsidR="00565321" w:rsidRPr="00565321" w:rsidRDefault="00565321" w:rsidP="00565321">
      <w:pPr>
        <w:pStyle w:val="aa"/>
        <w:numPr>
          <w:ilvl w:val="1"/>
          <w:numId w:val="44"/>
        </w:numPr>
        <w:spacing w:before="60"/>
        <w:ind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A </w:t>
      </w:r>
      <w:r>
        <w:rPr>
          <w:rFonts w:ascii="Times New Roman" w:hAnsi="Times New Roman" w:cs="Times New Roman"/>
          <w:b/>
          <w:bCs/>
          <w:i/>
          <w:iCs/>
          <w:color w:val="212121"/>
          <w:sz w:val="22"/>
          <w:szCs w:val="22"/>
        </w:rPr>
        <w:t xml:space="preserve">new indicator (e.g., </w:t>
      </w:r>
      <w:r w:rsidRPr="00565757">
        <w:rPr>
          <w:rFonts w:ascii="Times New Roman" w:hAnsi="Times New Roman" w:cs="Times New Roman"/>
          <w:b/>
          <w:bCs/>
          <w:i/>
          <w:iCs/>
          <w:color w:val="212121"/>
          <w:sz w:val="22"/>
          <w:szCs w:val="22"/>
        </w:rPr>
        <w:t>re-index the non-serving cells</w:t>
      </w:r>
      <w:r>
        <w:rPr>
          <w:rFonts w:ascii="Times New Roman" w:hAnsi="Times New Roman" w:cs="Times New Roman"/>
          <w:b/>
          <w:bCs/>
          <w:i/>
          <w:iCs/>
          <w:color w:val="212121"/>
          <w:sz w:val="22"/>
          <w:szCs w:val="22"/>
        </w:rPr>
        <w:t>)</w:t>
      </w:r>
      <w:r w:rsidRPr="00B81373">
        <w:rPr>
          <w:rFonts w:ascii="Times New Roman" w:hAnsi="Times New Roman" w:cs="Times New Roman"/>
          <w:b/>
          <w:bCs/>
          <w:i/>
          <w:iCs/>
          <w:color w:val="212121"/>
          <w:sz w:val="22"/>
          <w:szCs w:val="22"/>
        </w:rPr>
        <w:t xml:space="preserve"> is needed in the IE to indicate each </w:t>
      </w:r>
      <w:r>
        <w:rPr>
          <w:rFonts w:ascii="Times New Roman" w:hAnsi="Times New Roman" w:cs="Times New Roman"/>
          <w:b/>
          <w:bCs/>
          <w:i/>
          <w:iCs/>
          <w:color w:val="212121"/>
          <w:sz w:val="22"/>
          <w:szCs w:val="22"/>
        </w:rPr>
        <w:t>cell with different PCI</w:t>
      </w:r>
      <w:r w:rsidRPr="00B81373">
        <w:rPr>
          <w:rFonts w:ascii="Times New Roman" w:hAnsi="Times New Roman" w:cs="Times New Roman"/>
          <w:b/>
          <w:bCs/>
          <w:i/>
          <w:iCs/>
          <w:color w:val="212121"/>
          <w:sz w:val="22"/>
          <w:szCs w:val="22"/>
        </w:rPr>
        <w:t xml:space="preserve">. </w:t>
      </w:r>
    </w:p>
    <w:p w14:paraId="2770BC5C" w14:textId="77777777" w:rsidR="00565321" w:rsidRPr="00B44D24" w:rsidRDefault="00565321" w:rsidP="00565321">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2</w:t>
      </w:r>
      <w:r w:rsidRPr="00B44D24">
        <w:rPr>
          <w:rFonts w:eastAsiaTheme="minorEastAsia"/>
          <w:b/>
          <w:bCs/>
          <w:sz w:val="22"/>
          <w:szCs w:val="22"/>
          <w:u w:val="single"/>
        </w:rPr>
        <w:t>:</w:t>
      </w:r>
    </w:p>
    <w:p w14:paraId="2AF6E333" w14:textId="77777777" w:rsidR="00565321" w:rsidRDefault="00565321" w:rsidP="0056532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84097E">
        <w:rPr>
          <w:rFonts w:ascii="Times New Roman" w:hAnsi="Times New Roman" w:cs="Times New Roman"/>
          <w:b/>
          <w:bCs/>
          <w:i/>
          <w:iCs/>
          <w:color w:val="212121"/>
          <w:sz w:val="22"/>
          <w:szCs w:val="22"/>
        </w:rPr>
        <w:t xml:space="preserve">Support to configure more than one </w:t>
      </w:r>
      <w:r>
        <w:rPr>
          <w:rFonts w:ascii="Times New Roman" w:hAnsi="Times New Roman" w:cs="Times New Roman"/>
          <w:b/>
          <w:bCs/>
          <w:i/>
          <w:iCs/>
          <w:color w:val="212121"/>
          <w:sz w:val="22"/>
          <w:szCs w:val="22"/>
        </w:rPr>
        <w:t>cell with different PCI</w:t>
      </w:r>
      <w:r w:rsidRPr="0084097E">
        <w:rPr>
          <w:rFonts w:ascii="Times New Roman" w:hAnsi="Times New Roman" w:cs="Times New Roman"/>
          <w:b/>
          <w:bCs/>
          <w:i/>
          <w:iCs/>
          <w:color w:val="212121"/>
          <w:sz w:val="22"/>
          <w:szCs w:val="22"/>
        </w:rPr>
        <w:t xml:space="preserve"> on a CC.</w:t>
      </w:r>
    </w:p>
    <w:p w14:paraId="580F4715" w14:textId="789D418C" w:rsidR="00565321" w:rsidRPr="00565321" w:rsidRDefault="00565321" w:rsidP="00565321">
      <w:pPr>
        <w:pStyle w:val="aa"/>
        <w:numPr>
          <w:ilvl w:val="1"/>
          <w:numId w:val="44"/>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Support to configure at least 3 cells with different PCI on a CC with 2-bit new indicator.</w:t>
      </w:r>
    </w:p>
    <w:p w14:paraId="5D26CF43" w14:textId="77777777" w:rsidR="00565321" w:rsidRPr="00B44D24" w:rsidRDefault="00565321" w:rsidP="00565321">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3</w:t>
      </w:r>
      <w:r w:rsidRPr="00B44D24">
        <w:rPr>
          <w:rFonts w:eastAsiaTheme="minorEastAsia"/>
          <w:b/>
          <w:bCs/>
          <w:sz w:val="22"/>
          <w:szCs w:val="22"/>
          <w:u w:val="single"/>
        </w:rPr>
        <w:t>:</w:t>
      </w:r>
    </w:p>
    <w:p w14:paraId="15E69619" w14:textId="7D5F00DD" w:rsidR="00565321" w:rsidRPr="00565321" w:rsidRDefault="00565321" w:rsidP="0056532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84097E">
        <w:rPr>
          <w:rFonts w:ascii="Times New Roman" w:hAnsi="Times New Roman" w:cs="Times New Roman"/>
          <w:b/>
          <w:bCs/>
          <w:i/>
          <w:iCs/>
          <w:color w:val="212121"/>
          <w:sz w:val="22"/>
          <w:szCs w:val="22"/>
        </w:rPr>
        <w:t>Support</w:t>
      </w:r>
      <w:r>
        <w:rPr>
          <w:rFonts w:ascii="Times New Roman" w:hAnsi="Times New Roman" w:cs="Times New Roman"/>
          <w:b/>
          <w:bCs/>
          <w:i/>
          <w:iCs/>
          <w:color w:val="212121"/>
          <w:sz w:val="22"/>
          <w:szCs w:val="22"/>
        </w:rPr>
        <w:t xml:space="preserve"> Option 5 for TCI state/QCL-info configuration, i.e., </w:t>
      </w:r>
      <w:r w:rsidRPr="0084097E">
        <w:rPr>
          <w:rFonts w:ascii="Times New Roman" w:hAnsi="Times New Roman" w:cs="Times New Roman"/>
          <w:b/>
          <w:bCs/>
          <w:i/>
          <w:iCs/>
          <w:color w:val="212121"/>
          <w:sz w:val="22"/>
          <w:szCs w:val="22"/>
        </w:rPr>
        <w:t xml:space="preserve">to configure </w:t>
      </w:r>
      <w:r>
        <w:rPr>
          <w:rFonts w:ascii="Times New Roman" w:hAnsi="Times New Roman" w:cs="Times New Roman" w:hint="eastAsia"/>
          <w:b/>
          <w:bCs/>
          <w:i/>
          <w:iCs/>
          <w:color w:val="212121"/>
          <w:sz w:val="22"/>
          <w:szCs w:val="22"/>
        </w:rPr>
        <w:t>a</w:t>
      </w:r>
      <w:r>
        <w:rPr>
          <w:rFonts w:ascii="Times New Roman" w:hAnsi="Times New Roman" w:cs="Times New Roman"/>
          <w:b/>
          <w:bCs/>
          <w:i/>
          <w:iCs/>
          <w:color w:val="212121"/>
          <w:sz w:val="22"/>
          <w:szCs w:val="22"/>
        </w:rPr>
        <w:t xml:space="preserve"> new indicator (e.g., </w:t>
      </w:r>
      <w:r w:rsidRPr="00565757">
        <w:rPr>
          <w:rFonts w:ascii="Times New Roman" w:hAnsi="Times New Roman" w:cs="Times New Roman"/>
          <w:b/>
          <w:bCs/>
          <w:i/>
          <w:iCs/>
          <w:color w:val="212121"/>
          <w:sz w:val="22"/>
          <w:szCs w:val="22"/>
        </w:rPr>
        <w:t>re-index the non-serving cells</w:t>
      </w:r>
      <w:r>
        <w:rPr>
          <w:rFonts w:ascii="Times New Roman" w:hAnsi="Times New Roman" w:cs="Times New Roman"/>
          <w:b/>
          <w:bCs/>
          <w:i/>
          <w:iCs/>
          <w:color w:val="212121"/>
          <w:sz w:val="22"/>
          <w:szCs w:val="22"/>
        </w:rPr>
        <w:t xml:space="preserve">) </w:t>
      </w:r>
      <w:r w:rsidRPr="00B81373">
        <w:rPr>
          <w:rFonts w:ascii="Times New Roman" w:hAnsi="Times New Roman" w:cs="Times New Roman"/>
          <w:b/>
          <w:bCs/>
          <w:i/>
          <w:iCs/>
          <w:color w:val="212121"/>
          <w:sz w:val="22"/>
          <w:szCs w:val="22"/>
        </w:rPr>
        <w:t xml:space="preserve">in TCI state/QCL-Info configuration </w:t>
      </w:r>
      <w:r>
        <w:rPr>
          <w:rFonts w:ascii="Times New Roman" w:hAnsi="Times New Roman" w:cs="Times New Roman"/>
          <w:b/>
          <w:bCs/>
          <w:i/>
          <w:iCs/>
          <w:color w:val="212121"/>
          <w:sz w:val="22"/>
          <w:szCs w:val="22"/>
        </w:rPr>
        <w:t>to indicate the non-serving cell</w:t>
      </w:r>
      <w:r w:rsidRPr="00B81373">
        <w:rPr>
          <w:rFonts w:ascii="Times New Roman" w:hAnsi="Times New Roman" w:cs="Times New Roman"/>
          <w:b/>
          <w:bCs/>
          <w:i/>
          <w:iCs/>
          <w:color w:val="212121"/>
          <w:sz w:val="22"/>
          <w:szCs w:val="22"/>
        </w:rPr>
        <w:t>.</w:t>
      </w:r>
    </w:p>
    <w:p w14:paraId="4A18FCEC" w14:textId="77777777" w:rsidR="00565321" w:rsidRPr="00B44D24" w:rsidRDefault="00565321" w:rsidP="00565321">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4</w:t>
      </w:r>
      <w:r w:rsidRPr="00B44D24">
        <w:rPr>
          <w:rFonts w:eastAsiaTheme="minorEastAsia"/>
          <w:b/>
          <w:bCs/>
          <w:sz w:val="22"/>
          <w:szCs w:val="22"/>
          <w:u w:val="single"/>
        </w:rPr>
        <w:t>:</w:t>
      </w:r>
    </w:p>
    <w:p w14:paraId="4616401C" w14:textId="004AF40C" w:rsidR="00565321" w:rsidRPr="00565321" w:rsidRDefault="00565321" w:rsidP="0056532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945B2C">
        <w:rPr>
          <w:rFonts w:ascii="Times New Roman" w:hAnsi="Times New Roman" w:cs="Times New Roman"/>
          <w:b/>
          <w:bCs/>
          <w:i/>
          <w:iCs/>
          <w:color w:val="212121"/>
          <w:sz w:val="22"/>
          <w:szCs w:val="22"/>
        </w:rPr>
        <w:t xml:space="preserve">Support Alt1: one PCI associated with one or more of activated TCI states for PDSCH/PDCCH can be associated with only one </w:t>
      </w:r>
      <w:proofErr w:type="spellStart"/>
      <w:r w:rsidRPr="00945B2C">
        <w:rPr>
          <w:rFonts w:ascii="Times New Roman" w:hAnsi="Times New Roman" w:cs="Times New Roman"/>
          <w:b/>
          <w:bCs/>
          <w:i/>
          <w:iCs/>
          <w:color w:val="212121"/>
          <w:sz w:val="22"/>
          <w:szCs w:val="22"/>
        </w:rPr>
        <w:t>CORESETPoolIndex</w:t>
      </w:r>
      <w:proofErr w:type="spellEnd"/>
      <w:r w:rsidRPr="0084097E">
        <w:rPr>
          <w:rFonts w:ascii="Times New Roman" w:hAnsi="Times New Roman" w:cs="Times New Roman"/>
          <w:b/>
          <w:bCs/>
          <w:i/>
          <w:iCs/>
          <w:color w:val="212121"/>
          <w:sz w:val="22"/>
          <w:szCs w:val="22"/>
        </w:rPr>
        <w:t>.</w:t>
      </w:r>
    </w:p>
    <w:p w14:paraId="5EA657D9" w14:textId="77777777" w:rsidR="00565321" w:rsidRPr="00B44D24" w:rsidRDefault="00565321" w:rsidP="00565321">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5</w:t>
      </w:r>
      <w:r w:rsidRPr="00B44D24">
        <w:rPr>
          <w:rFonts w:eastAsiaTheme="minorEastAsia"/>
          <w:b/>
          <w:bCs/>
          <w:sz w:val="22"/>
          <w:szCs w:val="22"/>
          <w:u w:val="single"/>
        </w:rPr>
        <w:t>:</w:t>
      </w:r>
    </w:p>
    <w:p w14:paraId="4136CCF4" w14:textId="1DF60FDA" w:rsidR="00565321" w:rsidRPr="00565321" w:rsidRDefault="00565321" w:rsidP="0056532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F5822">
        <w:rPr>
          <w:rFonts w:ascii="Times New Roman" w:hAnsi="Times New Roman" w:cs="Times New Roman"/>
          <w:b/>
          <w:bCs/>
          <w:i/>
          <w:iCs/>
          <w:color w:val="212121"/>
          <w:sz w:val="22"/>
          <w:szCs w:val="22"/>
        </w:rPr>
        <w:t xml:space="preserve">Support configuration of </w:t>
      </w:r>
      <w:r w:rsidRPr="00C82620">
        <w:rPr>
          <w:rFonts w:ascii="Times New Roman" w:hAnsi="Times New Roman" w:cs="Times New Roman"/>
          <w:b/>
          <w:bCs/>
          <w:i/>
          <w:iCs/>
          <w:color w:val="212121"/>
          <w:sz w:val="22"/>
          <w:szCs w:val="22"/>
        </w:rPr>
        <w:t xml:space="preserve">SSBs from </w:t>
      </w:r>
      <w:r>
        <w:rPr>
          <w:rFonts w:ascii="Times New Roman" w:hAnsi="Times New Roman" w:cs="Times New Roman"/>
          <w:b/>
          <w:bCs/>
          <w:i/>
          <w:iCs/>
          <w:color w:val="212121"/>
          <w:sz w:val="22"/>
          <w:szCs w:val="22"/>
        </w:rPr>
        <w:t xml:space="preserve">a </w:t>
      </w:r>
      <w:r w:rsidRPr="00C82620">
        <w:rPr>
          <w:rFonts w:ascii="Times New Roman" w:hAnsi="Times New Roman" w:cs="Times New Roman"/>
          <w:b/>
          <w:bCs/>
          <w:i/>
          <w:iCs/>
          <w:color w:val="212121"/>
          <w:sz w:val="22"/>
          <w:szCs w:val="22"/>
        </w:rPr>
        <w:t xml:space="preserve">cell with different PCI </w:t>
      </w:r>
      <w:r w:rsidRPr="006F5822">
        <w:rPr>
          <w:rFonts w:ascii="Times New Roman" w:hAnsi="Times New Roman" w:cs="Times New Roman"/>
          <w:b/>
          <w:bCs/>
          <w:i/>
          <w:iCs/>
          <w:color w:val="212121"/>
          <w:sz w:val="22"/>
          <w:szCs w:val="22"/>
        </w:rPr>
        <w:t xml:space="preserve">as QCL source RS </w:t>
      </w:r>
      <w:r w:rsidRPr="00987978">
        <w:rPr>
          <w:rFonts w:ascii="Times New Roman" w:hAnsi="Times New Roman" w:cs="Times New Roman"/>
          <w:b/>
          <w:bCs/>
          <w:i/>
          <w:iCs/>
          <w:color w:val="212121"/>
          <w:sz w:val="22"/>
          <w:szCs w:val="22"/>
        </w:rPr>
        <w:t>with existing QCL relation for UL SRS, PUCCH, and PUSCH transmission</w:t>
      </w:r>
      <w:r w:rsidRPr="006F5822">
        <w:rPr>
          <w:rFonts w:ascii="Times New Roman" w:hAnsi="Times New Roman" w:cs="Times New Roman"/>
          <w:b/>
          <w:bCs/>
          <w:i/>
          <w:iCs/>
          <w:color w:val="212121"/>
          <w:sz w:val="22"/>
          <w:szCs w:val="22"/>
        </w:rPr>
        <w:t>.</w:t>
      </w:r>
    </w:p>
    <w:p w14:paraId="6E618FB1" w14:textId="77777777" w:rsidR="00565321" w:rsidRPr="00B44D24" w:rsidRDefault="00565321" w:rsidP="00565321">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6</w:t>
      </w:r>
      <w:r w:rsidRPr="00B44D24">
        <w:rPr>
          <w:rFonts w:eastAsiaTheme="minorEastAsia"/>
          <w:b/>
          <w:bCs/>
          <w:sz w:val="22"/>
          <w:szCs w:val="22"/>
          <w:u w:val="single"/>
        </w:rPr>
        <w:t>:</w:t>
      </w:r>
    </w:p>
    <w:p w14:paraId="2FD27E73" w14:textId="77777777" w:rsidR="00565321" w:rsidRDefault="00565321" w:rsidP="0056532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77711">
        <w:rPr>
          <w:rFonts w:ascii="Times New Roman" w:hAnsi="Times New Roman" w:cs="Times New Roman"/>
          <w:b/>
          <w:bCs/>
          <w:i/>
          <w:iCs/>
          <w:color w:val="212121"/>
          <w:sz w:val="22"/>
          <w:szCs w:val="22"/>
        </w:rPr>
        <w:t xml:space="preserve">Do not support PDSCH /PDCCH from serving cell (or </w:t>
      </w:r>
      <w:r>
        <w:rPr>
          <w:rFonts w:ascii="Times New Roman" w:hAnsi="Times New Roman" w:cs="Times New Roman"/>
          <w:b/>
          <w:bCs/>
          <w:i/>
          <w:iCs/>
          <w:color w:val="212121"/>
          <w:sz w:val="22"/>
          <w:szCs w:val="22"/>
        </w:rPr>
        <w:t>cell with different PCI</w:t>
      </w:r>
      <w:r w:rsidRPr="00377711">
        <w:rPr>
          <w:rFonts w:ascii="Times New Roman" w:hAnsi="Times New Roman" w:cs="Times New Roman"/>
          <w:b/>
          <w:bCs/>
          <w:i/>
          <w:iCs/>
          <w:color w:val="212121"/>
          <w:sz w:val="22"/>
          <w:szCs w:val="22"/>
        </w:rPr>
        <w:t xml:space="preserve">) rate matched around </w:t>
      </w:r>
      <w:r>
        <w:rPr>
          <w:rFonts w:ascii="Times New Roman" w:hAnsi="Times New Roman" w:cs="Times New Roman"/>
          <w:b/>
          <w:bCs/>
          <w:i/>
          <w:iCs/>
          <w:color w:val="212121"/>
          <w:sz w:val="22"/>
          <w:szCs w:val="22"/>
        </w:rPr>
        <w:t>SSBs from the cell with different PCI</w:t>
      </w:r>
      <w:r w:rsidRPr="00377711">
        <w:rPr>
          <w:rFonts w:ascii="Times New Roman" w:hAnsi="Times New Roman" w:cs="Times New Roman"/>
          <w:b/>
          <w:bCs/>
          <w:i/>
          <w:iCs/>
          <w:color w:val="212121"/>
          <w:sz w:val="22"/>
          <w:szCs w:val="22"/>
        </w:rPr>
        <w:t xml:space="preserve"> (or serving cell).</w:t>
      </w:r>
    </w:p>
    <w:p w14:paraId="26984947" w14:textId="77777777" w:rsidR="00352CB1" w:rsidRDefault="00352CB1" w:rsidP="002E01A3">
      <w:pPr>
        <w:spacing w:afterLines="50" w:after="120"/>
        <w:jc w:val="both"/>
        <w:rPr>
          <w:rFonts w:eastAsia="MS Mincho"/>
          <w:sz w:val="22"/>
          <w:szCs w:val="22"/>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26FB8E9D" w14:textId="0D9A90CD" w:rsidR="00491883" w:rsidRDefault="00FF2CFE" w:rsidP="00BF28BF">
      <w:pPr>
        <w:numPr>
          <w:ilvl w:val="0"/>
          <w:numId w:val="3"/>
        </w:numPr>
        <w:spacing w:afterLines="50" w:after="120"/>
        <w:jc w:val="both"/>
        <w:rPr>
          <w:rFonts w:eastAsia="宋体"/>
          <w:sz w:val="22"/>
          <w:szCs w:val="20"/>
          <w:lang w:val="en-GB" w:eastAsia="zh-CN"/>
        </w:rPr>
      </w:pPr>
      <w:r w:rsidRPr="00640D1E">
        <w:rPr>
          <w:rFonts w:eastAsia="宋体"/>
          <w:sz w:val="22"/>
          <w:szCs w:val="20"/>
          <w:lang w:val="en-GB" w:eastAsia="zh-CN"/>
        </w:rPr>
        <w:t>3GPP</w:t>
      </w:r>
      <w:r>
        <w:rPr>
          <w:rFonts w:eastAsia="宋体" w:hint="eastAsia"/>
          <w:sz w:val="22"/>
          <w:szCs w:val="20"/>
          <w:lang w:val="en-GB" w:eastAsia="zh-CN"/>
        </w:rPr>
        <w:t xml:space="preserve"> </w:t>
      </w:r>
      <w:r w:rsidR="00E6714E">
        <w:rPr>
          <w:rFonts w:eastAsia="宋体"/>
          <w:sz w:val="22"/>
          <w:szCs w:val="20"/>
          <w:lang w:val="en-GB" w:eastAsia="zh-CN"/>
        </w:rPr>
        <w:t>RP-193133, “</w:t>
      </w:r>
      <w:r w:rsidR="00643855" w:rsidRPr="00643855">
        <w:rPr>
          <w:rFonts w:eastAsia="宋体"/>
          <w:sz w:val="22"/>
          <w:szCs w:val="20"/>
          <w:lang w:val="en-GB" w:eastAsia="zh-CN"/>
        </w:rPr>
        <w:t>New WID: Further enhancements on MIMO for NR</w:t>
      </w:r>
      <w:r w:rsidR="00E6714E">
        <w:rPr>
          <w:rFonts w:eastAsia="宋体"/>
          <w:sz w:val="22"/>
          <w:szCs w:val="20"/>
          <w:lang w:val="en-GB" w:eastAsia="zh-CN"/>
        </w:rPr>
        <w:t>”</w:t>
      </w:r>
      <w:r w:rsidR="00643855">
        <w:rPr>
          <w:rFonts w:eastAsia="宋体"/>
          <w:sz w:val="22"/>
          <w:szCs w:val="20"/>
          <w:lang w:val="en-GB" w:eastAsia="zh-CN"/>
        </w:rPr>
        <w:t>, RAN#86, Dec. 2019.</w:t>
      </w:r>
    </w:p>
    <w:p w14:paraId="7DB1B307" w14:textId="507CF959" w:rsidR="008C0512" w:rsidRPr="00BF28BF" w:rsidRDefault="008C0512" w:rsidP="00BF28BF">
      <w:pPr>
        <w:numPr>
          <w:ilvl w:val="0"/>
          <w:numId w:val="3"/>
        </w:numPr>
        <w:spacing w:afterLines="50" w:after="120"/>
        <w:jc w:val="both"/>
        <w:rPr>
          <w:rFonts w:eastAsia="宋体"/>
          <w:sz w:val="22"/>
          <w:szCs w:val="20"/>
          <w:lang w:val="en-GB" w:eastAsia="zh-CN"/>
        </w:rPr>
      </w:pPr>
      <w:r>
        <w:rPr>
          <w:rFonts w:eastAsia="宋体" w:hint="eastAsia"/>
          <w:sz w:val="22"/>
          <w:szCs w:val="20"/>
          <w:lang w:val="en-GB" w:eastAsia="zh-CN"/>
        </w:rPr>
        <w:t>3</w:t>
      </w:r>
      <w:r>
        <w:rPr>
          <w:rFonts w:eastAsia="宋体"/>
          <w:sz w:val="22"/>
          <w:szCs w:val="20"/>
          <w:lang w:val="en-GB" w:eastAsia="zh-CN"/>
        </w:rPr>
        <w:t xml:space="preserve">GPP </w:t>
      </w:r>
      <w:r w:rsidRPr="008C0512">
        <w:rPr>
          <w:rFonts w:eastAsia="宋体"/>
          <w:sz w:val="22"/>
          <w:szCs w:val="20"/>
          <w:lang w:val="en-GB" w:eastAsia="zh-CN"/>
        </w:rPr>
        <w:t>RP-211586</w:t>
      </w:r>
      <w:r>
        <w:rPr>
          <w:rFonts w:eastAsia="宋体"/>
          <w:sz w:val="22"/>
          <w:szCs w:val="20"/>
          <w:lang w:val="en-GB" w:eastAsia="zh-CN"/>
        </w:rPr>
        <w:t>, “</w:t>
      </w:r>
      <w:r w:rsidRPr="008C0512">
        <w:rPr>
          <w:rFonts w:eastAsia="宋体"/>
          <w:sz w:val="22"/>
          <w:szCs w:val="20"/>
          <w:lang w:val="en-GB" w:eastAsia="zh-CN"/>
        </w:rPr>
        <w:t>Revised WID: Further enhancements on MIMO for NR</w:t>
      </w:r>
      <w:r>
        <w:rPr>
          <w:rFonts w:eastAsia="宋体"/>
          <w:sz w:val="22"/>
          <w:szCs w:val="20"/>
          <w:lang w:val="en-GB" w:eastAsia="zh-CN"/>
        </w:rPr>
        <w:t>”, RAN#92e, June. 2021.</w:t>
      </w:r>
    </w:p>
    <w:sectPr w:rsidR="008C0512" w:rsidRPr="00BF28BF"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EEF14" w14:textId="77777777" w:rsidR="008D593D" w:rsidRDefault="008D593D">
      <w:r>
        <w:separator/>
      </w:r>
    </w:p>
  </w:endnote>
  <w:endnote w:type="continuationSeparator" w:id="0">
    <w:p w14:paraId="06988A39" w14:textId="77777777" w:rsidR="008D593D" w:rsidRDefault="008D5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Dotum"/>
    <w:panose1 w:val="020B0604020202020204"/>
    <w:charset w:val="81"/>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04CA7" w14:textId="77777777" w:rsidR="008D593D" w:rsidRDefault="008D593D">
      <w:r>
        <w:separator/>
      </w:r>
    </w:p>
  </w:footnote>
  <w:footnote w:type="continuationSeparator" w:id="0">
    <w:p w14:paraId="1AA235AB" w14:textId="77777777" w:rsidR="008D593D" w:rsidRDefault="008D5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EC7C57"/>
    <w:multiLevelType w:val="hybridMultilevel"/>
    <w:tmpl w:val="F0D4B950"/>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F55024"/>
    <w:multiLevelType w:val="hybridMultilevel"/>
    <w:tmpl w:val="7D5E1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27"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9"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705087"/>
    <w:multiLevelType w:val="hybridMultilevel"/>
    <w:tmpl w:val="FF8C2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37"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0"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0"/>
  </w:num>
  <w:num w:numId="3">
    <w:abstractNumId w:val="18"/>
  </w:num>
  <w:num w:numId="4">
    <w:abstractNumId w:val="19"/>
  </w:num>
  <w:num w:numId="5">
    <w:abstractNumId w:val="4"/>
  </w:num>
  <w:num w:numId="6">
    <w:abstractNumId w:val="16"/>
  </w:num>
  <w:num w:numId="7">
    <w:abstractNumId w:val="9"/>
  </w:num>
  <w:num w:numId="8">
    <w:abstractNumId w:val="30"/>
  </w:num>
  <w:num w:numId="9">
    <w:abstractNumId w:val="37"/>
  </w:num>
  <w:num w:numId="10">
    <w:abstractNumId w:val="36"/>
  </w:num>
  <w:num w:numId="11">
    <w:abstractNumId w:val="40"/>
  </w:num>
  <w:num w:numId="12">
    <w:abstractNumId w:val="40"/>
  </w:num>
  <w:num w:numId="13">
    <w:abstractNumId w:val="40"/>
  </w:num>
  <w:num w:numId="14">
    <w:abstractNumId w:val="40"/>
  </w:num>
  <w:num w:numId="15">
    <w:abstractNumId w:val="40"/>
  </w:num>
  <w:num w:numId="16">
    <w:abstractNumId w:val="41"/>
  </w:num>
  <w:num w:numId="17">
    <w:abstractNumId w:val="24"/>
  </w:num>
  <w:num w:numId="18">
    <w:abstractNumId w:val="26"/>
  </w:num>
  <w:num w:numId="19">
    <w:abstractNumId w:val="27"/>
  </w:num>
  <w:num w:numId="20">
    <w:abstractNumId w:val="32"/>
  </w:num>
  <w:num w:numId="21">
    <w:abstractNumId w:val="39"/>
  </w:num>
  <w:num w:numId="22">
    <w:abstractNumId w:val="15"/>
  </w:num>
  <w:num w:numId="23">
    <w:abstractNumId w:val="8"/>
  </w:num>
  <w:num w:numId="24">
    <w:abstractNumId w:val="11"/>
  </w:num>
  <w:num w:numId="25">
    <w:abstractNumId w:val="29"/>
  </w:num>
  <w:num w:numId="26">
    <w:abstractNumId w:val="22"/>
  </w:num>
  <w:num w:numId="27">
    <w:abstractNumId w:val="10"/>
  </w:num>
  <w:num w:numId="28">
    <w:abstractNumId w:val="14"/>
  </w:num>
  <w:num w:numId="29">
    <w:abstractNumId w:val="17"/>
  </w:num>
  <w:num w:numId="30">
    <w:abstractNumId w:val="35"/>
  </w:num>
  <w:num w:numId="31">
    <w:abstractNumId w:val="20"/>
  </w:num>
  <w:num w:numId="32">
    <w:abstractNumId w:val="5"/>
  </w:num>
  <w:num w:numId="33">
    <w:abstractNumId w:val="7"/>
  </w:num>
  <w:num w:numId="34">
    <w:abstractNumId w:val="6"/>
  </w:num>
  <w:num w:numId="35">
    <w:abstractNumId w:val="33"/>
  </w:num>
  <w:num w:numId="36">
    <w:abstractNumId w:val="12"/>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42"/>
  </w:num>
  <w:num w:numId="40">
    <w:abstractNumId w:val="21"/>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23"/>
  </w:num>
  <w:num w:numId="44">
    <w:abstractNumId w:val="3"/>
  </w:num>
  <w:num w:numId="45">
    <w:abstractNumId w:val="28"/>
  </w:num>
  <w:num w:numId="46">
    <w:abstractNumId w:val="31"/>
  </w:num>
  <w:num w:numId="47">
    <w:abstractNumId w:val="13"/>
  </w:num>
  <w:num w:numId="48">
    <w:abstractNumId w:val="38"/>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0C68"/>
    <w:rsid w:val="0001114E"/>
    <w:rsid w:val="000112A6"/>
    <w:rsid w:val="000123E8"/>
    <w:rsid w:val="0001256C"/>
    <w:rsid w:val="00012B3D"/>
    <w:rsid w:val="00013592"/>
    <w:rsid w:val="00014FAD"/>
    <w:rsid w:val="000158FC"/>
    <w:rsid w:val="000162A8"/>
    <w:rsid w:val="0001640A"/>
    <w:rsid w:val="00016537"/>
    <w:rsid w:val="0002049B"/>
    <w:rsid w:val="00020EE7"/>
    <w:rsid w:val="00021070"/>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6EBB"/>
    <w:rsid w:val="00027CBC"/>
    <w:rsid w:val="00027EBB"/>
    <w:rsid w:val="000308C8"/>
    <w:rsid w:val="00030970"/>
    <w:rsid w:val="00030C78"/>
    <w:rsid w:val="00031087"/>
    <w:rsid w:val="000311AB"/>
    <w:rsid w:val="00031763"/>
    <w:rsid w:val="000319F1"/>
    <w:rsid w:val="00031AC3"/>
    <w:rsid w:val="00031BCE"/>
    <w:rsid w:val="00031D83"/>
    <w:rsid w:val="0003207E"/>
    <w:rsid w:val="000329A7"/>
    <w:rsid w:val="00032A1F"/>
    <w:rsid w:val="0003334C"/>
    <w:rsid w:val="0003348A"/>
    <w:rsid w:val="00033BA1"/>
    <w:rsid w:val="00034CE4"/>
    <w:rsid w:val="00035504"/>
    <w:rsid w:val="000356F6"/>
    <w:rsid w:val="000360B8"/>
    <w:rsid w:val="00036A13"/>
    <w:rsid w:val="00037538"/>
    <w:rsid w:val="000375E0"/>
    <w:rsid w:val="00040410"/>
    <w:rsid w:val="00040CE4"/>
    <w:rsid w:val="00040ED7"/>
    <w:rsid w:val="00040FF7"/>
    <w:rsid w:val="00041D16"/>
    <w:rsid w:val="00042B32"/>
    <w:rsid w:val="00042CB9"/>
    <w:rsid w:val="00042FFE"/>
    <w:rsid w:val="000445B9"/>
    <w:rsid w:val="00044C67"/>
    <w:rsid w:val="0004586E"/>
    <w:rsid w:val="00046497"/>
    <w:rsid w:val="000472F0"/>
    <w:rsid w:val="0004790F"/>
    <w:rsid w:val="00053353"/>
    <w:rsid w:val="0005340B"/>
    <w:rsid w:val="000539A4"/>
    <w:rsid w:val="000540E5"/>
    <w:rsid w:val="0005501F"/>
    <w:rsid w:val="00055358"/>
    <w:rsid w:val="000556C2"/>
    <w:rsid w:val="000556DC"/>
    <w:rsid w:val="00055A02"/>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613"/>
    <w:rsid w:val="00064248"/>
    <w:rsid w:val="00064491"/>
    <w:rsid w:val="0006557C"/>
    <w:rsid w:val="000669B1"/>
    <w:rsid w:val="00066EAA"/>
    <w:rsid w:val="00067592"/>
    <w:rsid w:val="00067E4F"/>
    <w:rsid w:val="000705F3"/>
    <w:rsid w:val="00070B4C"/>
    <w:rsid w:val="00070DD1"/>
    <w:rsid w:val="00071CF8"/>
    <w:rsid w:val="00071EC5"/>
    <w:rsid w:val="00071F4B"/>
    <w:rsid w:val="00072131"/>
    <w:rsid w:val="0007239D"/>
    <w:rsid w:val="00072E96"/>
    <w:rsid w:val="00073717"/>
    <w:rsid w:val="00073A43"/>
    <w:rsid w:val="00073B26"/>
    <w:rsid w:val="00073CF8"/>
    <w:rsid w:val="0007475A"/>
    <w:rsid w:val="00075153"/>
    <w:rsid w:val="0007548B"/>
    <w:rsid w:val="00075D8F"/>
    <w:rsid w:val="000761D8"/>
    <w:rsid w:val="000762D7"/>
    <w:rsid w:val="000765E9"/>
    <w:rsid w:val="00076870"/>
    <w:rsid w:val="00077343"/>
    <w:rsid w:val="000773F3"/>
    <w:rsid w:val="000774FC"/>
    <w:rsid w:val="00077D5B"/>
    <w:rsid w:val="00077D74"/>
    <w:rsid w:val="00077FE9"/>
    <w:rsid w:val="00080087"/>
    <w:rsid w:val="00080420"/>
    <w:rsid w:val="000809F5"/>
    <w:rsid w:val="00081157"/>
    <w:rsid w:val="000820A2"/>
    <w:rsid w:val="00083899"/>
    <w:rsid w:val="00084939"/>
    <w:rsid w:val="00084CF1"/>
    <w:rsid w:val="00085F0B"/>
    <w:rsid w:val="00087D63"/>
    <w:rsid w:val="000907D0"/>
    <w:rsid w:val="00090CC0"/>
    <w:rsid w:val="0009150C"/>
    <w:rsid w:val="0009228F"/>
    <w:rsid w:val="00092B86"/>
    <w:rsid w:val="00092D5F"/>
    <w:rsid w:val="0009381B"/>
    <w:rsid w:val="00093853"/>
    <w:rsid w:val="000947F4"/>
    <w:rsid w:val="00094C40"/>
    <w:rsid w:val="00094E8D"/>
    <w:rsid w:val="000951E3"/>
    <w:rsid w:val="0009561E"/>
    <w:rsid w:val="00096F15"/>
    <w:rsid w:val="000978F1"/>
    <w:rsid w:val="0009791D"/>
    <w:rsid w:val="00097DE9"/>
    <w:rsid w:val="000A0023"/>
    <w:rsid w:val="000A02B4"/>
    <w:rsid w:val="000A0E63"/>
    <w:rsid w:val="000A108B"/>
    <w:rsid w:val="000A172C"/>
    <w:rsid w:val="000A24FF"/>
    <w:rsid w:val="000A3288"/>
    <w:rsid w:val="000A4139"/>
    <w:rsid w:val="000A4DDE"/>
    <w:rsid w:val="000A4E0C"/>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64CE"/>
    <w:rsid w:val="000B6769"/>
    <w:rsid w:val="000B7232"/>
    <w:rsid w:val="000B750E"/>
    <w:rsid w:val="000B7902"/>
    <w:rsid w:val="000C052A"/>
    <w:rsid w:val="000C0953"/>
    <w:rsid w:val="000C0A0C"/>
    <w:rsid w:val="000C0B02"/>
    <w:rsid w:val="000C1746"/>
    <w:rsid w:val="000C1B60"/>
    <w:rsid w:val="000C1C7B"/>
    <w:rsid w:val="000C1FE0"/>
    <w:rsid w:val="000C2AF1"/>
    <w:rsid w:val="000C349D"/>
    <w:rsid w:val="000C3A1E"/>
    <w:rsid w:val="000C452C"/>
    <w:rsid w:val="000C4878"/>
    <w:rsid w:val="000C4880"/>
    <w:rsid w:val="000C4BDD"/>
    <w:rsid w:val="000C542E"/>
    <w:rsid w:val="000C5F67"/>
    <w:rsid w:val="000C7751"/>
    <w:rsid w:val="000C776C"/>
    <w:rsid w:val="000C7AF6"/>
    <w:rsid w:val="000C7C79"/>
    <w:rsid w:val="000C7F93"/>
    <w:rsid w:val="000D021F"/>
    <w:rsid w:val="000D07AC"/>
    <w:rsid w:val="000D0839"/>
    <w:rsid w:val="000D0F14"/>
    <w:rsid w:val="000D266F"/>
    <w:rsid w:val="000D2A6F"/>
    <w:rsid w:val="000D3A63"/>
    <w:rsid w:val="000D3C93"/>
    <w:rsid w:val="000D3EDE"/>
    <w:rsid w:val="000D4185"/>
    <w:rsid w:val="000D4895"/>
    <w:rsid w:val="000D4ACE"/>
    <w:rsid w:val="000D4B8E"/>
    <w:rsid w:val="000D52DC"/>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5B98"/>
    <w:rsid w:val="000E64A8"/>
    <w:rsid w:val="000E6500"/>
    <w:rsid w:val="000E745D"/>
    <w:rsid w:val="000E7982"/>
    <w:rsid w:val="000E7A9C"/>
    <w:rsid w:val="000E7FEA"/>
    <w:rsid w:val="000F0018"/>
    <w:rsid w:val="000F04C3"/>
    <w:rsid w:val="000F07E3"/>
    <w:rsid w:val="000F130A"/>
    <w:rsid w:val="000F173E"/>
    <w:rsid w:val="000F2893"/>
    <w:rsid w:val="000F2D4E"/>
    <w:rsid w:val="000F37AD"/>
    <w:rsid w:val="000F38C9"/>
    <w:rsid w:val="000F3A3E"/>
    <w:rsid w:val="000F489E"/>
    <w:rsid w:val="000F4915"/>
    <w:rsid w:val="000F491E"/>
    <w:rsid w:val="000F4C50"/>
    <w:rsid w:val="000F629E"/>
    <w:rsid w:val="000F73B7"/>
    <w:rsid w:val="001006A4"/>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08"/>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B4F"/>
    <w:rsid w:val="00124021"/>
    <w:rsid w:val="001241E7"/>
    <w:rsid w:val="00124370"/>
    <w:rsid w:val="001251FF"/>
    <w:rsid w:val="001252A4"/>
    <w:rsid w:val="00125362"/>
    <w:rsid w:val="001259FB"/>
    <w:rsid w:val="0012620D"/>
    <w:rsid w:val="0012628A"/>
    <w:rsid w:val="0012773B"/>
    <w:rsid w:val="00127C0E"/>
    <w:rsid w:val="00130DE4"/>
    <w:rsid w:val="0013129A"/>
    <w:rsid w:val="00131F6C"/>
    <w:rsid w:val="0013295A"/>
    <w:rsid w:val="00133058"/>
    <w:rsid w:val="00133B9E"/>
    <w:rsid w:val="00134143"/>
    <w:rsid w:val="001343C5"/>
    <w:rsid w:val="00135256"/>
    <w:rsid w:val="00135718"/>
    <w:rsid w:val="00135BBE"/>
    <w:rsid w:val="00136DF7"/>
    <w:rsid w:val="001374E6"/>
    <w:rsid w:val="00137B80"/>
    <w:rsid w:val="00140417"/>
    <w:rsid w:val="00141365"/>
    <w:rsid w:val="00141631"/>
    <w:rsid w:val="00141E56"/>
    <w:rsid w:val="0014229A"/>
    <w:rsid w:val="001430BC"/>
    <w:rsid w:val="001443AB"/>
    <w:rsid w:val="00144B3F"/>
    <w:rsid w:val="00144E60"/>
    <w:rsid w:val="001453DF"/>
    <w:rsid w:val="0014571E"/>
    <w:rsid w:val="00145F55"/>
    <w:rsid w:val="00146A55"/>
    <w:rsid w:val="0014742B"/>
    <w:rsid w:val="0014754C"/>
    <w:rsid w:val="00147910"/>
    <w:rsid w:val="00147978"/>
    <w:rsid w:val="00150C56"/>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5E6"/>
    <w:rsid w:val="0016676A"/>
    <w:rsid w:val="00166FEE"/>
    <w:rsid w:val="00167F65"/>
    <w:rsid w:val="00170246"/>
    <w:rsid w:val="001707E0"/>
    <w:rsid w:val="00170F6C"/>
    <w:rsid w:val="0017183C"/>
    <w:rsid w:val="0017225F"/>
    <w:rsid w:val="00172280"/>
    <w:rsid w:val="00173289"/>
    <w:rsid w:val="0017343E"/>
    <w:rsid w:val="00174789"/>
    <w:rsid w:val="001747BD"/>
    <w:rsid w:val="0017526D"/>
    <w:rsid w:val="00176417"/>
    <w:rsid w:val="001768C3"/>
    <w:rsid w:val="00176BA4"/>
    <w:rsid w:val="00176C1B"/>
    <w:rsid w:val="00180C66"/>
    <w:rsid w:val="00180FFF"/>
    <w:rsid w:val="001814C1"/>
    <w:rsid w:val="00181676"/>
    <w:rsid w:val="00181A41"/>
    <w:rsid w:val="001830E2"/>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575"/>
    <w:rsid w:val="001A291B"/>
    <w:rsid w:val="001A2B24"/>
    <w:rsid w:val="001A3333"/>
    <w:rsid w:val="001A3D0A"/>
    <w:rsid w:val="001A4227"/>
    <w:rsid w:val="001A45FA"/>
    <w:rsid w:val="001A4779"/>
    <w:rsid w:val="001A4D8D"/>
    <w:rsid w:val="001A512E"/>
    <w:rsid w:val="001A5E07"/>
    <w:rsid w:val="001A66CD"/>
    <w:rsid w:val="001A6AB3"/>
    <w:rsid w:val="001A727F"/>
    <w:rsid w:val="001A7AA6"/>
    <w:rsid w:val="001A7FB2"/>
    <w:rsid w:val="001B0525"/>
    <w:rsid w:val="001B05DD"/>
    <w:rsid w:val="001B0CC6"/>
    <w:rsid w:val="001B194A"/>
    <w:rsid w:val="001B1DB9"/>
    <w:rsid w:val="001B210A"/>
    <w:rsid w:val="001B279B"/>
    <w:rsid w:val="001B31F8"/>
    <w:rsid w:val="001B35B9"/>
    <w:rsid w:val="001B3855"/>
    <w:rsid w:val="001B4A69"/>
    <w:rsid w:val="001B53FC"/>
    <w:rsid w:val="001B5857"/>
    <w:rsid w:val="001B5984"/>
    <w:rsid w:val="001B5DB9"/>
    <w:rsid w:val="001B659B"/>
    <w:rsid w:val="001B7672"/>
    <w:rsid w:val="001B7B61"/>
    <w:rsid w:val="001C0910"/>
    <w:rsid w:val="001C096F"/>
    <w:rsid w:val="001C0A83"/>
    <w:rsid w:val="001C28CB"/>
    <w:rsid w:val="001C2AB5"/>
    <w:rsid w:val="001C2D28"/>
    <w:rsid w:val="001C2D75"/>
    <w:rsid w:val="001C324E"/>
    <w:rsid w:val="001C3DC9"/>
    <w:rsid w:val="001C4B3F"/>
    <w:rsid w:val="001C5170"/>
    <w:rsid w:val="001C53EC"/>
    <w:rsid w:val="001C5E72"/>
    <w:rsid w:val="001C60A4"/>
    <w:rsid w:val="001C715B"/>
    <w:rsid w:val="001C7279"/>
    <w:rsid w:val="001D0E82"/>
    <w:rsid w:val="001D12DC"/>
    <w:rsid w:val="001D12EE"/>
    <w:rsid w:val="001D15BF"/>
    <w:rsid w:val="001D2781"/>
    <w:rsid w:val="001D2A74"/>
    <w:rsid w:val="001D35FF"/>
    <w:rsid w:val="001D428F"/>
    <w:rsid w:val="001D45BA"/>
    <w:rsid w:val="001D4B18"/>
    <w:rsid w:val="001D4C6D"/>
    <w:rsid w:val="001D4F2A"/>
    <w:rsid w:val="001D573F"/>
    <w:rsid w:val="001D59A2"/>
    <w:rsid w:val="001D6325"/>
    <w:rsid w:val="001D68B7"/>
    <w:rsid w:val="001D6E99"/>
    <w:rsid w:val="001D6F7C"/>
    <w:rsid w:val="001D7E5D"/>
    <w:rsid w:val="001D7F9B"/>
    <w:rsid w:val="001E1317"/>
    <w:rsid w:val="001E15AA"/>
    <w:rsid w:val="001E1771"/>
    <w:rsid w:val="001E1FE4"/>
    <w:rsid w:val="001E2467"/>
    <w:rsid w:val="001E2E1A"/>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6EC8"/>
    <w:rsid w:val="001F70E9"/>
    <w:rsid w:val="001F7219"/>
    <w:rsid w:val="001F77DE"/>
    <w:rsid w:val="00200493"/>
    <w:rsid w:val="002004E7"/>
    <w:rsid w:val="00200823"/>
    <w:rsid w:val="002019C3"/>
    <w:rsid w:val="00202425"/>
    <w:rsid w:val="00202B9A"/>
    <w:rsid w:val="0020318B"/>
    <w:rsid w:val="00203753"/>
    <w:rsid w:val="002037C6"/>
    <w:rsid w:val="002039B1"/>
    <w:rsid w:val="00203AA7"/>
    <w:rsid w:val="0020458D"/>
    <w:rsid w:val="002048E4"/>
    <w:rsid w:val="002055DC"/>
    <w:rsid w:val="00205C24"/>
    <w:rsid w:val="00205E52"/>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B1"/>
    <w:rsid w:val="002171C2"/>
    <w:rsid w:val="0021774B"/>
    <w:rsid w:val="0021786B"/>
    <w:rsid w:val="0022055C"/>
    <w:rsid w:val="00220D85"/>
    <w:rsid w:val="00220F64"/>
    <w:rsid w:val="002210C1"/>
    <w:rsid w:val="00222838"/>
    <w:rsid w:val="00222915"/>
    <w:rsid w:val="00222CD8"/>
    <w:rsid w:val="00222CF4"/>
    <w:rsid w:val="0022312D"/>
    <w:rsid w:val="002235A7"/>
    <w:rsid w:val="0022414C"/>
    <w:rsid w:val="0022427C"/>
    <w:rsid w:val="00224DF4"/>
    <w:rsid w:val="00225E30"/>
    <w:rsid w:val="00226A37"/>
    <w:rsid w:val="00227112"/>
    <w:rsid w:val="002274F4"/>
    <w:rsid w:val="002278F3"/>
    <w:rsid w:val="00227AC4"/>
    <w:rsid w:val="00227ACD"/>
    <w:rsid w:val="002303B2"/>
    <w:rsid w:val="002303F3"/>
    <w:rsid w:val="00230928"/>
    <w:rsid w:val="00230BB4"/>
    <w:rsid w:val="0023265F"/>
    <w:rsid w:val="00232865"/>
    <w:rsid w:val="002345FF"/>
    <w:rsid w:val="0023522F"/>
    <w:rsid w:val="00236166"/>
    <w:rsid w:val="002361DB"/>
    <w:rsid w:val="00236A8E"/>
    <w:rsid w:val="0023716E"/>
    <w:rsid w:val="00237308"/>
    <w:rsid w:val="00240BE7"/>
    <w:rsid w:val="00240E3D"/>
    <w:rsid w:val="00241247"/>
    <w:rsid w:val="0024147F"/>
    <w:rsid w:val="002414E4"/>
    <w:rsid w:val="002416F2"/>
    <w:rsid w:val="00241DF2"/>
    <w:rsid w:val="00241F67"/>
    <w:rsid w:val="0024221C"/>
    <w:rsid w:val="00242BB1"/>
    <w:rsid w:val="00242C15"/>
    <w:rsid w:val="00242FF8"/>
    <w:rsid w:val="0024328E"/>
    <w:rsid w:val="0024342E"/>
    <w:rsid w:val="00243E2E"/>
    <w:rsid w:val="00244A55"/>
    <w:rsid w:val="00244D97"/>
    <w:rsid w:val="00246305"/>
    <w:rsid w:val="002477C3"/>
    <w:rsid w:val="00250053"/>
    <w:rsid w:val="00250CB4"/>
    <w:rsid w:val="00251180"/>
    <w:rsid w:val="002513A2"/>
    <w:rsid w:val="00252081"/>
    <w:rsid w:val="0025279D"/>
    <w:rsid w:val="00252A4C"/>
    <w:rsid w:val="00252D0E"/>
    <w:rsid w:val="00252E6E"/>
    <w:rsid w:val="0025387E"/>
    <w:rsid w:val="002540F7"/>
    <w:rsid w:val="0025459C"/>
    <w:rsid w:val="00254A06"/>
    <w:rsid w:val="00254FF9"/>
    <w:rsid w:val="002557A0"/>
    <w:rsid w:val="002558B1"/>
    <w:rsid w:val="00255BB6"/>
    <w:rsid w:val="00255D96"/>
    <w:rsid w:val="00256790"/>
    <w:rsid w:val="00256CDF"/>
    <w:rsid w:val="002570CB"/>
    <w:rsid w:val="0025728E"/>
    <w:rsid w:val="002607DC"/>
    <w:rsid w:val="00261A16"/>
    <w:rsid w:val="00261AB7"/>
    <w:rsid w:val="00261D18"/>
    <w:rsid w:val="00262257"/>
    <w:rsid w:val="00263D3E"/>
    <w:rsid w:val="00264229"/>
    <w:rsid w:val="00264810"/>
    <w:rsid w:val="0026582B"/>
    <w:rsid w:val="00267E47"/>
    <w:rsid w:val="00270034"/>
    <w:rsid w:val="00270A14"/>
    <w:rsid w:val="0027165C"/>
    <w:rsid w:val="002726CC"/>
    <w:rsid w:val="00272BAB"/>
    <w:rsid w:val="00274A33"/>
    <w:rsid w:val="00274EE4"/>
    <w:rsid w:val="00275166"/>
    <w:rsid w:val="0027584B"/>
    <w:rsid w:val="00275F68"/>
    <w:rsid w:val="00276141"/>
    <w:rsid w:val="002762BB"/>
    <w:rsid w:val="002769B2"/>
    <w:rsid w:val="00276AEB"/>
    <w:rsid w:val="00276E45"/>
    <w:rsid w:val="002779B8"/>
    <w:rsid w:val="00277E56"/>
    <w:rsid w:val="002809DB"/>
    <w:rsid w:val="00280B22"/>
    <w:rsid w:val="00280F51"/>
    <w:rsid w:val="0028136D"/>
    <w:rsid w:val="002813B5"/>
    <w:rsid w:val="00281C27"/>
    <w:rsid w:val="00281CBD"/>
    <w:rsid w:val="002820F9"/>
    <w:rsid w:val="0028210B"/>
    <w:rsid w:val="0028232A"/>
    <w:rsid w:val="00282462"/>
    <w:rsid w:val="002830CE"/>
    <w:rsid w:val="00283C95"/>
    <w:rsid w:val="00284469"/>
    <w:rsid w:val="00284AFB"/>
    <w:rsid w:val="0028630F"/>
    <w:rsid w:val="00286A1E"/>
    <w:rsid w:val="00286A27"/>
    <w:rsid w:val="00286A88"/>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5D9"/>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4BFA"/>
    <w:rsid w:val="002B5553"/>
    <w:rsid w:val="002B719F"/>
    <w:rsid w:val="002B72D9"/>
    <w:rsid w:val="002B7920"/>
    <w:rsid w:val="002C0949"/>
    <w:rsid w:val="002C0B7E"/>
    <w:rsid w:val="002C0E65"/>
    <w:rsid w:val="002C1A2F"/>
    <w:rsid w:val="002C3EB0"/>
    <w:rsid w:val="002C439D"/>
    <w:rsid w:val="002C4DC0"/>
    <w:rsid w:val="002C5C17"/>
    <w:rsid w:val="002C6225"/>
    <w:rsid w:val="002C62EE"/>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59C"/>
    <w:rsid w:val="002D733E"/>
    <w:rsid w:val="002D7E67"/>
    <w:rsid w:val="002E012B"/>
    <w:rsid w:val="002E01A3"/>
    <w:rsid w:val="002E07D9"/>
    <w:rsid w:val="002E08E8"/>
    <w:rsid w:val="002E0DE8"/>
    <w:rsid w:val="002E115E"/>
    <w:rsid w:val="002E1EE7"/>
    <w:rsid w:val="002E298A"/>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69"/>
    <w:rsid w:val="002F04C3"/>
    <w:rsid w:val="002F09BE"/>
    <w:rsid w:val="002F0D3E"/>
    <w:rsid w:val="002F1077"/>
    <w:rsid w:val="002F10CC"/>
    <w:rsid w:val="002F2EF9"/>
    <w:rsid w:val="002F32B1"/>
    <w:rsid w:val="002F357A"/>
    <w:rsid w:val="002F37A4"/>
    <w:rsid w:val="002F413D"/>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55"/>
    <w:rsid w:val="003024FF"/>
    <w:rsid w:val="003026F0"/>
    <w:rsid w:val="00302A9E"/>
    <w:rsid w:val="00303165"/>
    <w:rsid w:val="003033E4"/>
    <w:rsid w:val="00304BC0"/>
    <w:rsid w:val="00304FD6"/>
    <w:rsid w:val="0030506B"/>
    <w:rsid w:val="003057F1"/>
    <w:rsid w:val="00305FE0"/>
    <w:rsid w:val="00306973"/>
    <w:rsid w:val="00306B24"/>
    <w:rsid w:val="0030705A"/>
    <w:rsid w:val="00307390"/>
    <w:rsid w:val="00310237"/>
    <w:rsid w:val="00310742"/>
    <w:rsid w:val="00311EEE"/>
    <w:rsid w:val="00312165"/>
    <w:rsid w:val="00312409"/>
    <w:rsid w:val="00312AF7"/>
    <w:rsid w:val="00313D33"/>
    <w:rsid w:val="003142D3"/>
    <w:rsid w:val="003168D7"/>
    <w:rsid w:val="00316B11"/>
    <w:rsid w:val="0031725E"/>
    <w:rsid w:val="003175B9"/>
    <w:rsid w:val="0031795B"/>
    <w:rsid w:val="00320301"/>
    <w:rsid w:val="00320877"/>
    <w:rsid w:val="003209F9"/>
    <w:rsid w:val="00320E4E"/>
    <w:rsid w:val="0032125C"/>
    <w:rsid w:val="00321D34"/>
    <w:rsid w:val="00322248"/>
    <w:rsid w:val="003225BD"/>
    <w:rsid w:val="00323074"/>
    <w:rsid w:val="0032397B"/>
    <w:rsid w:val="00324BB8"/>
    <w:rsid w:val="003250CF"/>
    <w:rsid w:val="0032527F"/>
    <w:rsid w:val="00325395"/>
    <w:rsid w:val="00325703"/>
    <w:rsid w:val="00325880"/>
    <w:rsid w:val="0032666D"/>
    <w:rsid w:val="00326B79"/>
    <w:rsid w:val="00327238"/>
    <w:rsid w:val="00327441"/>
    <w:rsid w:val="00327667"/>
    <w:rsid w:val="00327C38"/>
    <w:rsid w:val="0033014F"/>
    <w:rsid w:val="0033019E"/>
    <w:rsid w:val="00330466"/>
    <w:rsid w:val="00330776"/>
    <w:rsid w:val="00330BD7"/>
    <w:rsid w:val="003315B1"/>
    <w:rsid w:val="00331B58"/>
    <w:rsid w:val="00331E79"/>
    <w:rsid w:val="00332FC0"/>
    <w:rsid w:val="00333067"/>
    <w:rsid w:val="00333C9F"/>
    <w:rsid w:val="00333CB3"/>
    <w:rsid w:val="00333E65"/>
    <w:rsid w:val="0033453E"/>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AE8"/>
    <w:rsid w:val="00340C93"/>
    <w:rsid w:val="00340DCD"/>
    <w:rsid w:val="00341268"/>
    <w:rsid w:val="00341663"/>
    <w:rsid w:val="003417E7"/>
    <w:rsid w:val="003419AF"/>
    <w:rsid w:val="00341A32"/>
    <w:rsid w:val="00341B5F"/>
    <w:rsid w:val="003422B2"/>
    <w:rsid w:val="00342C5E"/>
    <w:rsid w:val="003436BF"/>
    <w:rsid w:val="00343701"/>
    <w:rsid w:val="00343BAC"/>
    <w:rsid w:val="00344285"/>
    <w:rsid w:val="003447BE"/>
    <w:rsid w:val="003449D9"/>
    <w:rsid w:val="00344CF9"/>
    <w:rsid w:val="00344D3F"/>
    <w:rsid w:val="00345075"/>
    <w:rsid w:val="00345AB5"/>
    <w:rsid w:val="00345B80"/>
    <w:rsid w:val="00346016"/>
    <w:rsid w:val="003460DA"/>
    <w:rsid w:val="00346182"/>
    <w:rsid w:val="003465FB"/>
    <w:rsid w:val="00346A65"/>
    <w:rsid w:val="00347883"/>
    <w:rsid w:val="003479DD"/>
    <w:rsid w:val="003508CD"/>
    <w:rsid w:val="00351BFB"/>
    <w:rsid w:val="00351C15"/>
    <w:rsid w:val="003526DF"/>
    <w:rsid w:val="00352CB1"/>
    <w:rsid w:val="0035392F"/>
    <w:rsid w:val="00353E5E"/>
    <w:rsid w:val="003546C8"/>
    <w:rsid w:val="003552BF"/>
    <w:rsid w:val="00356577"/>
    <w:rsid w:val="00357418"/>
    <w:rsid w:val="00360C69"/>
    <w:rsid w:val="00360DD2"/>
    <w:rsid w:val="00360E36"/>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8AF"/>
    <w:rsid w:val="00367E96"/>
    <w:rsid w:val="00370EDD"/>
    <w:rsid w:val="003713DB"/>
    <w:rsid w:val="0037162B"/>
    <w:rsid w:val="00371B9B"/>
    <w:rsid w:val="00372312"/>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711"/>
    <w:rsid w:val="00377F5F"/>
    <w:rsid w:val="00380FC4"/>
    <w:rsid w:val="003811B5"/>
    <w:rsid w:val="00381DF1"/>
    <w:rsid w:val="00381E1F"/>
    <w:rsid w:val="0038278A"/>
    <w:rsid w:val="003827B5"/>
    <w:rsid w:val="00382CE6"/>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2A65"/>
    <w:rsid w:val="003930DB"/>
    <w:rsid w:val="00393648"/>
    <w:rsid w:val="00393841"/>
    <w:rsid w:val="00393D42"/>
    <w:rsid w:val="00393D72"/>
    <w:rsid w:val="003948F0"/>
    <w:rsid w:val="00395305"/>
    <w:rsid w:val="0039548C"/>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7C8"/>
    <w:rsid w:val="003A2BF9"/>
    <w:rsid w:val="003A3734"/>
    <w:rsid w:val="003A3931"/>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3F9C"/>
    <w:rsid w:val="003C4961"/>
    <w:rsid w:val="003C6D5E"/>
    <w:rsid w:val="003C7445"/>
    <w:rsid w:val="003C74FD"/>
    <w:rsid w:val="003C76C1"/>
    <w:rsid w:val="003C7C58"/>
    <w:rsid w:val="003D06EE"/>
    <w:rsid w:val="003D0C82"/>
    <w:rsid w:val="003D0D3F"/>
    <w:rsid w:val="003D1894"/>
    <w:rsid w:val="003D1968"/>
    <w:rsid w:val="003D2161"/>
    <w:rsid w:val="003D2204"/>
    <w:rsid w:val="003D234F"/>
    <w:rsid w:val="003D2A73"/>
    <w:rsid w:val="003D372A"/>
    <w:rsid w:val="003D3811"/>
    <w:rsid w:val="003D4F7B"/>
    <w:rsid w:val="003D5073"/>
    <w:rsid w:val="003D520D"/>
    <w:rsid w:val="003D6145"/>
    <w:rsid w:val="003D654E"/>
    <w:rsid w:val="003D65C5"/>
    <w:rsid w:val="003D777F"/>
    <w:rsid w:val="003D7F65"/>
    <w:rsid w:val="003E0F08"/>
    <w:rsid w:val="003E1562"/>
    <w:rsid w:val="003E228D"/>
    <w:rsid w:val="003E2373"/>
    <w:rsid w:val="003E29DA"/>
    <w:rsid w:val="003E2B79"/>
    <w:rsid w:val="003E2E56"/>
    <w:rsid w:val="003E332F"/>
    <w:rsid w:val="003E36B1"/>
    <w:rsid w:val="003E3EF8"/>
    <w:rsid w:val="003E3F47"/>
    <w:rsid w:val="003E42C5"/>
    <w:rsid w:val="003E50FC"/>
    <w:rsid w:val="003E523C"/>
    <w:rsid w:val="003E581E"/>
    <w:rsid w:val="003E6215"/>
    <w:rsid w:val="003E789A"/>
    <w:rsid w:val="003F05A8"/>
    <w:rsid w:val="003F0626"/>
    <w:rsid w:val="003F09B7"/>
    <w:rsid w:val="003F0A2A"/>
    <w:rsid w:val="003F0C5C"/>
    <w:rsid w:val="003F11E4"/>
    <w:rsid w:val="003F1474"/>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7032"/>
    <w:rsid w:val="004075A9"/>
    <w:rsid w:val="00407680"/>
    <w:rsid w:val="0040774B"/>
    <w:rsid w:val="00407B71"/>
    <w:rsid w:val="00407F8C"/>
    <w:rsid w:val="004102EA"/>
    <w:rsid w:val="00411E0C"/>
    <w:rsid w:val="0041200F"/>
    <w:rsid w:val="00412134"/>
    <w:rsid w:val="0041222A"/>
    <w:rsid w:val="00412852"/>
    <w:rsid w:val="0041365C"/>
    <w:rsid w:val="004145FD"/>
    <w:rsid w:val="00414797"/>
    <w:rsid w:val="00414FAE"/>
    <w:rsid w:val="004157E9"/>
    <w:rsid w:val="00415E38"/>
    <w:rsid w:val="004161E7"/>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6A51"/>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249"/>
    <w:rsid w:val="00442B24"/>
    <w:rsid w:val="00442CC8"/>
    <w:rsid w:val="004432B5"/>
    <w:rsid w:val="004439FF"/>
    <w:rsid w:val="00444022"/>
    <w:rsid w:val="004440E0"/>
    <w:rsid w:val="00445483"/>
    <w:rsid w:val="00445498"/>
    <w:rsid w:val="00445BC6"/>
    <w:rsid w:val="00445C25"/>
    <w:rsid w:val="004462B0"/>
    <w:rsid w:val="0044644F"/>
    <w:rsid w:val="00450323"/>
    <w:rsid w:val="00450542"/>
    <w:rsid w:val="00450DF1"/>
    <w:rsid w:val="00450E28"/>
    <w:rsid w:val="00450FC0"/>
    <w:rsid w:val="00451228"/>
    <w:rsid w:val="004517DB"/>
    <w:rsid w:val="00451AD4"/>
    <w:rsid w:val="00451D30"/>
    <w:rsid w:val="00452B4A"/>
    <w:rsid w:val="00452B4B"/>
    <w:rsid w:val="0045325C"/>
    <w:rsid w:val="00453280"/>
    <w:rsid w:val="004533D8"/>
    <w:rsid w:val="00453510"/>
    <w:rsid w:val="00453866"/>
    <w:rsid w:val="00453A15"/>
    <w:rsid w:val="004543DC"/>
    <w:rsid w:val="004552AD"/>
    <w:rsid w:val="00455474"/>
    <w:rsid w:val="00456A2E"/>
    <w:rsid w:val="00456CDD"/>
    <w:rsid w:val="0045720B"/>
    <w:rsid w:val="00457A59"/>
    <w:rsid w:val="00457B53"/>
    <w:rsid w:val="004601C5"/>
    <w:rsid w:val="00461FD9"/>
    <w:rsid w:val="004622AF"/>
    <w:rsid w:val="004629F3"/>
    <w:rsid w:val="004638B6"/>
    <w:rsid w:val="00463A94"/>
    <w:rsid w:val="00464DE9"/>
    <w:rsid w:val="00464E48"/>
    <w:rsid w:val="004654D5"/>
    <w:rsid w:val="00465749"/>
    <w:rsid w:val="00465B1C"/>
    <w:rsid w:val="00465B64"/>
    <w:rsid w:val="00465C34"/>
    <w:rsid w:val="00465E6F"/>
    <w:rsid w:val="00465FE9"/>
    <w:rsid w:val="004665A6"/>
    <w:rsid w:val="00466F2F"/>
    <w:rsid w:val="004674E2"/>
    <w:rsid w:val="004703AC"/>
    <w:rsid w:val="00470445"/>
    <w:rsid w:val="0047061C"/>
    <w:rsid w:val="00470D48"/>
    <w:rsid w:val="00470FAF"/>
    <w:rsid w:val="0047185B"/>
    <w:rsid w:val="00472765"/>
    <w:rsid w:val="004728BF"/>
    <w:rsid w:val="00473888"/>
    <w:rsid w:val="00473AA0"/>
    <w:rsid w:val="0047445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9FA"/>
    <w:rsid w:val="00487A3C"/>
    <w:rsid w:val="004900F3"/>
    <w:rsid w:val="00490BD9"/>
    <w:rsid w:val="00490CB1"/>
    <w:rsid w:val="00491837"/>
    <w:rsid w:val="00491883"/>
    <w:rsid w:val="00491D21"/>
    <w:rsid w:val="004930A1"/>
    <w:rsid w:val="00493518"/>
    <w:rsid w:val="0049358B"/>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6D4A"/>
    <w:rsid w:val="004A718D"/>
    <w:rsid w:val="004A7398"/>
    <w:rsid w:val="004A7C4C"/>
    <w:rsid w:val="004B08BD"/>
    <w:rsid w:val="004B1257"/>
    <w:rsid w:val="004B189A"/>
    <w:rsid w:val="004B1906"/>
    <w:rsid w:val="004B1A12"/>
    <w:rsid w:val="004B27AF"/>
    <w:rsid w:val="004B3E2A"/>
    <w:rsid w:val="004B463B"/>
    <w:rsid w:val="004B4FC5"/>
    <w:rsid w:val="004B52D4"/>
    <w:rsid w:val="004B52EE"/>
    <w:rsid w:val="004B67D6"/>
    <w:rsid w:val="004B6A5B"/>
    <w:rsid w:val="004C0AA4"/>
    <w:rsid w:val="004C0B41"/>
    <w:rsid w:val="004C0B73"/>
    <w:rsid w:val="004C0E70"/>
    <w:rsid w:val="004C0FA3"/>
    <w:rsid w:val="004C188F"/>
    <w:rsid w:val="004C2B40"/>
    <w:rsid w:val="004C395E"/>
    <w:rsid w:val="004C3BF0"/>
    <w:rsid w:val="004C4345"/>
    <w:rsid w:val="004C50B3"/>
    <w:rsid w:val="004C55C4"/>
    <w:rsid w:val="004C59AF"/>
    <w:rsid w:val="004C76B1"/>
    <w:rsid w:val="004C7B45"/>
    <w:rsid w:val="004D13D3"/>
    <w:rsid w:val="004D2228"/>
    <w:rsid w:val="004D287B"/>
    <w:rsid w:val="004D33A9"/>
    <w:rsid w:val="004D3F1C"/>
    <w:rsid w:val="004D4860"/>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E7911"/>
    <w:rsid w:val="004F1716"/>
    <w:rsid w:val="004F185C"/>
    <w:rsid w:val="004F1FD7"/>
    <w:rsid w:val="004F2976"/>
    <w:rsid w:val="004F3062"/>
    <w:rsid w:val="004F32B7"/>
    <w:rsid w:val="004F335A"/>
    <w:rsid w:val="004F3F6A"/>
    <w:rsid w:val="004F425B"/>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5499"/>
    <w:rsid w:val="00506536"/>
    <w:rsid w:val="00506CF0"/>
    <w:rsid w:val="0050741D"/>
    <w:rsid w:val="005079EF"/>
    <w:rsid w:val="00510246"/>
    <w:rsid w:val="00510AF3"/>
    <w:rsid w:val="00511AE9"/>
    <w:rsid w:val="0051259D"/>
    <w:rsid w:val="00513830"/>
    <w:rsid w:val="00513865"/>
    <w:rsid w:val="005139CB"/>
    <w:rsid w:val="00513DE3"/>
    <w:rsid w:val="00514EFE"/>
    <w:rsid w:val="00515093"/>
    <w:rsid w:val="005154F3"/>
    <w:rsid w:val="00515A28"/>
    <w:rsid w:val="00515D59"/>
    <w:rsid w:val="0051651C"/>
    <w:rsid w:val="0051684A"/>
    <w:rsid w:val="0051744F"/>
    <w:rsid w:val="0051798F"/>
    <w:rsid w:val="00521C5E"/>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F57"/>
    <w:rsid w:val="005361AF"/>
    <w:rsid w:val="0053653B"/>
    <w:rsid w:val="00536768"/>
    <w:rsid w:val="00536CF2"/>
    <w:rsid w:val="00537C91"/>
    <w:rsid w:val="005406C8"/>
    <w:rsid w:val="005412A0"/>
    <w:rsid w:val="0054132A"/>
    <w:rsid w:val="00541E58"/>
    <w:rsid w:val="005422B9"/>
    <w:rsid w:val="00543E74"/>
    <w:rsid w:val="005441DD"/>
    <w:rsid w:val="005445AB"/>
    <w:rsid w:val="00544D35"/>
    <w:rsid w:val="0054500C"/>
    <w:rsid w:val="005456AC"/>
    <w:rsid w:val="00545B60"/>
    <w:rsid w:val="00545E19"/>
    <w:rsid w:val="00545FD0"/>
    <w:rsid w:val="00546019"/>
    <w:rsid w:val="0054613C"/>
    <w:rsid w:val="00546780"/>
    <w:rsid w:val="005477C8"/>
    <w:rsid w:val="00547B29"/>
    <w:rsid w:val="00547BFF"/>
    <w:rsid w:val="005501AF"/>
    <w:rsid w:val="00550E68"/>
    <w:rsid w:val="0055115E"/>
    <w:rsid w:val="00551DDF"/>
    <w:rsid w:val="00551EB1"/>
    <w:rsid w:val="0055268D"/>
    <w:rsid w:val="005527D5"/>
    <w:rsid w:val="00552AD4"/>
    <w:rsid w:val="00552F36"/>
    <w:rsid w:val="005531D2"/>
    <w:rsid w:val="00553B9A"/>
    <w:rsid w:val="00553D7A"/>
    <w:rsid w:val="0055408F"/>
    <w:rsid w:val="005541AF"/>
    <w:rsid w:val="00554587"/>
    <w:rsid w:val="00554B1D"/>
    <w:rsid w:val="00554E9B"/>
    <w:rsid w:val="00555BD7"/>
    <w:rsid w:val="0055686B"/>
    <w:rsid w:val="00556984"/>
    <w:rsid w:val="00556EAF"/>
    <w:rsid w:val="00556F81"/>
    <w:rsid w:val="00557A21"/>
    <w:rsid w:val="00557B08"/>
    <w:rsid w:val="00560B95"/>
    <w:rsid w:val="00560E90"/>
    <w:rsid w:val="0056168B"/>
    <w:rsid w:val="00561944"/>
    <w:rsid w:val="00562299"/>
    <w:rsid w:val="005624CE"/>
    <w:rsid w:val="00562982"/>
    <w:rsid w:val="005634ED"/>
    <w:rsid w:val="00563517"/>
    <w:rsid w:val="00563B44"/>
    <w:rsid w:val="00564F63"/>
    <w:rsid w:val="00565168"/>
    <w:rsid w:val="005652BA"/>
    <w:rsid w:val="00565321"/>
    <w:rsid w:val="005656D7"/>
    <w:rsid w:val="00565757"/>
    <w:rsid w:val="005657D4"/>
    <w:rsid w:val="00565DDE"/>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32F9"/>
    <w:rsid w:val="0057372D"/>
    <w:rsid w:val="0057438F"/>
    <w:rsid w:val="00574E44"/>
    <w:rsid w:val="00575AD8"/>
    <w:rsid w:val="00575BFD"/>
    <w:rsid w:val="00576285"/>
    <w:rsid w:val="0057634F"/>
    <w:rsid w:val="00576649"/>
    <w:rsid w:val="005767A5"/>
    <w:rsid w:val="00576D59"/>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7E78"/>
    <w:rsid w:val="00590B73"/>
    <w:rsid w:val="00590D8B"/>
    <w:rsid w:val="0059101C"/>
    <w:rsid w:val="00591652"/>
    <w:rsid w:val="00591D36"/>
    <w:rsid w:val="0059219D"/>
    <w:rsid w:val="005923FC"/>
    <w:rsid w:val="00592AAE"/>
    <w:rsid w:val="0059343F"/>
    <w:rsid w:val="00593B6E"/>
    <w:rsid w:val="00594552"/>
    <w:rsid w:val="00594A18"/>
    <w:rsid w:val="00594A73"/>
    <w:rsid w:val="00595B20"/>
    <w:rsid w:val="00595DCF"/>
    <w:rsid w:val="00595DD1"/>
    <w:rsid w:val="00595F69"/>
    <w:rsid w:val="005967F9"/>
    <w:rsid w:val="0059764E"/>
    <w:rsid w:val="0059775C"/>
    <w:rsid w:val="005977E3"/>
    <w:rsid w:val="005979E0"/>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465"/>
    <w:rsid w:val="005B159C"/>
    <w:rsid w:val="005B23CA"/>
    <w:rsid w:val="005B2AFF"/>
    <w:rsid w:val="005B2CF6"/>
    <w:rsid w:val="005B2EC3"/>
    <w:rsid w:val="005B30A6"/>
    <w:rsid w:val="005B373B"/>
    <w:rsid w:val="005B3A99"/>
    <w:rsid w:val="005B480D"/>
    <w:rsid w:val="005B481B"/>
    <w:rsid w:val="005B4E9A"/>
    <w:rsid w:val="005B4EBF"/>
    <w:rsid w:val="005B55CE"/>
    <w:rsid w:val="005B5789"/>
    <w:rsid w:val="005B6237"/>
    <w:rsid w:val="005B62B2"/>
    <w:rsid w:val="005B6E39"/>
    <w:rsid w:val="005B6F12"/>
    <w:rsid w:val="005B709F"/>
    <w:rsid w:val="005C0BEA"/>
    <w:rsid w:val="005C0BFB"/>
    <w:rsid w:val="005C0CFD"/>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7C6"/>
    <w:rsid w:val="005D38DE"/>
    <w:rsid w:val="005D38F4"/>
    <w:rsid w:val="005D3ECC"/>
    <w:rsid w:val="005D4659"/>
    <w:rsid w:val="005D4F02"/>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934"/>
    <w:rsid w:val="005F0C23"/>
    <w:rsid w:val="005F14FB"/>
    <w:rsid w:val="005F234C"/>
    <w:rsid w:val="005F30AF"/>
    <w:rsid w:val="005F37FC"/>
    <w:rsid w:val="005F4214"/>
    <w:rsid w:val="005F4381"/>
    <w:rsid w:val="005F4993"/>
    <w:rsid w:val="005F49C4"/>
    <w:rsid w:val="005F4CDC"/>
    <w:rsid w:val="005F5263"/>
    <w:rsid w:val="005F5268"/>
    <w:rsid w:val="005F572C"/>
    <w:rsid w:val="005F6CB1"/>
    <w:rsid w:val="005F6F98"/>
    <w:rsid w:val="005F702C"/>
    <w:rsid w:val="005F735C"/>
    <w:rsid w:val="0060059F"/>
    <w:rsid w:val="00600CFC"/>
    <w:rsid w:val="00600D7E"/>
    <w:rsid w:val="00601188"/>
    <w:rsid w:val="00601FC2"/>
    <w:rsid w:val="00602201"/>
    <w:rsid w:val="006059A4"/>
    <w:rsid w:val="006059AC"/>
    <w:rsid w:val="00606474"/>
    <w:rsid w:val="00606577"/>
    <w:rsid w:val="006067FC"/>
    <w:rsid w:val="00606911"/>
    <w:rsid w:val="00606A3F"/>
    <w:rsid w:val="00607108"/>
    <w:rsid w:val="00607110"/>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984"/>
    <w:rsid w:val="00624D2B"/>
    <w:rsid w:val="00625691"/>
    <w:rsid w:val="00626051"/>
    <w:rsid w:val="00626E7E"/>
    <w:rsid w:val="00627191"/>
    <w:rsid w:val="00627503"/>
    <w:rsid w:val="00627627"/>
    <w:rsid w:val="00627D48"/>
    <w:rsid w:val="00630EC9"/>
    <w:rsid w:val="00630F1B"/>
    <w:rsid w:val="0063185E"/>
    <w:rsid w:val="006318C3"/>
    <w:rsid w:val="00631FF0"/>
    <w:rsid w:val="00632AE8"/>
    <w:rsid w:val="0063311C"/>
    <w:rsid w:val="00633F66"/>
    <w:rsid w:val="006353FB"/>
    <w:rsid w:val="00635D28"/>
    <w:rsid w:val="0063676F"/>
    <w:rsid w:val="00637408"/>
    <w:rsid w:val="006376B3"/>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BE1"/>
    <w:rsid w:val="00652572"/>
    <w:rsid w:val="006527BB"/>
    <w:rsid w:val="00652AAF"/>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B8B"/>
    <w:rsid w:val="00661025"/>
    <w:rsid w:val="0066129E"/>
    <w:rsid w:val="0066150F"/>
    <w:rsid w:val="00661B2B"/>
    <w:rsid w:val="00661B65"/>
    <w:rsid w:val="006620A4"/>
    <w:rsid w:val="00662A39"/>
    <w:rsid w:val="006636D2"/>
    <w:rsid w:val="006639A0"/>
    <w:rsid w:val="00664C1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6253"/>
    <w:rsid w:val="0068658E"/>
    <w:rsid w:val="00686A19"/>
    <w:rsid w:val="0068787A"/>
    <w:rsid w:val="0069005F"/>
    <w:rsid w:val="00690066"/>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485"/>
    <w:rsid w:val="006A08D5"/>
    <w:rsid w:val="006A1B26"/>
    <w:rsid w:val="006A1D17"/>
    <w:rsid w:val="006A3004"/>
    <w:rsid w:val="006A3198"/>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B0C17"/>
    <w:rsid w:val="006B11E0"/>
    <w:rsid w:val="006B11F2"/>
    <w:rsid w:val="006B1445"/>
    <w:rsid w:val="006B2130"/>
    <w:rsid w:val="006B2274"/>
    <w:rsid w:val="006B256B"/>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468"/>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A98"/>
    <w:rsid w:val="006E5E99"/>
    <w:rsid w:val="006E6353"/>
    <w:rsid w:val="006E6CE8"/>
    <w:rsid w:val="006E755B"/>
    <w:rsid w:val="006E7801"/>
    <w:rsid w:val="006E7A6E"/>
    <w:rsid w:val="006F029B"/>
    <w:rsid w:val="006F02AF"/>
    <w:rsid w:val="006F066D"/>
    <w:rsid w:val="006F091C"/>
    <w:rsid w:val="006F0DA7"/>
    <w:rsid w:val="006F1968"/>
    <w:rsid w:val="006F1B1F"/>
    <w:rsid w:val="006F1CF8"/>
    <w:rsid w:val="006F1D3A"/>
    <w:rsid w:val="006F2D34"/>
    <w:rsid w:val="006F2FBF"/>
    <w:rsid w:val="006F2FFD"/>
    <w:rsid w:val="006F39ED"/>
    <w:rsid w:val="006F4435"/>
    <w:rsid w:val="006F5027"/>
    <w:rsid w:val="006F5822"/>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623"/>
    <w:rsid w:val="007077C8"/>
    <w:rsid w:val="00707902"/>
    <w:rsid w:val="00710C92"/>
    <w:rsid w:val="00711787"/>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2564"/>
    <w:rsid w:val="00722E32"/>
    <w:rsid w:val="00723B4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27F"/>
    <w:rsid w:val="00733434"/>
    <w:rsid w:val="00734496"/>
    <w:rsid w:val="007357F3"/>
    <w:rsid w:val="007358C5"/>
    <w:rsid w:val="00736329"/>
    <w:rsid w:val="0073702D"/>
    <w:rsid w:val="0073710E"/>
    <w:rsid w:val="007378BE"/>
    <w:rsid w:val="007401B0"/>
    <w:rsid w:val="00741892"/>
    <w:rsid w:val="00741A84"/>
    <w:rsid w:val="00742157"/>
    <w:rsid w:val="007427D1"/>
    <w:rsid w:val="00742DE0"/>
    <w:rsid w:val="00743022"/>
    <w:rsid w:val="0074347A"/>
    <w:rsid w:val="00743A75"/>
    <w:rsid w:val="00743B22"/>
    <w:rsid w:val="00745BFD"/>
    <w:rsid w:val="00745EB9"/>
    <w:rsid w:val="007460C2"/>
    <w:rsid w:val="007461E2"/>
    <w:rsid w:val="00746546"/>
    <w:rsid w:val="00746A52"/>
    <w:rsid w:val="00746CB5"/>
    <w:rsid w:val="007478F1"/>
    <w:rsid w:val="00747BDE"/>
    <w:rsid w:val="00750099"/>
    <w:rsid w:val="007508DB"/>
    <w:rsid w:val="007509EE"/>
    <w:rsid w:val="00750FBC"/>
    <w:rsid w:val="00752FFD"/>
    <w:rsid w:val="00753A46"/>
    <w:rsid w:val="0075564C"/>
    <w:rsid w:val="00755EAB"/>
    <w:rsid w:val="00755EFA"/>
    <w:rsid w:val="00756419"/>
    <w:rsid w:val="00756811"/>
    <w:rsid w:val="00756C5D"/>
    <w:rsid w:val="00757014"/>
    <w:rsid w:val="0075756B"/>
    <w:rsid w:val="0076059E"/>
    <w:rsid w:val="007608B8"/>
    <w:rsid w:val="00760A4A"/>
    <w:rsid w:val="00760FF0"/>
    <w:rsid w:val="00761394"/>
    <w:rsid w:val="00761D88"/>
    <w:rsid w:val="00761F9B"/>
    <w:rsid w:val="007626EB"/>
    <w:rsid w:val="00762731"/>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6317"/>
    <w:rsid w:val="00776D40"/>
    <w:rsid w:val="007770C9"/>
    <w:rsid w:val="00777E4C"/>
    <w:rsid w:val="0078023E"/>
    <w:rsid w:val="00780316"/>
    <w:rsid w:val="007806B2"/>
    <w:rsid w:val="00781A00"/>
    <w:rsid w:val="007825D7"/>
    <w:rsid w:val="007828BF"/>
    <w:rsid w:val="00782B82"/>
    <w:rsid w:val="0078303D"/>
    <w:rsid w:val="0078363A"/>
    <w:rsid w:val="00783C8F"/>
    <w:rsid w:val="00784074"/>
    <w:rsid w:val="00784AA9"/>
    <w:rsid w:val="00784B0E"/>
    <w:rsid w:val="00785308"/>
    <w:rsid w:val="00785594"/>
    <w:rsid w:val="0078579C"/>
    <w:rsid w:val="00785B0E"/>
    <w:rsid w:val="0078619E"/>
    <w:rsid w:val="00786398"/>
    <w:rsid w:val="00787B9D"/>
    <w:rsid w:val="0079011C"/>
    <w:rsid w:val="0079012A"/>
    <w:rsid w:val="00790557"/>
    <w:rsid w:val="007907E4"/>
    <w:rsid w:val="00790952"/>
    <w:rsid w:val="007914D7"/>
    <w:rsid w:val="00792A56"/>
    <w:rsid w:val="007932FC"/>
    <w:rsid w:val="0079535F"/>
    <w:rsid w:val="00795B86"/>
    <w:rsid w:val="007965C6"/>
    <w:rsid w:val="007965EA"/>
    <w:rsid w:val="00796ED7"/>
    <w:rsid w:val="0079757B"/>
    <w:rsid w:val="00797F4C"/>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FC0"/>
    <w:rsid w:val="007A60A3"/>
    <w:rsid w:val="007A7311"/>
    <w:rsid w:val="007A74ED"/>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448"/>
    <w:rsid w:val="007B6901"/>
    <w:rsid w:val="007B6CB5"/>
    <w:rsid w:val="007B6DCD"/>
    <w:rsid w:val="007B6FA1"/>
    <w:rsid w:val="007B7433"/>
    <w:rsid w:val="007C0A27"/>
    <w:rsid w:val="007C0BDD"/>
    <w:rsid w:val="007C11D5"/>
    <w:rsid w:val="007C1E22"/>
    <w:rsid w:val="007C1E51"/>
    <w:rsid w:val="007C20C6"/>
    <w:rsid w:val="007C22AE"/>
    <w:rsid w:val="007C30B9"/>
    <w:rsid w:val="007C31C3"/>
    <w:rsid w:val="007C3441"/>
    <w:rsid w:val="007C3A50"/>
    <w:rsid w:val="007C3CA9"/>
    <w:rsid w:val="007C4AD1"/>
    <w:rsid w:val="007C5886"/>
    <w:rsid w:val="007C6436"/>
    <w:rsid w:val="007C78FF"/>
    <w:rsid w:val="007D0177"/>
    <w:rsid w:val="007D0685"/>
    <w:rsid w:val="007D0A12"/>
    <w:rsid w:val="007D0DC4"/>
    <w:rsid w:val="007D0F4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A4"/>
    <w:rsid w:val="007E7DED"/>
    <w:rsid w:val="007F0B99"/>
    <w:rsid w:val="007F24CB"/>
    <w:rsid w:val="007F2636"/>
    <w:rsid w:val="007F2ED8"/>
    <w:rsid w:val="007F334A"/>
    <w:rsid w:val="007F367A"/>
    <w:rsid w:val="007F39C0"/>
    <w:rsid w:val="007F3CC5"/>
    <w:rsid w:val="007F3FC8"/>
    <w:rsid w:val="007F4039"/>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3C5"/>
    <w:rsid w:val="00825E30"/>
    <w:rsid w:val="00825E6F"/>
    <w:rsid w:val="00825F10"/>
    <w:rsid w:val="00825F29"/>
    <w:rsid w:val="0082617F"/>
    <w:rsid w:val="00827AB1"/>
    <w:rsid w:val="008315E8"/>
    <w:rsid w:val="0083276A"/>
    <w:rsid w:val="00832B6E"/>
    <w:rsid w:val="00832C54"/>
    <w:rsid w:val="0083316F"/>
    <w:rsid w:val="008331BD"/>
    <w:rsid w:val="00833B4C"/>
    <w:rsid w:val="00834511"/>
    <w:rsid w:val="008346E1"/>
    <w:rsid w:val="008346F6"/>
    <w:rsid w:val="00834956"/>
    <w:rsid w:val="008358B5"/>
    <w:rsid w:val="00835A86"/>
    <w:rsid w:val="008368D8"/>
    <w:rsid w:val="00837650"/>
    <w:rsid w:val="008401A3"/>
    <w:rsid w:val="0084027F"/>
    <w:rsid w:val="00840952"/>
    <w:rsid w:val="0084097E"/>
    <w:rsid w:val="00841049"/>
    <w:rsid w:val="008411CC"/>
    <w:rsid w:val="008412F0"/>
    <w:rsid w:val="00841B89"/>
    <w:rsid w:val="00841FEA"/>
    <w:rsid w:val="0084236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610DC"/>
    <w:rsid w:val="00861819"/>
    <w:rsid w:val="00861C78"/>
    <w:rsid w:val="00861D18"/>
    <w:rsid w:val="00862712"/>
    <w:rsid w:val="00862B31"/>
    <w:rsid w:val="00862D5A"/>
    <w:rsid w:val="0086345A"/>
    <w:rsid w:val="008640E1"/>
    <w:rsid w:val="00864912"/>
    <w:rsid w:val="00864E9D"/>
    <w:rsid w:val="00865008"/>
    <w:rsid w:val="00865D1F"/>
    <w:rsid w:val="008660F0"/>
    <w:rsid w:val="0086632A"/>
    <w:rsid w:val="00866422"/>
    <w:rsid w:val="00867627"/>
    <w:rsid w:val="008701F7"/>
    <w:rsid w:val="00870916"/>
    <w:rsid w:val="008716C7"/>
    <w:rsid w:val="00871CB1"/>
    <w:rsid w:val="00871D87"/>
    <w:rsid w:val="0087213F"/>
    <w:rsid w:val="00873356"/>
    <w:rsid w:val="00873A3A"/>
    <w:rsid w:val="00873A4D"/>
    <w:rsid w:val="00873CF4"/>
    <w:rsid w:val="0087402E"/>
    <w:rsid w:val="00874692"/>
    <w:rsid w:val="0087480F"/>
    <w:rsid w:val="00874C87"/>
    <w:rsid w:val="00874F24"/>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CC2"/>
    <w:rsid w:val="008904AA"/>
    <w:rsid w:val="00890C1F"/>
    <w:rsid w:val="00890E77"/>
    <w:rsid w:val="0089180F"/>
    <w:rsid w:val="00891AAA"/>
    <w:rsid w:val="0089221E"/>
    <w:rsid w:val="008922A9"/>
    <w:rsid w:val="0089243C"/>
    <w:rsid w:val="0089273E"/>
    <w:rsid w:val="00892A23"/>
    <w:rsid w:val="00892A4B"/>
    <w:rsid w:val="00892CA4"/>
    <w:rsid w:val="00892D98"/>
    <w:rsid w:val="00892F16"/>
    <w:rsid w:val="00893CF9"/>
    <w:rsid w:val="0089524B"/>
    <w:rsid w:val="0089542A"/>
    <w:rsid w:val="0089589D"/>
    <w:rsid w:val="00895F9D"/>
    <w:rsid w:val="00897436"/>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A79"/>
    <w:rsid w:val="008A7ACA"/>
    <w:rsid w:val="008B1126"/>
    <w:rsid w:val="008B1341"/>
    <w:rsid w:val="008B260E"/>
    <w:rsid w:val="008B263F"/>
    <w:rsid w:val="008B2C73"/>
    <w:rsid w:val="008B3933"/>
    <w:rsid w:val="008B4660"/>
    <w:rsid w:val="008B4A51"/>
    <w:rsid w:val="008B4B17"/>
    <w:rsid w:val="008B520F"/>
    <w:rsid w:val="008B555D"/>
    <w:rsid w:val="008B5B8F"/>
    <w:rsid w:val="008B6141"/>
    <w:rsid w:val="008B6EEE"/>
    <w:rsid w:val="008B76FF"/>
    <w:rsid w:val="008C01DB"/>
    <w:rsid w:val="008C050B"/>
    <w:rsid w:val="008C0512"/>
    <w:rsid w:val="008C09A1"/>
    <w:rsid w:val="008C0B05"/>
    <w:rsid w:val="008C10FE"/>
    <w:rsid w:val="008C12C0"/>
    <w:rsid w:val="008C21E6"/>
    <w:rsid w:val="008C21FA"/>
    <w:rsid w:val="008C2BA2"/>
    <w:rsid w:val="008C2FFF"/>
    <w:rsid w:val="008C3139"/>
    <w:rsid w:val="008C40D7"/>
    <w:rsid w:val="008C4C22"/>
    <w:rsid w:val="008C5031"/>
    <w:rsid w:val="008C5162"/>
    <w:rsid w:val="008C565C"/>
    <w:rsid w:val="008C58C8"/>
    <w:rsid w:val="008C6361"/>
    <w:rsid w:val="008C645C"/>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3D"/>
    <w:rsid w:val="008D59C3"/>
    <w:rsid w:val="008D5E83"/>
    <w:rsid w:val="008D6501"/>
    <w:rsid w:val="008D73B7"/>
    <w:rsid w:val="008D7B9F"/>
    <w:rsid w:val="008E0AC6"/>
    <w:rsid w:val="008E1EC8"/>
    <w:rsid w:val="008E23AD"/>
    <w:rsid w:val="008E29EF"/>
    <w:rsid w:val="008E29F2"/>
    <w:rsid w:val="008E2E83"/>
    <w:rsid w:val="008E4E08"/>
    <w:rsid w:val="008E4E44"/>
    <w:rsid w:val="008E5105"/>
    <w:rsid w:val="008E5292"/>
    <w:rsid w:val="008E5AA7"/>
    <w:rsid w:val="008E6BAD"/>
    <w:rsid w:val="008E6F63"/>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6"/>
    <w:rsid w:val="008F4827"/>
    <w:rsid w:val="008F4A19"/>
    <w:rsid w:val="008F4B1A"/>
    <w:rsid w:val="008F4D75"/>
    <w:rsid w:val="008F4E5C"/>
    <w:rsid w:val="008F5845"/>
    <w:rsid w:val="008F5A63"/>
    <w:rsid w:val="008F6873"/>
    <w:rsid w:val="008F6CEE"/>
    <w:rsid w:val="008F718B"/>
    <w:rsid w:val="00901BEF"/>
    <w:rsid w:val="009022B7"/>
    <w:rsid w:val="00902439"/>
    <w:rsid w:val="00902DCC"/>
    <w:rsid w:val="00903250"/>
    <w:rsid w:val="009034F6"/>
    <w:rsid w:val="0090384E"/>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096"/>
    <w:rsid w:val="009176FF"/>
    <w:rsid w:val="00917BF3"/>
    <w:rsid w:val="00917E02"/>
    <w:rsid w:val="00920B05"/>
    <w:rsid w:val="00920CE0"/>
    <w:rsid w:val="00921A96"/>
    <w:rsid w:val="00921BA3"/>
    <w:rsid w:val="009221AC"/>
    <w:rsid w:val="009224C4"/>
    <w:rsid w:val="0092324A"/>
    <w:rsid w:val="00923355"/>
    <w:rsid w:val="00923424"/>
    <w:rsid w:val="0092366B"/>
    <w:rsid w:val="0092380F"/>
    <w:rsid w:val="00923B72"/>
    <w:rsid w:val="00923DDE"/>
    <w:rsid w:val="00925923"/>
    <w:rsid w:val="0092696E"/>
    <w:rsid w:val="00926C48"/>
    <w:rsid w:val="00926E5F"/>
    <w:rsid w:val="009276EF"/>
    <w:rsid w:val="009276FE"/>
    <w:rsid w:val="00927900"/>
    <w:rsid w:val="00927E33"/>
    <w:rsid w:val="00930456"/>
    <w:rsid w:val="00930781"/>
    <w:rsid w:val="00930DD3"/>
    <w:rsid w:val="00931011"/>
    <w:rsid w:val="009317E9"/>
    <w:rsid w:val="00931D98"/>
    <w:rsid w:val="00932CB8"/>
    <w:rsid w:val="0093313C"/>
    <w:rsid w:val="009346ED"/>
    <w:rsid w:val="00934A19"/>
    <w:rsid w:val="009355B3"/>
    <w:rsid w:val="00935F89"/>
    <w:rsid w:val="009363C1"/>
    <w:rsid w:val="00937668"/>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481F"/>
    <w:rsid w:val="0094559B"/>
    <w:rsid w:val="009455D3"/>
    <w:rsid w:val="00945B2C"/>
    <w:rsid w:val="00945E0F"/>
    <w:rsid w:val="00946B5E"/>
    <w:rsid w:val="00946F06"/>
    <w:rsid w:val="00946FCB"/>
    <w:rsid w:val="00947D15"/>
    <w:rsid w:val="0095033F"/>
    <w:rsid w:val="00950430"/>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533"/>
    <w:rsid w:val="009607FF"/>
    <w:rsid w:val="00960E05"/>
    <w:rsid w:val="00961491"/>
    <w:rsid w:val="009614F2"/>
    <w:rsid w:val="00961605"/>
    <w:rsid w:val="00961668"/>
    <w:rsid w:val="00961841"/>
    <w:rsid w:val="00961D68"/>
    <w:rsid w:val="00961FCB"/>
    <w:rsid w:val="0096220F"/>
    <w:rsid w:val="00962AA1"/>
    <w:rsid w:val="00962C10"/>
    <w:rsid w:val="00964781"/>
    <w:rsid w:val="00965545"/>
    <w:rsid w:val="00965F40"/>
    <w:rsid w:val="009661D8"/>
    <w:rsid w:val="009661FE"/>
    <w:rsid w:val="00966357"/>
    <w:rsid w:val="00966E54"/>
    <w:rsid w:val="009678D1"/>
    <w:rsid w:val="009702FE"/>
    <w:rsid w:val="00970F39"/>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77F09"/>
    <w:rsid w:val="00980A10"/>
    <w:rsid w:val="00980DEA"/>
    <w:rsid w:val="00980FC3"/>
    <w:rsid w:val="009815BE"/>
    <w:rsid w:val="0098265A"/>
    <w:rsid w:val="00982921"/>
    <w:rsid w:val="00982AC8"/>
    <w:rsid w:val="00982E54"/>
    <w:rsid w:val="00983465"/>
    <w:rsid w:val="009844AE"/>
    <w:rsid w:val="00985F04"/>
    <w:rsid w:val="00986B4C"/>
    <w:rsid w:val="00986F45"/>
    <w:rsid w:val="0098744E"/>
    <w:rsid w:val="0098793C"/>
    <w:rsid w:val="00987978"/>
    <w:rsid w:val="00987BCA"/>
    <w:rsid w:val="00987DA2"/>
    <w:rsid w:val="00990013"/>
    <w:rsid w:val="00992434"/>
    <w:rsid w:val="00994B2A"/>
    <w:rsid w:val="009959AB"/>
    <w:rsid w:val="00995B85"/>
    <w:rsid w:val="009960C7"/>
    <w:rsid w:val="009961C4"/>
    <w:rsid w:val="009963CF"/>
    <w:rsid w:val="00996444"/>
    <w:rsid w:val="00996483"/>
    <w:rsid w:val="00996D8A"/>
    <w:rsid w:val="00996F98"/>
    <w:rsid w:val="009970E6"/>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0F1"/>
    <w:rsid w:val="009B310F"/>
    <w:rsid w:val="009B356A"/>
    <w:rsid w:val="009B3881"/>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798"/>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E0656"/>
    <w:rsid w:val="009E0849"/>
    <w:rsid w:val="009E1D05"/>
    <w:rsid w:val="009E1E52"/>
    <w:rsid w:val="009E27E7"/>
    <w:rsid w:val="009E2CF1"/>
    <w:rsid w:val="009E3180"/>
    <w:rsid w:val="009E3753"/>
    <w:rsid w:val="009E5389"/>
    <w:rsid w:val="009E6BAA"/>
    <w:rsid w:val="009E6E9A"/>
    <w:rsid w:val="009F1436"/>
    <w:rsid w:val="009F2696"/>
    <w:rsid w:val="009F33AB"/>
    <w:rsid w:val="009F3441"/>
    <w:rsid w:val="009F3478"/>
    <w:rsid w:val="009F4688"/>
    <w:rsid w:val="009F53D3"/>
    <w:rsid w:val="009F61CC"/>
    <w:rsid w:val="009F74E5"/>
    <w:rsid w:val="009F7589"/>
    <w:rsid w:val="009F764D"/>
    <w:rsid w:val="00A00A38"/>
    <w:rsid w:val="00A010FA"/>
    <w:rsid w:val="00A01EF7"/>
    <w:rsid w:val="00A02749"/>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410"/>
    <w:rsid w:val="00A14D9C"/>
    <w:rsid w:val="00A15121"/>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38D"/>
    <w:rsid w:val="00A30100"/>
    <w:rsid w:val="00A303B0"/>
    <w:rsid w:val="00A3042D"/>
    <w:rsid w:val="00A32DD9"/>
    <w:rsid w:val="00A336AF"/>
    <w:rsid w:val="00A33D33"/>
    <w:rsid w:val="00A344D2"/>
    <w:rsid w:val="00A349AA"/>
    <w:rsid w:val="00A34F34"/>
    <w:rsid w:val="00A36847"/>
    <w:rsid w:val="00A37459"/>
    <w:rsid w:val="00A40661"/>
    <w:rsid w:val="00A4077D"/>
    <w:rsid w:val="00A41E55"/>
    <w:rsid w:val="00A42608"/>
    <w:rsid w:val="00A43029"/>
    <w:rsid w:val="00A4326D"/>
    <w:rsid w:val="00A437F1"/>
    <w:rsid w:val="00A43910"/>
    <w:rsid w:val="00A43D71"/>
    <w:rsid w:val="00A43EFE"/>
    <w:rsid w:val="00A44663"/>
    <w:rsid w:val="00A44BCD"/>
    <w:rsid w:val="00A4591B"/>
    <w:rsid w:val="00A459B6"/>
    <w:rsid w:val="00A45BFC"/>
    <w:rsid w:val="00A45E63"/>
    <w:rsid w:val="00A464F7"/>
    <w:rsid w:val="00A46AFB"/>
    <w:rsid w:val="00A47FAB"/>
    <w:rsid w:val="00A501CA"/>
    <w:rsid w:val="00A506C0"/>
    <w:rsid w:val="00A506D3"/>
    <w:rsid w:val="00A50AFC"/>
    <w:rsid w:val="00A52360"/>
    <w:rsid w:val="00A52828"/>
    <w:rsid w:val="00A52F0E"/>
    <w:rsid w:val="00A53D41"/>
    <w:rsid w:val="00A545C1"/>
    <w:rsid w:val="00A54972"/>
    <w:rsid w:val="00A54C10"/>
    <w:rsid w:val="00A54F12"/>
    <w:rsid w:val="00A54FC4"/>
    <w:rsid w:val="00A55869"/>
    <w:rsid w:val="00A5664E"/>
    <w:rsid w:val="00A56AFD"/>
    <w:rsid w:val="00A57B39"/>
    <w:rsid w:val="00A603C6"/>
    <w:rsid w:val="00A607C3"/>
    <w:rsid w:val="00A609CC"/>
    <w:rsid w:val="00A60AA9"/>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3C99"/>
    <w:rsid w:val="00A84637"/>
    <w:rsid w:val="00A84DA9"/>
    <w:rsid w:val="00A850BA"/>
    <w:rsid w:val="00A85304"/>
    <w:rsid w:val="00A85ACE"/>
    <w:rsid w:val="00A85E53"/>
    <w:rsid w:val="00A86BD0"/>
    <w:rsid w:val="00A8730A"/>
    <w:rsid w:val="00A87849"/>
    <w:rsid w:val="00A878A8"/>
    <w:rsid w:val="00A87D42"/>
    <w:rsid w:val="00A87D82"/>
    <w:rsid w:val="00A90396"/>
    <w:rsid w:val="00A903CA"/>
    <w:rsid w:val="00A9108D"/>
    <w:rsid w:val="00A91480"/>
    <w:rsid w:val="00A91D8A"/>
    <w:rsid w:val="00A92656"/>
    <w:rsid w:val="00A92721"/>
    <w:rsid w:val="00A933B6"/>
    <w:rsid w:val="00A935E9"/>
    <w:rsid w:val="00A93DCD"/>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1FD"/>
    <w:rsid w:val="00AA6EC8"/>
    <w:rsid w:val="00AA7329"/>
    <w:rsid w:val="00AA7421"/>
    <w:rsid w:val="00AA78C7"/>
    <w:rsid w:val="00AB0152"/>
    <w:rsid w:val="00AB0D63"/>
    <w:rsid w:val="00AB0EFC"/>
    <w:rsid w:val="00AB18D6"/>
    <w:rsid w:val="00AB1EAB"/>
    <w:rsid w:val="00AB356A"/>
    <w:rsid w:val="00AB4864"/>
    <w:rsid w:val="00AB4FC1"/>
    <w:rsid w:val="00AB5184"/>
    <w:rsid w:val="00AB51D1"/>
    <w:rsid w:val="00AB5720"/>
    <w:rsid w:val="00AB5BDD"/>
    <w:rsid w:val="00AB613B"/>
    <w:rsid w:val="00AB639F"/>
    <w:rsid w:val="00AB7109"/>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C7B82"/>
    <w:rsid w:val="00AD0852"/>
    <w:rsid w:val="00AD08A4"/>
    <w:rsid w:val="00AD11BB"/>
    <w:rsid w:val="00AD18A8"/>
    <w:rsid w:val="00AD26B0"/>
    <w:rsid w:val="00AD3270"/>
    <w:rsid w:val="00AD3F30"/>
    <w:rsid w:val="00AD42B1"/>
    <w:rsid w:val="00AD42E6"/>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5862"/>
    <w:rsid w:val="00AE586B"/>
    <w:rsid w:val="00AE5891"/>
    <w:rsid w:val="00AE59B8"/>
    <w:rsid w:val="00AE5B74"/>
    <w:rsid w:val="00AE682B"/>
    <w:rsid w:val="00AE6CE1"/>
    <w:rsid w:val="00AE75D3"/>
    <w:rsid w:val="00AE79A1"/>
    <w:rsid w:val="00AF01BA"/>
    <w:rsid w:val="00AF109C"/>
    <w:rsid w:val="00AF1E58"/>
    <w:rsid w:val="00AF3168"/>
    <w:rsid w:val="00AF32CF"/>
    <w:rsid w:val="00AF3303"/>
    <w:rsid w:val="00AF3483"/>
    <w:rsid w:val="00AF3548"/>
    <w:rsid w:val="00AF36F1"/>
    <w:rsid w:val="00AF48B6"/>
    <w:rsid w:val="00AF48C9"/>
    <w:rsid w:val="00AF5656"/>
    <w:rsid w:val="00AF5DFA"/>
    <w:rsid w:val="00AF5F3C"/>
    <w:rsid w:val="00AF6071"/>
    <w:rsid w:val="00AF61BB"/>
    <w:rsid w:val="00AF7C2B"/>
    <w:rsid w:val="00B00E6F"/>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B39"/>
    <w:rsid w:val="00B2334C"/>
    <w:rsid w:val="00B23827"/>
    <w:rsid w:val="00B23B28"/>
    <w:rsid w:val="00B23EA5"/>
    <w:rsid w:val="00B2423D"/>
    <w:rsid w:val="00B25374"/>
    <w:rsid w:val="00B25775"/>
    <w:rsid w:val="00B2684F"/>
    <w:rsid w:val="00B278B8"/>
    <w:rsid w:val="00B27DC7"/>
    <w:rsid w:val="00B316F5"/>
    <w:rsid w:val="00B33844"/>
    <w:rsid w:val="00B33A24"/>
    <w:rsid w:val="00B33EC2"/>
    <w:rsid w:val="00B341EC"/>
    <w:rsid w:val="00B34859"/>
    <w:rsid w:val="00B34A77"/>
    <w:rsid w:val="00B3559B"/>
    <w:rsid w:val="00B35A47"/>
    <w:rsid w:val="00B35E47"/>
    <w:rsid w:val="00B35F0A"/>
    <w:rsid w:val="00B3611D"/>
    <w:rsid w:val="00B3740C"/>
    <w:rsid w:val="00B37760"/>
    <w:rsid w:val="00B40873"/>
    <w:rsid w:val="00B416FA"/>
    <w:rsid w:val="00B41776"/>
    <w:rsid w:val="00B41E63"/>
    <w:rsid w:val="00B41F4C"/>
    <w:rsid w:val="00B420BA"/>
    <w:rsid w:val="00B44D24"/>
    <w:rsid w:val="00B44EC0"/>
    <w:rsid w:val="00B45461"/>
    <w:rsid w:val="00B46066"/>
    <w:rsid w:val="00B467E3"/>
    <w:rsid w:val="00B46E9B"/>
    <w:rsid w:val="00B475A8"/>
    <w:rsid w:val="00B479C5"/>
    <w:rsid w:val="00B479D9"/>
    <w:rsid w:val="00B51372"/>
    <w:rsid w:val="00B51E98"/>
    <w:rsid w:val="00B5363C"/>
    <w:rsid w:val="00B53A6C"/>
    <w:rsid w:val="00B53E49"/>
    <w:rsid w:val="00B54BF6"/>
    <w:rsid w:val="00B54DB8"/>
    <w:rsid w:val="00B54EBD"/>
    <w:rsid w:val="00B554DE"/>
    <w:rsid w:val="00B56C9F"/>
    <w:rsid w:val="00B5716F"/>
    <w:rsid w:val="00B5757A"/>
    <w:rsid w:val="00B5774A"/>
    <w:rsid w:val="00B60FCA"/>
    <w:rsid w:val="00B6115C"/>
    <w:rsid w:val="00B6143B"/>
    <w:rsid w:val="00B6205F"/>
    <w:rsid w:val="00B623C1"/>
    <w:rsid w:val="00B629C8"/>
    <w:rsid w:val="00B63AA5"/>
    <w:rsid w:val="00B64481"/>
    <w:rsid w:val="00B65889"/>
    <w:rsid w:val="00B65DE8"/>
    <w:rsid w:val="00B65FAF"/>
    <w:rsid w:val="00B66371"/>
    <w:rsid w:val="00B667B9"/>
    <w:rsid w:val="00B66DE5"/>
    <w:rsid w:val="00B70846"/>
    <w:rsid w:val="00B70868"/>
    <w:rsid w:val="00B70D76"/>
    <w:rsid w:val="00B70FDF"/>
    <w:rsid w:val="00B71681"/>
    <w:rsid w:val="00B718E8"/>
    <w:rsid w:val="00B7208A"/>
    <w:rsid w:val="00B73184"/>
    <w:rsid w:val="00B73209"/>
    <w:rsid w:val="00B73A4A"/>
    <w:rsid w:val="00B741D6"/>
    <w:rsid w:val="00B744F3"/>
    <w:rsid w:val="00B7454C"/>
    <w:rsid w:val="00B74557"/>
    <w:rsid w:val="00B7514B"/>
    <w:rsid w:val="00B751DD"/>
    <w:rsid w:val="00B7522E"/>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373"/>
    <w:rsid w:val="00B817D9"/>
    <w:rsid w:val="00B8228C"/>
    <w:rsid w:val="00B8251B"/>
    <w:rsid w:val="00B8280E"/>
    <w:rsid w:val="00B82F3F"/>
    <w:rsid w:val="00B83388"/>
    <w:rsid w:val="00B83A2B"/>
    <w:rsid w:val="00B84B40"/>
    <w:rsid w:val="00B84FB1"/>
    <w:rsid w:val="00B85048"/>
    <w:rsid w:val="00B85958"/>
    <w:rsid w:val="00B85D36"/>
    <w:rsid w:val="00B85F2F"/>
    <w:rsid w:val="00B85FEE"/>
    <w:rsid w:val="00B86B4E"/>
    <w:rsid w:val="00B8749B"/>
    <w:rsid w:val="00B87C76"/>
    <w:rsid w:val="00B87DD8"/>
    <w:rsid w:val="00B90839"/>
    <w:rsid w:val="00B90F1F"/>
    <w:rsid w:val="00B91462"/>
    <w:rsid w:val="00B91D57"/>
    <w:rsid w:val="00B922EF"/>
    <w:rsid w:val="00B93231"/>
    <w:rsid w:val="00B93251"/>
    <w:rsid w:val="00B93755"/>
    <w:rsid w:val="00B94773"/>
    <w:rsid w:val="00B94882"/>
    <w:rsid w:val="00B95298"/>
    <w:rsid w:val="00B95BF9"/>
    <w:rsid w:val="00B95D47"/>
    <w:rsid w:val="00B961B2"/>
    <w:rsid w:val="00B96678"/>
    <w:rsid w:val="00B96AF9"/>
    <w:rsid w:val="00B96CC8"/>
    <w:rsid w:val="00B96F70"/>
    <w:rsid w:val="00B970E0"/>
    <w:rsid w:val="00B97A16"/>
    <w:rsid w:val="00B97C30"/>
    <w:rsid w:val="00BA03B8"/>
    <w:rsid w:val="00BA0623"/>
    <w:rsid w:val="00BA2166"/>
    <w:rsid w:val="00BA2977"/>
    <w:rsid w:val="00BA2BC0"/>
    <w:rsid w:val="00BA7025"/>
    <w:rsid w:val="00BA739E"/>
    <w:rsid w:val="00BB01DD"/>
    <w:rsid w:val="00BB1528"/>
    <w:rsid w:val="00BB1A17"/>
    <w:rsid w:val="00BB1AF7"/>
    <w:rsid w:val="00BB2672"/>
    <w:rsid w:val="00BB3AEF"/>
    <w:rsid w:val="00BB46B7"/>
    <w:rsid w:val="00BB5018"/>
    <w:rsid w:val="00BB56C6"/>
    <w:rsid w:val="00BB6A94"/>
    <w:rsid w:val="00BB70B6"/>
    <w:rsid w:val="00BB7BA1"/>
    <w:rsid w:val="00BC0564"/>
    <w:rsid w:val="00BC1C29"/>
    <w:rsid w:val="00BC2417"/>
    <w:rsid w:val="00BC2804"/>
    <w:rsid w:val="00BC29A0"/>
    <w:rsid w:val="00BC2E14"/>
    <w:rsid w:val="00BC3E76"/>
    <w:rsid w:val="00BC4363"/>
    <w:rsid w:val="00BC44DD"/>
    <w:rsid w:val="00BC4ADE"/>
    <w:rsid w:val="00BC4B97"/>
    <w:rsid w:val="00BC558C"/>
    <w:rsid w:val="00BC56F2"/>
    <w:rsid w:val="00BC5EE7"/>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334"/>
    <w:rsid w:val="00BD5594"/>
    <w:rsid w:val="00BD5926"/>
    <w:rsid w:val="00BD7D57"/>
    <w:rsid w:val="00BD7E60"/>
    <w:rsid w:val="00BD7E76"/>
    <w:rsid w:val="00BE00A4"/>
    <w:rsid w:val="00BE0462"/>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0F4"/>
    <w:rsid w:val="00BF12DD"/>
    <w:rsid w:val="00BF1CB0"/>
    <w:rsid w:val="00BF28BF"/>
    <w:rsid w:val="00BF28E8"/>
    <w:rsid w:val="00BF3C69"/>
    <w:rsid w:val="00BF40C7"/>
    <w:rsid w:val="00BF42D7"/>
    <w:rsid w:val="00BF448F"/>
    <w:rsid w:val="00BF480F"/>
    <w:rsid w:val="00BF482C"/>
    <w:rsid w:val="00BF4894"/>
    <w:rsid w:val="00BF5A89"/>
    <w:rsid w:val="00BF5BEA"/>
    <w:rsid w:val="00BF5C75"/>
    <w:rsid w:val="00BF60C0"/>
    <w:rsid w:val="00BF6353"/>
    <w:rsid w:val="00BF6CE0"/>
    <w:rsid w:val="00BF77A8"/>
    <w:rsid w:val="00C00708"/>
    <w:rsid w:val="00C0076C"/>
    <w:rsid w:val="00C00BE2"/>
    <w:rsid w:val="00C0323C"/>
    <w:rsid w:val="00C03418"/>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810"/>
    <w:rsid w:val="00C23981"/>
    <w:rsid w:val="00C23D28"/>
    <w:rsid w:val="00C24427"/>
    <w:rsid w:val="00C2482F"/>
    <w:rsid w:val="00C25572"/>
    <w:rsid w:val="00C25B30"/>
    <w:rsid w:val="00C266EC"/>
    <w:rsid w:val="00C26A02"/>
    <w:rsid w:val="00C26D72"/>
    <w:rsid w:val="00C27802"/>
    <w:rsid w:val="00C30910"/>
    <w:rsid w:val="00C30983"/>
    <w:rsid w:val="00C30CE1"/>
    <w:rsid w:val="00C31233"/>
    <w:rsid w:val="00C312E7"/>
    <w:rsid w:val="00C31AF6"/>
    <w:rsid w:val="00C324F9"/>
    <w:rsid w:val="00C34050"/>
    <w:rsid w:val="00C341A5"/>
    <w:rsid w:val="00C346F0"/>
    <w:rsid w:val="00C349F7"/>
    <w:rsid w:val="00C34E8F"/>
    <w:rsid w:val="00C354FA"/>
    <w:rsid w:val="00C35C41"/>
    <w:rsid w:val="00C35CC9"/>
    <w:rsid w:val="00C367D9"/>
    <w:rsid w:val="00C36CCF"/>
    <w:rsid w:val="00C36E02"/>
    <w:rsid w:val="00C36F95"/>
    <w:rsid w:val="00C41431"/>
    <w:rsid w:val="00C41B30"/>
    <w:rsid w:val="00C41D32"/>
    <w:rsid w:val="00C41E83"/>
    <w:rsid w:val="00C41E9B"/>
    <w:rsid w:val="00C422AB"/>
    <w:rsid w:val="00C423E7"/>
    <w:rsid w:val="00C42E39"/>
    <w:rsid w:val="00C435A5"/>
    <w:rsid w:val="00C43F09"/>
    <w:rsid w:val="00C4414B"/>
    <w:rsid w:val="00C44433"/>
    <w:rsid w:val="00C45042"/>
    <w:rsid w:val="00C451DC"/>
    <w:rsid w:val="00C479AB"/>
    <w:rsid w:val="00C47AD2"/>
    <w:rsid w:val="00C505B1"/>
    <w:rsid w:val="00C507D6"/>
    <w:rsid w:val="00C5186E"/>
    <w:rsid w:val="00C518AE"/>
    <w:rsid w:val="00C51D18"/>
    <w:rsid w:val="00C52052"/>
    <w:rsid w:val="00C525EE"/>
    <w:rsid w:val="00C52854"/>
    <w:rsid w:val="00C52965"/>
    <w:rsid w:val="00C52A87"/>
    <w:rsid w:val="00C52B52"/>
    <w:rsid w:val="00C52C34"/>
    <w:rsid w:val="00C532AF"/>
    <w:rsid w:val="00C53301"/>
    <w:rsid w:val="00C5376F"/>
    <w:rsid w:val="00C53888"/>
    <w:rsid w:val="00C540BC"/>
    <w:rsid w:val="00C54717"/>
    <w:rsid w:val="00C54D86"/>
    <w:rsid w:val="00C5530F"/>
    <w:rsid w:val="00C55FAC"/>
    <w:rsid w:val="00C5673C"/>
    <w:rsid w:val="00C56B80"/>
    <w:rsid w:val="00C57256"/>
    <w:rsid w:val="00C573D6"/>
    <w:rsid w:val="00C60F47"/>
    <w:rsid w:val="00C61124"/>
    <w:rsid w:val="00C61181"/>
    <w:rsid w:val="00C617EF"/>
    <w:rsid w:val="00C62040"/>
    <w:rsid w:val="00C6217C"/>
    <w:rsid w:val="00C63690"/>
    <w:rsid w:val="00C643A5"/>
    <w:rsid w:val="00C64529"/>
    <w:rsid w:val="00C6453E"/>
    <w:rsid w:val="00C6503C"/>
    <w:rsid w:val="00C65C19"/>
    <w:rsid w:val="00C65C22"/>
    <w:rsid w:val="00C65C8A"/>
    <w:rsid w:val="00C66677"/>
    <w:rsid w:val="00C66AFF"/>
    <w:rsid w:val="00C6746E"/>
    <w:rsid w:val="00C679AA"/>
    <w:rsid w:val="00C70032"/>
    <w:rsid w:val="00C7146E"/>
    <w:rsid w:val="00C7157A"/>
    <w:rsid w:val="00C72D72"/>
    <w:rsid w:val="00C731B9"/>
    <w:rsid w:val="00C7386B"/>
    <w:rsid w:val="00C73B9D"/>
    <w:rsid w:val="00C73FEB"/>
    <w:rsid w:val="00C748EA"/>
    <w:rsid w:val="00C74D6E"/>
    <w:rsid w:val="00C764B1"/>
    <w:rsid w:val="00C770CB"/>
    <w:rsid w:val="00C77757"/>
    <w:rsid w:val="00C7790B"/>
    <w:rsid w:val="00C77E25"/>
    <w:rsid w:val="00C802B2"/>
    <w:rsid w:val="00C824AA"/>
    <w:rsid w:val="00C82620"/>
    <w:rsid w:val="00C82995"/>
    <w:rsid w:val="00C83234"/>
    <w:rsid w:val="00C833C1"/>
    <w:rsid w:val="00C83F81"/>
    <w:rsid w:val="00C85897"/>
    <w:rsid w:val="00C85B36"/>
    <w:rsid w:val="00C8614D"/>
    <w:rsid w:val="00C86293"/>
    <w:rsid w:val="00C873A1"/>
    <w:rsid w:val="00C87608"/>
    <w:rsid w:val="00C9049B"/>
    <w:rsid w:val="00C90E00"/>
    <w:rsid w:val="00C91840"/>
    <w:rsid w:val="00C91A64"/>
    <w:rsid w:val="00C91CD5"/>
    <w:rsid w:val="00C91E9E"/>
    <w:rsid w:val="00C920CF"/>
    <w:rsid w:val="00C92131"/>
    <w:rsid w:val="00C93ED4"/>
    <w:rsid w:val="00C9525C"/>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CF"/>
    <w:rsid w:val="00CB1190"/>
    <w:rsid w:val="00CB183D"/>
    <w:rsid w:val="00CB1A4B"/>
    <w:rsid w:val="00CB1AAC"/>
    <w:rsid w:val="00CB1E16"/>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6E7"/>
    <w:rsid w:val="00CC49FD"/>
    <w:rsid w:val="00CC56B1"/>
    <w:rsid w:val="00CC58E0"/>
    <w:rsid w:val="00CC5D7B"/>
    <w:rsid w:val="00CC5DEA"/>
    <w:rsid w:val="00CC6472"/>
    <w:rsid w:val="00CD05AA"/>
    <w:rsid w:val="00CD0AA0"/>
    <w:rsid w:val="00CD1223"/>
    <w:rsid w:val="00CD17B4"/>
    <w:rsid w:val="00CD1C29"/>
    <w:rsid w:val="00CD3B05"/>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5F67"/>
    <w:rsid w:val="00CE6349"/>
    <w:rsid w:val="00CE690C"/>
    <w:rsid w:val="00CE7232"/>
    <w:rsid w:val="00CE744F"/>
    <w:rsid w:val="00CE7803"/>
    <w:rsid w:val="00CE78A8"/>
    <w:rsid w:val="00CE7FDC"/>
    <w:rsid w:val="00CF0294"/>
    <w:rsid w:val="00CF1044"/>
    <w:rsid w:val="00CF19A1"/>
    <w:rsid w:val="00CF1B4A"/>
    <w:rsid w:val="00CF21A3"/>
    <w:rsid w:val="00CF267C"/>
    <w:rsid w:val="00CF3069"/>
    <w:rsid w:val="00CF3997"/>
    <w:rsid w:val="00CF3F59"/>
    <w:rsid w:val="00CF4215"/>
    <w:rsid w:val="00CF54F9"/>
    <w:rsid w:val="00CF5E14"/>
    <w:rsid w:val="00CF6EDF"/>
    <w:rsid w:val="00CF7044"/>
    <w:rsid w:val="00CF769B"/>
    <w:rsid w:val="00CF7C1D"/>
    <w:rsid w:val="00CF7D7C"/>
    <w:rsid w:val="00D00C43"/>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2B82"/>
    <w:rsid w:val="00D22DE5"/>
    <w:rsid w:val="00D23105"/>
    <w:rsid w:val="00D23997"/>
    <w:rsid w:val="00D23A7D"/>
    <w:rsid w:val="00D242B5"/>
    <w:rsid w:val="00D244A1"/>
    <w:rsid w:val="00D24612"/>
    <w:rsid w:val="00D252B1"/>
    <w:rsid w:val="00D25405"/>
    <w:rsid w:val="00D254E7"/>
    <w:rsid w:val="00D2583A"/>
    <w:rsid w:val="00D25B63"/>
    <w:rsid w:val="00D25D88"/>
    <w:rsid w:val="00D26615"/>
    <w:rsid w:val="00D269EE"/>
    <w:rsid w:val="00D26CFF"/>
    <w:rsid w:val="00D3012F"/>
    <w:rsid w:val="00D31571"/>
    <w:rsid w:val="00D31578"/>
    <w:rsid w:val="00D32592"/>
    <w:rsid w:val="00D32770"/>
    <w:rsid w:val="00D33665"/>
    <w:rsid w:val="00D339D8"/>
    <w:rsid w:val="00D342D1"/>
    <w:rsid w:val="00D34525"/>
    <w:rsid w:val="00D34FD8"/>
    <w:rsid w:val="00D356D4"/>
    <w:rsid w:val="00D35FA9"/>
    <w:rsid w:val="00D4127E"/>
    <w:rsid w:val="00D41400"/>
    <w:rsid w:val="00D4266B"/>
    <w:rsid w:val="00D426D8"/>
    <w:rsid w:val="00D4330E"/>
    <w:rsid w:val="00D433FE"/>
    <w:rsid w:val="00D44452"/>
    <w:rsid w:val="00D44F4C"/>
    <w:rsid w:val="00D45726"/>
    <w:rsid w:val="00D467B9"/>
    <w:rsid w:val="00D47834"/>
    <w:rsid w:val="00D47994"/>
    <w:rsid w:val="00D50A99"/>
    <w:rsid w:val="00D50C2E"/>
    <w:rsid w:val="00D51B57"/>
    <w:rsid w:val="00D52BE0"/>
    <w:rsid w:val="00D52D93"/>
    <w:rsid w:val="00D53761"/>
    <w:rsid w:val="00D53E71"/>
    <w:rsid w:val="00D53F6E"/>
    <w:rsid w:val="00D55228"/>
    <w:rsid w:val="00D55A68"/>
    <w:rsid w:val="00D56474"/>
    <w:rsid w:val="00D56579"/>
    <w:rsid w:val="00D569A4"/>
    <w:rsid w:val="00D60451"/>
    <w:rsid w:val="00D60BD8"/>
    <w:rsid w:val="00D611CB"/>
    <w:rsid w:val="00D61391"/>
    <w:rsid w:val="00D613B2"/>
    <w:rsid w:val="00D614CC"/>
    <w:rsid w:val="00D61CF1"/>
    <w:rsid w:val="00D628B7"/>
    <w:rsid w:val="00D6301F"/>
    <w:rsid w:val="00D630E9"/>
    <w:rsid w:val="00D6325C"/>
    <w:rsid w:val="00D63468"/>
    <w:rsid w:val="00D63497"/>
    <w:rsid w:val="00D6355B"/>
    <w:rsid w:val="00D63658"/>
    <w:rsid w:val="00D63806"/>
    <w:rsid w:val="00D647C7"/>
    <w:rsid w:val="00D64903"/>
    <w:rsid w:val="00D64E7E"/>
    <w:rsid w:val="00D652E6"/>
    <w:rsid w:val="00D6530E"/>
    <w:rsid w:val="00D65829"/>
    <w:rsid w:val="00D65FB1"/>
    <w:rsid w:val="00D66081"/>
    <w:rsid w:val="00D664B3"/>
    <w:rsid w:val="00D669D9"/>
    <w:rsid w:val="00D67074"/>
    <w:rsid w:val="00D67384"/>
    <w:rsid w:val="00D673B5"/>
    <w:rsid w:val="00D67E90"/>
    <w:rsid w:val="00D71411"/>
    <w:rsid w:val="00D717C0"/>
    <w:rsid w:val="00D71B53"/>
    <w:rsid w:val="00D720BD"/>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851"/>
    <w:rsid w:val="00D775AF"/>
    <w:rsid w:val="00D775C1"/>
    <w:rsid w:val="00D8076C"/>
    <w:rsid w:val="00D809B6"/>
    <w:rsid w:val="00D81187"/>
    <w:rsid w:val="00D813DF"/>
    <w:rsid w:val="00D8163C"/>
    <w:rsid w:val="00D817D3"/>
    <w:rsid w:val="00D823D9"/>
    <w:rsid w:val="00D831C4"/>
    <w:rsid w:val="00D83CE3"/>
    <w:rsid w:val="00D847CF"/>
    <w:rsid w:val="00D853D2"/>
    <w:rsid w:val="00D85F93"/>
    <w:rsid w:val="00D86DF6"/>
    <w:rsid w:val="00D876D4"/>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221"/>
    <w:rsid w:val="00D974D0"/>
    <w:rsid w:val="00D97715"/>
    <w:rsid w:val="00DA03EC"/>
    <w:rsid w:val="00DA0CF6"/>
    <w:rsid w:val="00DA12F2"/>
    <w:rsid w:val="00DA19E4"/>
    <w:rsid w:val="00DA2AEA"/>
    <w:rsid w:val="00DA2CF7"/>
    <w:rsid w:val="00DA303C"/>
    <w:rsid w:val="00DA3AA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28B7"/>
    <w:rsid w:val="00DB355A"/>
    <w:rsid w:val="00DB3622"/>
    <w:rsid w:val="00DB372D"/>
    <w:rsid w:val="00DB3E12"/>
    <w:rsid w:val="00DB406F"/>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42A"/>
    <w:rsid w:val="00DC3A23"/>
    <w:rsid w:val="00DC4AD2"/>
    <w:rsid w:val="00DC4EE7"/>
    <w:rsid w:val="00DC50E2"/>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3A2"/>
    <w:rsid w:val="00DD5FCA"/>
    <w:rsid w:val="00DD643B"/>
    <w:rsid w:val="00DD681D"/>
    <w:rsid w:val="00DD6FD4"/>
    <w:rsid w:val="00DD742F"/>
    <w:rsid w:val="00DD78AA"/>
    <w:rsid w:val="00DE054F"/>
    <w:rsid w:val="00DE0D47"/>
    <w:rsid w:val="00DE1542"/>
    <w:rsid w:val="00DE312C"/>
    <w:rsid w:val="00DE39CE"/>
    <w:rsid w:val="00DE4327"/>
    <w:rsid w:val="00DE4516"/>
    <w:rsid w:val="00DE5A55"/>
    <w:rsid w:val="00DE6A11"/>
    <w:rsid w:val="00DE6DA5"/>
    <w:rsid w:val="00DE6FB1"/>
    <w:rsid w:val="00DE735E"/>
    <w:rsid w:val="00DE7761"/>
    <w:rsid w:val="00DE7AB7"/>
    <w:rsid w:val="00DF0820"/>
    <w:rsid w:val="00DF1092"/>
    <w:rsid w:val="00DF1277"/>
    <w:rsid w:val="00DF1ADD"/>
    <w:rsid w:val="00DF2051"/>
    <w:rsid w:val="00DF29DD"/>
    <w:rsid w:val="00DF2D2A"/>
    <w:rsid w:val="00DF305C"/>
    <w:rsid w:val="00DF3723"/>
    <w:rsid w:val="00DF3881"/>
    <w:rsid w:val="00DF42D3"/>
    <w:rsid w:val="00DF461C"/>
    <w:rsid w:val="00DF4ACE"/>
    <w:rsid w:val="00DF514A"/>
    <w:rsid w:val="00DF566B"/>
    <w:rsid w:val="00DF621B"/>
    <w:rsid w:val="00DF6635"/>
    <w:rsid w:val="00DF7E51"/>
    <w:rsid w:val="00E0000F"/>
    <w:rsid w:val="00E00CE5"/>
    <w:rsid w:val="00E0107B"/>
    <w:rsid w:val="00E01BCA"/>
    <w:rsid w:val="00E020D9"/>
    <w:rsid w:val="00E02762"/>
    <w:rsid w:val="00E028F7"/>
    <w:rsid w:val="00E033EF"/>
    <w:rsid w:val="00E0364F"/>
    <w:rsid w:val="00E03767"/>
    <w:rsid w:val="00E0410D"/>
    <w:rsid w:val="00E046FA"/>
    <w:rsid w:val="00E057E2"/>
    <w:rsid w:val="00E05AE9"/>
    <w:rsid w:val="00E061AC"/>
    <w:rsid w:val="00E06F94"/>
    <w:rsid w:val="00E0726E"/>
    <w:rsid w:val="00E07CEC"/>
    <w:rsid w:val="00E07F16"/>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203D2"/>
    <w:rsid w:val="00E20ED5"/>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DB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15D8"/>
    <w:rsid w:val="00E4174A"/>
    <w:rsid w:val="00E4192A"/>
    <w:rsid w:val="00E426B4"/>
    <w:rsid w:val="00E426CC"/>
    <w:rsid w:val="00E43588"/>
    <w:rsid w:val="00E44E9C"/>
    <w:rsid w:val="00E4500A"/>
    <w:rsid w:val="00E4524D"/>
    <w:rsid w:val="00E452E9"/>
    <w:rsid w:val="00E465D4"/>
    <w:rsid w:val="00E46B63"/>
    <w:rsid w:val="00E46FBB"/>
    <w:rsid w:val="00E471D1"/>
    <w:rsid w:val="00E4729B"/>
    <w:rsid w:val="00E47726"/>
    <w:rsid w:val="00E5177D"/>
    <w:rsid w:val="00E51BB0"/>
    <w:rsid w:val="00E51EF4"/>
    <w:rsid w:val="00E522C5"/>
    <w:rsid w:val="00E523AF"/>
    <w:rsid w:val="00E542BC"/>
    <w:rsid w:val="00E54D64"/>
    <w:rsid w:val="00E557B4"/>
    <w:rsid w:val="00E55807"/>
    <w:rsid w:val="00E5584E"/>
    <w:rsid w:val="00E55DA5"/>
    <w:rsid w:val="00E568CA"/>
    <w:rsid w:val="00E5745E"/>
    <w:rsid w:val="00E57679"/>
    <w:rsid w:val="00E57888"/>
    <w:rsid w:val="00E57D66"/>
    <w:rsid w:val="00E60484"/>
    <w:rsid w:val="00E605B5"/>
    <w:rsid w:val="00E60EEA"/>
    <w:rsid w:val="00E61856"/>
    <w:rsid w:val="00E62CAA"/>
    <w:rsid w:val="00E63194"/>
    <w:rsid w:val="00E63E0A"/>
    <w:rsid w:val="00E64393"/>
    <w:rsid w:val="00E649E2"/>
    <w:rsid w:val="00E650B0"/>
    <w:rsid w:val="00E6604D"/>
    <w:rsid w:val="00E6674A"/>
    <w:rsid w:val="00E6714E"/>
    <w:rsid w:val="00E67762"/>
    <w:rsid w:val="00E678FB"/>
    <w:rsid w:val="00E705EF"/>
    <w:rsid w:val="00E71085"/>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5FD3"/>
    <w:rsid w:val="00E86132"/>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44C0"/>
    <w:rsid w:val="00E94F65"/>
    <w:rsid w:val="00E95515"/>
    <w:rsid w:val="00E95915"/>
    <w:rsid w:val="00E95A4B"/>
    <w:rsid w:val="00E95ACA"/>
    <w:rsid w:val="00E95C84"/>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CBF"/>
    <w:rsid w:val="00EA6EFF"/>
    <w:rsid w:val="00EB0AEB"/>
    <w:rsid w:val="00EB1273"/>
    <w:rsid w:val="00EB143C"/>
    <w:rsid w:val="00EB1CAA"/>
    <w:rsid w:val="00EB223D"/>
    <w:rsid w:val="00EB41FB"/>
    <w:rsid w:val="00EB47D5"/>
    <w:rsid w:val="00EB54E9"/>
    <w:rsid w:val="00EB5DFF"/>
    <w:rsid w:val="00EB67D4"/>
    <w:rsid w:val="00EB6C1C"/>
    <w:rsid w:val="00EB6DA6"/>
    <w:rsid w:val="00EB6FDB"/>
    <w:rsid w:val="00EC1C8B"/>
    <w:rsid w:val="00EC2273"/>
    <w:rsid w:val="00EC29B5"/>
    <w:rsid w:val="00EC2C80"/>
    <w:rsid w:val="00EC40C9"/>
    <w:rsid w:val="00EC441F"/>
    <w:rsid w:val="00EC4827"/>
    <w:rsid w:val="00EC58B9"/>
    <w:rsid w:val="00EC678C"/>
    <w:rsid w:val="00EC6FFC"/>
    <w:rsid w:val="00EC7071"/>
    <w:rsid w:val="00EC76DC"/>
    <w:rsid w:val="00EC7959"/>
    <w:rsid w:val="00EC7B0C"/>
    <w:rsid w:val="00EC7BAF"/>
    <w:rsid w:val="00EC7DB5"/>
    <w:rsid w:val="00ED0770"/>
    <w:rsid w:val="00ED0BE8"/>
    <w:rsid w:val="00ED1AF6"/>
    <w:rsid w:val="00ED2C2B"/>
    <w:rsid w:val="00ED2D21"/>
    <w:rsid w:val="00ED2F43"/>
    <w:rsid w:val="00ED3161"/>
    <w:rsid w:val="00ED3B67"/>
    <w:rsid w:val="00ED3DC2"/>
    <w:rsid w:val="00ED43C1"/>
    <w:rsid w:val="00ED540D"/>
    <w:rsid w:val="00ED64C9"/>
    <w:rsid w:val="00ED6E8A"/>
    <w:rsid w:val="00ED7EC4"/>
    <w:rsid w:val="00EE014C"/>
    <w:rsid w:val="00EE3797"/>
    <w:rsid w:val="00EE3869"/>
    <w:rsid w:val="00EE3B49"/>
    <w:rsid w:val="00EE4095"/>
    <w:rsid w:val="00EE48EF"/>
    <w:rsid w:val="00EE508C"/>
    <w:rsid w:val="00EE58A8"/>
    <w:rsid w:val="00EE5C5A"/>
    <w:rsid w:val="00EE5E14"/>
    <w:rsid w:val="00EE63EB"/>
    <w:rsid w:val="00EE6961"/>
    <w:rsid w:val="00EE76A7"/>
    <w:rsid w:val="00EE7C5D"/>
    <w:rsid w:val="00EF00BF"/>
    <w:rsid w:val="00EF0D0E"/>
    <w:rsid w:val="00EF11EA"/>
    <w:rsid w:val="00EF12D8"/>
    <w:rsid w:val="00EF156E"/>
    <w:rsid w:val="00EF204A"/>
    <w:rsid w:val="00EF2097"/>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DF5"/>
    <w:rsid w:val="00F026A8"/>
    <w:rsid w:val="00F028CB"/>
    <w:rsid w:val="00F03766"/>
    <w:rsid w:val="00F03E44"/>
    <w:rsid w:val="00F054A3"/>
    <w:rsid w:val="00F05604"/>
    <w:rsid w:val="00F06547"/>
    <w:rsid w:val="00F069E2"/>
    <w:rsid w:val="00F073E6"/>
    <w:rsid w:val="00F074F3"/>
    <w:rsid w:val="00F07B50"/>
    <w:rsid w:val="00F07DC2"/>
    <w:rsid w:val="00F106B0"/>
    <w:rsid w:val="00F11347"/>
    <w:rsid w:val="00F116CE"/>
    <w:rsid w:val="00F116F3"/>
    <w:rsid w:val="00F127CC"/>
    <w:rsid w:val="00F12861"/>
    <w:rsid w:val="00F12D99"/>
    <w:rsid w:val="00F137A5"/>
    <w:rsid w:val="00F13E6E"/>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9A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9BD"/>
    <w:rsid w:val="00F33E03"/>
    <w:rsid w:val="00F341D2"/>
    <w:rsid w:val="00F34454"/>
    <w:rsid w:val="00F34AF8"/>
    <w:rsid w:val="00F35563"/>
    <w:rsid w:val="00F35B99"/>
    <w:rsid w:val="00F35F9E"/>
    <w:rsid w:val="00F367EE"/>
    <w:rsid w:val="00F36990"/>
    <w:rsid w:val="00F36B81"/>
    <w:rsid w:val="00F3711A"/>
    <w:rsid w:val="00F37304"/>
    <w:rsid w:val="00F37888"/>
    <w:rsid w:val="00F37DA8"/>
    <w:rsid w:val="00F41531"/>
    <w:rsid w:val="00F424C5"/>
    <w:rsid w:val="00F42D7A"/>
    <w:rsid w:val="00F43D3D"/>
    <w:rsid w:val="00F45203"/>
    <w:rsid w:val="00F4569A"/>
    <w:rsid w:val="00F45DB1"/>
    <w:rsid w:val="00F46088"/>
    <w:rsid w:val="00F46E31"/>
    <w:rsid w:val="00F473CD"/>
    <w:rsid w:val="00F50066"/>
    <w:rsid w:val="00F50D6D"/>
    <w:rsid w:val="00F50E73"/>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6004E"/>
    <w:rsid w:val="00F601E2"/>
    <w:rsid w:val="00F6086E"/>
    <w:rsid w:val="00F60888"/>
    <w:rsid w:val="00F6141C"/>
    <w:rsid w:val="00F62273"/>
    <w:rsid w:val="00F62486"/>
    <w:rsid w:val="00F624F2"/>
    <w:rsid w:val="00F63AA6"/>
    <w:rsid w:val="00F63BBF"/>
    <w:rsid w:val="00F643CC"/>
    <w:rsid w:val="00F64778"/>
    <w:rsid w:val="00F64E97"/>
    <w:rsid w:val="00F6514F"/>
    <w:rsid w:val="00F651D9"/>
    <w:rsid w:val="00F655FC"/>
    <w:rsid w:val="00F65CB8"/>
    <w:rsid w:val="00F66045"/>
    <w:rsid w:val="00F66607"/>
    <w:rsid w:val="00F66CD2"/>
    <w:rsid w:val="00F66D0E"/>
    <w:rsid w:val="00F66E4D"/>
    <w:rsid w:val="00F675B5"/>
    <w:rsid w:val="00F70130"/>
    <w:rsid w:val="00F701F3"/>
    <w:rsid w:val="00F7051C"/>
    <w:rsid w:val="00F70C9C"/>
    <w:rsid w:val="00F70D42"/>
    <w:rsid w:val="00F70F2A"/>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1FA"/>
    <w:rsid w:val="00F8277E"/>
    <w:rsid w:val="00F828DD"/>
    <w:rsid w:val="00F82943"/>
    <w:rsid w:val="00F83A90"/>
    <w:rsid w:val="00F83CB8"/>
    <w:rsid w:val="00F83EFD"/>
    <w:rsid w:val="00F842EE"/>
    <w:rsid w:val="00F85AD1"/>
    <w:rsid w:val="00F8603E"/>
    <w:rsid w:val="00F8617D"/>
    <w:rsid w:val="00F86E98"/>
    <w:rsid w:val="00F871B4"/>
    <w:rsid w:val="00F87B1B"/>
    <w:rsid w:val="00F90A3C"/>
    <w:rsid w:val="00F91A02"/>
    <w:rsid w:val="00F91B67"/>
    <w:rsid w:val="00F91C5D"/>
    <w:rsid w:val="00F921D6"/>
    <w:rsid w:val="00F934EC"/>
    <w:rsid w:val="00F93AC7"/>
    <w:rsid w:val="00F93C34"/>
    <w:rsid w:val="00F94411"/>
    <w:rsid w:val="00F9453C"/>
    <w:rsid w:val="00F955AF"/>
    <w:rsid w:val="00F95CD4"/>
    <w:rsid w:val="00F961DC"/>
    <w:rsid w:val="00F964EC"/>
    <w:rsid w:val="00F96796"/>
    <w:rsid w:val="00F96A96"/>
    <w:rsid w:val="00F96F30"/>
    <w:rsid w:val="00F9704D"/>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6298"/>
    <w:rsid w:val="00FA6687"/>
    <w:rsid w:val="00FA73A4"/>
    <w:rsid w:val="00FB04C1"/>
    <w:rsid w:val="00FB0648"/>
    <w:rsid w:val="00FB16EE"/>
    <w:rsid w:val="00FB1EB3"/>
    <w:rsid w:val="00FB391C"/>
    <w:rsid w:val="00FB451B"/>
    <w:rsid w:val="00FB4C14"/>
    <w:rsid w:val="00FB4C18"/>
    <w:rsid w:val="00FB50CC"/>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775"/>
    <w:rsid w:val="00FD4B7B"/>
    <w:rsid w:val="00FD508E"/>
    <w:rsid w:val="00FD51BB"/>
    <w:rsid w:val="00FD62C5"/>
    <w:rsid w:val="00FD6E2A"/>
    <w:rsid w:val="00FD715F"/>
    <w:rsid w:val="00FD79A3"/>
    <w:rsid w:val="00FD7F0E"/>
    <w:rsid w:val="00FE02B7"/>
    <w:rsid w:val="00FE06B8"/>
    <w:rsid w:val="00FE0806"/>
    <w:rsid w:val="00FE0D39"/>
    <w:rsid w:val="00FE0E7B"/>
    <w:rsid w:val="00FE1182"/>
    <w:rsid w:val="00FE1198"/>
    <w:rsid w:val="00FE14E5"/>
    <w:rsid w:val="00FE1910"/>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AA6"/>
    <w:rsid w:val="00FE6E54"/>
    <w:rsid w:val="00FE6FE0"/>
    <w:rsid w:val="00FF0340"/>
    <w:rsid w:val="00FF0385"/>
    <w:rsid w:val="00FF0F6A"/>
    <w:rsid w:val="00FF27F4"/>
    <w:rsid w:val="00FF2CFE"/>
    <w:rsid w:val="00FF2FBF"/>
    <w:rsid w:val="00FF30C1"/>
    <w:rsid w:val="00FF3CA6"/>
    <w:rsid w:val="00FF3CE1"/>
    <w:rsid w:val="00FF3EBB"/>
    <w:rsid w:val="00FF3F89"/>
    <w:rsid w:val="00FF4055"/>
    <w:rsid w:val="00FF43C8"/>
    <w:rsid w:val="00FF485E"/>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5075"/>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リスト段落"/>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paragraph" w:customStyle="1" w:styleId="Default">
    <w:name w:val="Default"/>
    <w:rsid w:val="00176C1B"/>
    <w:pPr>
      <w:widowControl w:val="0"/>
      <w:autoSpaceDE w:val="0"/>
      <w:autoSpaceDN w:val="0"/>
      <w:adjustRightInd w:val="0"/>
      <w:spacing w:before="0" w:after="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5127470">
      <w:bodyDiv w:val="1"/>
      <w:marLeft w:val="0"/>
      <w:marRight w:val="0"/>
      <w:marTop w:val="0"/>
      <w:marBottom w:val="0"/>
      <w:divBdr>
        <w:top w:val="none" w:sz="0" w:space="0" w:color="auto"/>
        <w:left w:val="none" w:sz="0" w:space="0" w:color="auto"/>
        <w:bottom w:val="none" w:sz="0" w:space="0" w:color="auto"/>
        <w:right w:val="none" w:sz="0" w:space="0" w:color="auto"/>
      </w:divBdr>
      <w:divsChild>
        <w:div w:id="470829525">
          <w:marLeft w:val="936"/>
          <w:marRight w:val="0"/>
          <w:marTop w:val="77"/>
          <w:marBottom w:val="0"/>
          <w:divBdr>
            <w:top w:val="none" w:sz="0" w:space="0" w:color="auto"/>
            <w:left w:val="none" w:sz="0" w:space="0" w:color="auto"/>
            <w:bottom w:val="none" w:sz="0" w:space="0" w:color="auto"/>
            <w:right w:val="none" w:sz="0" w:space="0" w:color="auto"/>
          </w:divBdr>
        </w:div>
        <w:div w:id="1505320776">
          <w:marLeft w:val="1310"/>
          <w:marRight w:val="0"/>
          <w:marTop w:val="67"/>
          <w:marBottom w:val="0"/>
          <w:divBdr>
            <w:top w:val="none" w:sz="0" w:space="0" w:color="auto"/>
            <w:left w:val="none" w:sz="0" w:space="0" w:color="auto"/>
            <w:bottom w:val="none" w:sz="0" w:space="0" w:color="auto"/>
            <w:right w:val="none" w:sz="0" w:space="0" w:color="auto"/>
          </w:divBdr>
        </w:div>
        <w:div w:id="1340810551">
          <w:marLeft w:val="1310"/>
          <w:marRight w:val="0"/>
          <w:marTop w:val="67"/>
          <w:marBottom w:val="0"/>
          <w:divBdr>
            <w:top w:val="none" w:sz="0" w:space="0" w:color="auto"/>
            <w:left w:val="none" w:sz="0" w:space="0" w:color="auto"/>
            <w:bottom w:val="none" w:sz="0" w:space="0" w:color="auto"/>
            <w:right w:val="none" w:sz="0" w:space="0" w:color="auto"/>
          </w:divBdr>
        </w:div>
        <w:div w:id="1443723793">
          <w:marLeft w:val="936"/>
          <w:marRight w:val="0"/>
          <w:marTop w:val="77"/>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36604644">
      <w:bodyDiv w:val="1"/>
      <w:marLeft w:val="0"/>
      <w:marRight w:val="0"/>
      <w:marTop w:val="0"/>
      <w:marBottom w:val="0"/>
      <w:divBdr>
        <w:top w:val="none" w:sz="0" w:space="0" w:color="auto"/>
        <w:left w:val="none" w:sz="0" w:space="0" w:color="auto"/>
        <w:bottom w:val="none" w:sz="0" w:space="0" w:color="auto"/>
        <w:right w:val="none" w:sz="0" w:space="0" w:color="auto"/>
      </w:divBdr>
      <w:divsChild>
        <w:div w:id="2033218292">
          <w:marLeft w:val="1310"/>
          <w:marRight w:val="0"/>
          <w:marTop w:val="67"/>
          <w:marBottom w:val="0"/>
          <w:divBdr>
            <w:top w:val="none" w:sz="0" w:space="0" w:color="auto"/>
            <w:left w:val="none" w:sz="0" w:space="0" w:color="auto"/>
            <w:bottom w:val="none" w:sz="0" w:space="0" w:color="auto"/>
            <w:right w:val="none" w:sz="0" w:space="0" w:color="auto"/>
          </w:divBdr>
        </w:div>
        <w:div w:id="1100875203">
          <w:marLeft w:val="1310"/>
          <w:marRight w:val="0"/>
          <w:marTop w:val="67"/>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4858614">
      <w:bodyDiv w:val="1"/>
      <w:marLeft w:val="0"/>
      <w:marRight w:val="0"/>
      <w:marTop w:val="0"/>
      <w:marBottom w:val="0"/>
      <w:divBdr>
        <w:top w:val="none" w:sz="0" w:space="0" w:color="auto"/>
        <w:left w:val="none" w:sz="0" w:space="0" w:color="auto"/>
        <w:bottom w:val="none" w:sz="0" w:space="0" w:color="auto"/>
        <w:right w:val="none" w:sz="0" w:space="0" w:color="auto"/>
      </w:divBdr>
      <w:divsChild>
        <w:div w:id="1839079884">
          <w:marLeft w:val="936"/>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6178813">
      <w:bodyDiv w:val="1"/>
      <w:marLeft w:val="0"/>
      <w:marRight w:val="0"/>
      <w:marTop w:val="0"/>
      <w:marBottom w:val="0"/>
      <w:divBdr>
        <w:top w:val="none" w:sz="0" w:space="0" w:color="auto"/>
        <w:left w:val="none" w:sz="0" w:space="0" w:color="auto"/>
        <w:bottom w:val="none" w:sz="0" w:space="0" w:color="auto"/>
        <w:right w:val="none" w:sz="0" w:space="0" w:color="auto"/>
      </w:divBdr>
      <w:divsChild>
        <w:div w:id="2063213218">
          <w:marLeft w:val="1310"/>
          <w:marRight w:val="0"/>
          <w:marTop w:val="67"/>
          <w:marBottom w:val="0"/>
          <w:divBdr>
            <w:top w:val="none" w:sz="0" w:space="0" w:color="auto"/>
            <w:left w:val="none" w:sz="0" w:space="0" w:color="auto"/>
            <w:bottom w:val="none" w:sz="0" w:space="0" w:color="auto"/>
            <w:right w:val="none" w:sz="0" w:space="0" w:color="auto"/>
          </w:divBdr>
        </w:div>
      </w:divsChild>
    </w:div>
    <w:div w:id="709308795">
      <w:bodyDiv w:val="1"/>
      <w:marLeft w:val="0"/>
      <w:marRight w:val="0"/>
      <w:marTop w:val="0"/>
      <w:marBottom w:val="0"/>
      <w:divBdr>
        <w:top w:val="none" w:sz="0" w:space="0" w:color="auto"/>
        <w:left w:val="none" w:sz="0" w:space="0" w:color="auto"/>
        <w:bottom w:val="none" w:sz="0" w:space="0" w:color="auto"/>
        <w:right w:val="none" w:sz="0" w:space="0" w:color="auto"/>
      </w:divBdr>
      <w:divsChild>
        <w:div w:id="1843934756">
          <w:marLeft w:val="936"/>
          <w:marRight w:val="0"/>
          <w:marTop w:val="77"/>
          <w:marBottom w:val="0"/>
          <w:divBdr>
            <w:top w:val="none" w:sz="0" w:space="0" w:color="auto"/>
            <w:left w:val="none" w:sz="0" w:space="0" w:color="auto"/>
            <w:bottom w:val="none" w:sz="0" w:space="0" w:color="auto"/>
            <w:right w:val="none" w:sz="0" w:space="0" w:color="auto"/>
          </w:divBdr>
        </w:div>
      </w:divsChild>
    </w:div>
    <w:div w:id="726802554">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9644223">
      <w:bodyDiv w:val="1"/>
      <w:marLeft w:val="0"/>
      <w:marRight w:val="0"/>
      <w:marTop w:val="0"/>
      <w:marBottom w:val="0"/>
      <w:divBdr>
        <w:top w:val="none" w:sz="0" w:space="0" w:color="auto"/>
        <w:left w:val="none" w:sz="0" w:space="0" w:color="auto"/>
        <w:bottom w:val="none" w:sz="0" w:space="0" w:color="auto"/>
        <w:right w:val="none" w:sz="0" w:space="0" w:color="auto"/>
      </w:divBdr>
      <w:divsChild>
        <w:div w:id="65929481">
          <w:marLeft w:val="936"/>
          <w:marRight w:val="0"/>
          <w:marTop w:val="77"/>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39724148">
      <w:bodyDiv w:val="1"/>
      <w:marLeft w:val="0"/>
      <w:marRight w:val="0"/>
      <w:marTop w:val="0"/>
      <w:marBottom w:val="0"/>
      <w:divBdr>
        <w:top w:val="none" w:sz="0" w:space="0" w:color="auto"/>
        <w:left w:val="none" w:sz="0" w:space="0" w:color="auto"/>
        <w:bottom w:val="none" w:sz="0" w:space="0" w:color="auto"/>
        <w:right w:val="none" w:sz="0" w:space="0" w:color="auto"/>
      </w:divBdr>
      <w:divsChild>
        <w:div w:id="1407340464">
          <w:marLeft w:val="936"/>
          <w:marRight w:val="0"/>
          <w:marTop w:val="77"/>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4274583">
      <w:bodyDiv w:val="1"/>
      <w:marLeft w:val="0"/>
      <w:marRight w:val="0"/>
      <w:marTop w:val="0"/>
      <w:marBottom w:val="0"/>
      <w:divBdr>
        <w:top w:val="none" w:sz="0" w:space="0" w:color="auto"/>
        <w:left w:val="none" w:sz="0" w:space="0" w:color="auto"/>
        <w:bottom w:val="none" w:sz="0" w:space="0" w:color="auto"/>
        <w:right w:val="none" w:sz="0" w:space="0" w:color="auto"/>
      </w:divBdr>
      <w:divsChild>
        <w:div w:id="1012146724">
          <w:marLeft w:val="936"/>
          <w:marRight w:val="0"/>
          <w:marTop w:val="7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04852977">
      <w:bodyDiv w:val="1"/>
      <w:marLeft w:val="0"/>
      <w:marRight w:val="0"/>
      <w:marTop w:val="0"/>
      <w:marBottom w:val="0"/>
      <w:divBdr>
        <w:top w:val="none" w:sz="0" w:space="0" w:color="auto"/>
        <w:left w:val="none" w:sz="0" w:space="0" w:color="auto"/>
        <w:bottom w:val="none" w:sz="0" w:space="0" w:color="auto"/>
        <w:right w:val="none" w:sz="0" w:space="0" w:color="auto"/>
      </w:divBdr>
      <w:divsChild>
        <w:div w:id="1515925022">
          <w:marLeft w:val="936"/>
          <w:marRight w:val="0"/>
          <w:marTop w:val="77"/>
          <w:marBottom w:val="0"/>
          <w:divBdr>
            <w:top w:val="none" w:sz="0" w:space="0" w:color="auto"/>
            <w:left w:val="none" w:sz="0" w:space="0" w:color="auto"/>
            <w:bottom w:val="none" w:sz="0" w:space="0" w:color="auto"/>
            <w:right w:val="none" w:sz="0" w:space="0" w:color="auto"/>
          </w:divBdr>
        </w:div>
      </w:divsChild>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5508903">
      <w:bodyDiv w:val="1"/>
      <w:marLeft w:val="0"/>
      <w:marRight w:val="0"/>
      <w:marTop w:val="0"/>
      <w:marBottom w:val="0"/>
      <w:divBdr>
        <w:top w:val="none" w:sz="0" w:space="0" w:color="auto"/>
        <w:left w:val="none" w:sz="0" w:space="0" w:color="auto"/>
        <w:bottom w:val="none" w:sz="0" w:space="0" w:color="auto"/>
        <w:right w:val="none" w:sz="0" w:space="0" w:color="auto"/>
      </w:divBdr>
      <w:divsChild>
        <w:div w:id="622422212">
          <w:marLeft w:val="1310"/>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40429803">
      <w:bodyDiv w:val="1"/>
      <w:marLeft w:val="0"/>
      <w:marRight w:val="0"/>
      <w:marTop w:val="0"/>
      <w:marBottom w:val="0"/>
      <w:divBdr>
        <w:top w:val="none" w:sz="0" w:space="0" w:color="auto"/>
        <w:left w:val="none" w:sz="0" w:space="0" w:color="auto"/>
        <w:bottom w:val="none" w:sz="0" w:space="0" w:color="auto"/>
        <w:right w:val="none" w:sz="0" w:space="0" w:color="auto"/>
      </w:divBdr>
      <w:divsChild>
        <w:div w:id="1746293659">
          <w:marLeft w:val="562"/>
          <w:marRight w:val="0"/>
          <w:marTop w:val="86"/>
          <w:marBottom w:val="0"/>
          <w:divBdr>
            <w:top w:val="none" w:sz="0" w:space="0" w:color="auto"/>
            <w:left w:val="none" w:sz="0" w:space="0" w:color="auto"/>
            <w:bottom w:val="none" w:sz="0" w:space="0" w:color="auto"/>
            <w:right w:val="none" w:sz="0" w:space="0" w:color="auto"/>
          </w:divBdr>
        </w:div>
        <w:div w:id="1849370492">
          <w:marLeft w:val="562"/>
          <w:marRight w:val="0"/>
          <w:marTop w:val="86"/>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58653230">
      <w:bodyDiv w:val="1"/>
      <w:marLeft w:val="0"/>
      <w:marRight w:val="0"/>
      <w:marTop w:val="0"/>
      <w:marBottom w:val="0"/>
      <w:divBdr>
        <w:top w:val="none" w:sz="0" w:space="0" w:color="auto"/>
        <w:left w:val="none" w:sz="0" w:space="0" w:color="auto"/>
        <w:bottom w:val="none" w:sz="0" w:space="0" w:color="auto"/>
        <w:right w:val="none" w:sz="0" w:space="0" w:color="auto"/>
      </w:divBdr>
      <w:divsChild>
        <w:div w:id="915473643">
          <w:marLeft w:val="562"/>
          <w:marRight w:val="0"/>
          <w:marTop w:val="86"/>
          <w:marBottom w:val="0"/>
          <w:divBdr>
            <w:top w:val="none" w:sz="0" w:space="0" w:color="auto"/>
            <w:left w:val="none" w:sz="0" w:space="0" w:color="auto"/>
            <w:bottom w:val="none" w:sz="0" w:space="0" w:color="auto"/>
            <w:right w:val="none" w:sz="0" w:space="0" w:color="auto"/>
          </w:divBdr>
        </w:div>
        <w:div w:id="473570745">
          <w:marLeft w:val="562"/>
          <w:marRight w:val="0"/>
          <w:marTop w:val="86"/>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5713760">
      <w:bodyDiv w:val="1"/>
      <w:marLeft w:val="0"/>
      <w:marRight w:val="0"/>
      <w:marTop w:val="0"/>
      <w:marBottom w:val="0"/>
      <w:divBdr>
        <w:top w:val="none" w:sz="0" w:space="0" w:color="auto"/>
        <w:left w:val="none" w:sz="0" w:space="0" w:color="auto"/>
        <w:bottom w:val="none" w:sz="0" w:space="0" w:color="auto"/>
        <w:right w:val="none" w:sz="0" w:space="0" w:color="auto"/>
      </w:divBdr>
    </w:div>
    <w:div w:id="1802459878">
      <w:bodyDiv w:val="1"/>
      <w:marLeft w:val="0"/>
      <w:marRight w:val="0"/>
      <w:marTop w:val="0"/>
      <w:marBottom w:val="0"/>
      <w:divBdr>
        <w:top w:val="none" w:sz="0" w:space="0" w:color="auto"/>
        <w:left w:val="none" w:sz="0" w:space="0" w:color="auto"/>
        <w:bottom w:val="none" w:sz="0" w:space="0" w:color="auto"/>
        <w:right w:val="none" w:sz="0" w:space="0" w:color="auto"/>
      </w:divBdr>
      <w:divsChild>
        <w:div w:id="827329573">
          <w:marLeft w:val="547"/>
          <w:marRight w:val="0"/>
          <w:marTop w:val="0"/>
          <w:marBottom w:val="0"/>
          <w:divBdr>
            <w:top w:val="none" w:sz="0" w:space="0" w:color="auto"/>
            <w:left w:val="none" w:sz="0" w:space="0" w:color="auto"/>
            <w:bottom w:val="none" w:sz="0" w:space="0" w:color="auto"/>
            <w:right w:val="none" w:sz="0" w:space="0" w:color="auto"/>
          </w:divBdr>
        </w:div>
      </w:divsChild>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DA81FD-7159-42E2-A2FC-9B13897CF8E2}">
  <ds:schemaRefs>
    <ds:schemaRef ds:uri="http://schemas.openxmlformats.org/officeDocument/2006/bibliography"/>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1580</Words>
  <Characters>9009</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2</cp:revision>
  <dcterms:created xsi:type="dcterms:W3CDTF">2021-08-06T06:17:00Z</dcterms:created>
  <dcterms:modified xsi:type="dcterms:W3CDTF">2021-08-06T06:17:00Z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