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0223F" w14:textId="207E8FA1" w:rsidR="00705605" w:rsidRPr="00705605" w:rsidRDefault="00705605" w:rsidP="00705605">
      <w:pPr>
        <w:ind w:firstLineChars="0" w:firstLine="0"/>
        <w:rPr>
          <w:rFonts w:ascii="Arial" w:hAnsi="Arial"/>
          <w:b/>
          <w:sz w:val="24"/>
          <w:szCs w:val="24"/>
          <w:lang w:val="en-GB" w:eastAsia="en-US"/>
        </w:rPr>
      </w:pPr>
      <w:r w:rsidRPr="00705605">
        <w:rPr>
          <w:rFonts w:ascii="Arial" w:hAnsi="Arial"/>
          <w:b/>
          <w:sz w:val="24"/>
          <w:szCs w:val="24"/>
          <w:lang w:val="en-GB" w:eastAsia="en-US"/>
        </w:rPr>
        <w:t>3GPP TSG RAN WG1 #106-e</w:t>
      </w:r>
      <w:r w:rsidRPr="00705605">
        <w:rPr>
          <w:rFonts w:ascii="Arial" w:hAnsi="Arial"/>
          <w:b/>
          <w:sz w:val="24"/>
          <w:szCs w:val="24"/>
          <w:lang w:val="en-GB" w:eastAsia="en-US"/>
        </w:rPr>
        <w:tab/>
      </w:r>
      <w:r w:rsidRPr="00705605">
        <w:rPr>
          <w:rFonts w:ascii="Arial" w:hAnsi="Arial"/>
          <w:b/>
          <w:sz w:val="24"/>
          <w:szCs w:val="24"/>
          <w:lang w:val="en-GB" w:eastAsia="en-US"/>
        </w:rPr>
        <w:tab/>
      </w:r>
      <w:r w:rsidRPr="00705605">
        <w:rPr>
          <w:rFonts w:ascii="Arial" w:hAnsi="Arial"/>
          <w:b/>
          <w:sz w:val="24"/>
          <w:szCs w:val="24"/>
          <w:lang w:val="en-GB" w:eastAsia="en-US"/>
        </w:rPr>
        <w:tab/>
      </w:r>
      <w:r w:rsidR="0005228C">
        <w:rPr>
          <w:rFonts w:ascii="Arial" w:hAnsi="Arial"/>
          <w:b/>
          <w:sz w:val="24"/>
          <w:szCs w:val="24"/>
          <w:lang w:val="en-GB" w:eastAsia="en-US"/>
        </w:rPr>
        <w:t xml:space="preserve">                                                                 </w:t>
      </w:r>
      <w:r w:rsidRPr="00705605">
        <w:rPr>
          <w:rFonts w:ascii="Arial" w:hAnsi="Arial"/>
          <w:b/>
          <w:sz w:val="24"/>
          <w:szCs w:val="24"/>
          <w:lang w:val="en-GB" w:eastAsia="en-US"/>
        </w:rPr>
        <w:t>R1-</w:t>
      </w:r>
      <w:r w:rsidR="00827470" w:rsidRPr="00827470">
        <w:t xml:space="preserve"> </w:t>
      </w:r>
      <w:r w:rsidR="00827470" w:rsidRPr="00827470">
        <w:rPr>
          <w:rFonts w:ascii="Arial" w:hAnsi="Arial"/>
          <w:b/>
          <w:sz w:val="24"/>
          <w:szCs w:val="24"/>
          <w:lang w:val="en-GB" w:eastAsia="en-US"/>
        </w:rPr>
        <w:t>2107694</w:t>
      </w:r>
    </w:p>
    <w:p w14:paraId="3BB0A7BA" w14:textId="0BE539EC" w:rsidR="006C63CF" w:rsidRDefault="00705605" w:rsidP="00705605">
      <w:pPr>
        <w:ind w:firstLineChars="0" w:firstLine="0"/>
        <w:rPr>
          <w:rFonts w:ascii="Arial" w:hAnsi="Arial"/>
          <w:b/>
          <w:sz w:val="24"/>
          <w:szCs w:val="24"/>
          <w:lang w:val="en-GB" w:eastAsia="en-US"/>
        </w:rPr>
      </w:pPr>
      <w:r w:rsidRPr="00705605">
        <w:rPr>
          <w:rFonts w:ascii="Arial" w:hAnsi="Arial"/>
          <w:b/>
          <w:sz w:val="24"/>
          <w:szCs w:val="24"/>
          <w:lang w:val="en-GB" w:eastAsia="en-US"/>
        </w:rPr>
        <w:t>e-Meeting, August 16th – 27th, 2021</w:t>
      </w:r>
    </w:p>
    <w:p w14:paraId="73EBC648" w14:textId="77777777" w:rsidR="00705605" w:rsidRPr="00302569" w:rsidRDefault="00705605" w:rsidP="00705605">
      <w:pPr>
        <w:ind w:firstLineChars="0" w:firstLine="0"/>
        <w:rPr>
          <w:rFonts w:ascii="Arial" w:hAnsi="Arial" w:cs="Arial"/>
          <w:b/>
          <w:sz w:val="22"/>
          <w:lang w:eastAsia="zh-CN"/>
        </w:rPr>
      </w:pPr>
    </w:p>
    <w:p w14:paraId="705F5AB1" w14:textId="70DFFCCF"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1806CF">
        <w:rPr>
          <w:rFonts w:ascii="Arial" w:hAnsi="Arial" w:cs="Arial"/>
          <w:sz w:val="22"/>
        </w:rPr>
        <w:t>3</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102F062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1806CF">
        <w:rPr>
          <w:rFonts w:ascii="Arial" w:hAnsi="Arial" w:cs="Arial"/>
          <w:color w:val="000000"/>
          <w:sz w:val="22"/>
          <w:szCs w:val="22"/>
        </w:rPr>
        <w:t>Initial Performance Results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2118AFC3" w14:textId="77777777" w:rsidR="001806CF" w:rsidRDefault="001806CF" w:rsidP="00EA65BB">
      <w:pPr>
        <w:ind w:firstLine="220"/>
        <w:rPr>
          <w:rFonts w:ascii="Calibri" w:hAnsi="Calibri" w:cs="Calibri"/>
          <w:sz w:val="22"/>
          <w:szCs w:val="22"/>
        </w:rPr>
      </w:pPr>
    </w:p>
    <w:p w14:paraId="17803EAF" w14:textId="4A6BB557" w:rsid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1806CF">
        <w:rPr>
          <w:rFonts w:ascii="Calibri" w:hAnsi="Calibri" w:cs="Calibri"/>
          <w:sz w:val="22"/>
          <w:szCs w:val="22"/>
        </w:rPr>
        <w:t>present initial XR performance results.</w:t>
      </w:r>
    </w:p>
    <w:p w14:paraId="298B8A6C" w14:textId="77777777" w:rsidR="00551133" w:rsidRPr="00EA65BB" w:rsidRDefault="00551133" w:rsidP="001806CF">
      <w:pPr>
        <w:ind w:firstLineChars="90" w:firstLine="198"/>
        <w:rPr>
          <w:rFonts w:ascii="Calibri" w:hAnsi="Calibri" w:cs="Calibri"/>
          <w:sz w:val="22"/>
          <w:szCs w:val="22"/>
        </w:rPr>
      </w:pPr>
    </w:p>
    <w:p w14:paraId="26C87E01" w14:textId="7E2F73CF" w:rsidR="00EA65BB" w:rsidRDefault="001305A4" w:rsidP="001305A4">
      <w:pPr>
        <w:pStyle w:val="Heading1"/>
      </w:pPr>
      <w:r>
        <w:lastRenderedPageBreak/>
        <w:t xml:space="preserve">XR </w:t>
      </w:r>
      <w:r w:rsidR="001806CF">
        <w:t>Performance Results</w:t>
      </w:r>
      <w:r w:rsidR="00F9443E">
        <w:t xml:space="preserve"> – Scheduler Comparison</w:t>
      </w:r>
    </w:p>
    <w:p w14:paraId="0908E39F" w14:textId="798E4EBC"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00CC1484" w:rsidRPr="00CC1484">
        <w:rPr>
          <w:rFonts w:ascii="Calibri" w:hAnsi="Calibri" w:cs="Calibri"/>
          <w:sz w:val="22"/>
          <w:szCs w:val="22"/>
          <w:lang w:val="en-GB" w:eastAsia="en-US"/>
        </w:rPr>
        <w:t xml:space="preserve"> on the baseline </w:t>
      </w:r>
      <w:r>
        <w:rPr>
          <w:rFonts w:ascii="Calibri" w:hAnsi="Calibri" w:cs="Calibri"/>
          <w:sz w:val="22"/>
          <w:szCs w:val="22"/>
          <w:lang w:val="en-GB" w:eastAsia="en-US"/>
        </w:rPr>
        <w:t xml:space="preserve">evaluation </w:t>
      </w:r>
      <w:r w:rsidR="00CC1484" w:rsidRPr="00CC1484">
        <w:rPr>
          <w:rFonts w:ascii="Calibri" w:hAnsi="Calibri" w:cs="Calibri"/>
          <w:sz w:val="22"/>
          <w:szCs w:val="22"/>
          <w:lang w:val="en-GB" w:eastAsia="en-US"/>
        </w:rPr>
        <w:t>assumptions for the DL</w:t>
      </w:r>
      <w:r w:rsidR="005F0447">
        <w:rPr>
          <w:rFonts w:ascii="Calibri" w:hAnsi="Calibri" w:cs="Calibri"/>
          <w:sz w:val="22"/>
          <w:szCs w:val="22"/>
          <w:lang w:val="en-GB" w:eastAsia="en-US"/>
        </w:rPr>
        <w:t xml:space="preserve"> and UL</w:t>
      </w:r>
      <w:r w:rsidR="00CC1484" w:rsidRPr="00CC1484">
        <w:rPr>
          <w:rFonts w:ascii="Calibri" w:hAnsi="Calibri" w:cs="Calibri"/>
          <w:sz w:val="22"/>
          <w:szCs w:val="22"/>
          <w:lang w:val="en-GB" w:eastAsia="en-US"/>
        </w:rPr>
        <w:t xml:space="preserve"> XR traffic models, </w:t>
      </w:r>
      <w:r w:rsidR="00B3089F">
        <w:rPr>
          <w:rFonts w:ascii="Calibri" w:hAnsi="Calibri" w:cs="Calibri"/>
          <w:sz w:val="22"/>
          <w:szCs w:val="22"/>
          <w:lang w:val="en-GB" w:eastAsia="en-US"/>
        </w:rPr>
        <w:t>specifically focusing on the AR use case</w:t>
      </w:r>
      <w:r>
        <w:rPr>
          <w:rFonts w:ascii="Calibri" w:hAnsi="Calibri" w:cs="Calibri"/>
          <w:sz w:val="22"/>
          <w:szCs w:val="22"/>
          <w:lang w:val="en-GB" w:eastAsia="en-US"/>
        </w:rPr>
        <w:t>s and deployment scenarios outlined below:</w:t>
      </w:r>
    </w:p>
    <w:p w14:paraId="25098714" w14:textId="5BA2229C"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FR1 Urban Macro</w:t>
      </w:r>
      <w:r w:rsidR="0005228C">
        <w:rPr>
          <w:rFonts w:cs="Calibri"/>
          <w:lang w:val="en-GB" w:eastAsia="en-US"/>
        </w:rPr>
        <w:t xml:space="preserve">, </w:t>
      </w:r>
      <w:r w:rsidRPr="006A0BFF">
        <w:rPr>
          <w:rFonts w:cs="Calibri"/>
          <w:lang w:val="en-GB" w:eastAsia="en-US"/>
        </w:rPr>
        <w:t>FR2 Indoor Hotspot</w:t>
      </w:r>
    </w:p>
    <w:p w14:paraId="3B004052" w14:textId="16A615B2"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Traffic Type: DL Video (30Mbps/60fps)</w:t>
      </w:r>
    </w:p>
    <w:p w14:paraId="74657025" w14:textId="5E40353F" w:rsidR="0005228C" w:rsidRDefault="0005228C" w:rsidP="006A0BFF">
      <w:pPr>
        <w:pStyle w:val="ListParagraph"/>
        <w:numPr>
          <w:ilvl w:val="0"/>
          <w:numId w:val="39"/>
        </w:numPr>
        <w:ind w:firstLineChars="0"/>
        <w:jc w:val="left"/>
        <w:rPr>
          <w:rFonts w:cs="Calibri"/>
          <w:lang w:val="en-GB" w:eastAsia="en-US"/>
        </w:rPr>
      </w:pPr>
      <w:r>
        <w:rPr>
          <w:rFonts w:cs="Calibri"/>
          <w:lang w:val="en-GB" w:eastAsia="en-US"/>
        </w:rPr>
        <w:t>Number of streams: 1</w:t>
      </w:r>
    </w:p>
    <w:p w14:paraId="06CBB3E9" w14:textId="6047A80C"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BW: 100MHz</w:t>
      </w:r>
    </w:p>
    <w:p w14:paraId="725A21B3" w14:textId="222ABED9" w:rsidR="006A0BFF" w:rsidRPr="000E286D" w:rsidRDefault="00F9443E" w:rsidP="000E286D">
      <w:pPr>
        <w:pStyle w:val="ListParagraph"/>
        <w:numPr>
          <w:ilvl w:val="0"/>
          <w:numId w:val="39"/>
        </w:numPr>
        <w:ind w:firstLineChars="0"/>
        <w:jc w:val="left"/>
        <w:rPr>
          <w:rFonts w:cs="Calibri"/>
          <w:lang w:val="en-GB" w:eastAsia="en-US"/>
        </w:rPr>
      </w:pPr>
      <w:r>
        <w:rPr>
          <w:rFonts w:cs="Calibri"/>
          <w:lang w:val="en-GB" w:eastAsia="en-US"/>
        </w:rPr>
        <w:t xml:space="preserve">Scheduler: </w:t>
      </w:r>
      <w:r w:rsidR="00DB3424">
        <w:rPr>
          <w:rFonts w:cs="Calibri"/>
          <w:lang w:val="en-GB" w:eastAsia="en-US"/>
        </w:rPr>
        <w:t>Proportional Fair (</w:t>
      </w:r>
      <w:r>
        <w:rPr>
          <w:rFonts w:cs="Calibri"/>
          <w:lang w:val="en-GB" w:eastAsia="en-US"/>
        </w:rPr>
        <w:t>PF</w:t>
      </w:r>
      <w:r w:rsidR="00DB3424">
        <w:rPr>
          <w:rFonts w:cs="Calibri"/>
          <w:lang w:val="en-GB" w:eastAsia="en-US"/>
        </w:rPr>
        <w:t>)</w:t>
      </w:r>
      <w:r>
        <w:rPr>
          <w:rFonts w:cs="Calibri"/>
          <w:lang w:val="en-GB" w:eastAsia="en-US"/>
        </w:rPr>
        <w:t>, Min Delay</w:t>
      </w:r>
      <w:r w:rsidR="00DB3424">
        <w:rPr>
          <w:rFonts w:cs="Calibri"/>
          <w:lang w:val="en-GB" w:eastAsia="en-US"/>
        </w:rPr>
        <w:t xml:space="preserve"> (MD)</w:t>
      </w:r>
    </w:p>
    <w:p w14:paraId="133E1D95" w14:textId="12C11DDE" w:rsidR="00F9443E" w:rsidRDefault="00F9443E"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The primary purpose of these evaluations is to compare the packet delay statistics for the different scenarios with different scheduler implementations. While system capacity is a primary metric of interest for cellular system performance, in this case the focus is on the per-user benefits for XR traffic of applying absolute delay prioritization in the scheduler, compared to a typical baseline </w:t>
      </w:r>
      <w:r w:rsidR="00DB3424">
        <w:rPr>
          <w:rFonts w:ascii="Calibri" w:hAnsi="Calibri" w:cs="Calibri"/>
          <w:sz w:val="22"/>
          <w:szCs w:val="22"/>
          <w:lang w:val="en-GB" w:eastAsia="en-US"/>
        </w:rPr>
        <w:t>PF</w:t>
      </w:r>
      <w:r>
        <w:rPr>
          <w:rFonts w:ascii="Calibri" w:hAnsi="Calibri" w:cs="Calibri"/>
          <w:sz w:val="22"/>
          <w:szCs w:val="22"/>
          <w:lang w:val="en-GB" w:eastAsia="en-US"/>
        </w:rPr>
        <w:t xml:space="preserve"> approach</w:t>
      </w:r>
      <w:r w:rsidR="005226A8">
        <w:rPr>
          <w:rFonts w:ascii="Calibri" w:hAnsi="Calibri" w:cs="Calibri"/>
          <w:sz w:val="22"/>
          <w:szCs w:val="22"/>
          <w:lang w:val="en-GB" w:eastAsia="en-US"/>
        </w:rPr>
        <w:t xml:space="preserve"> as shown in</w:t>
      </w:r>
      <w:r>
        <w:rPr>
          <w:rFonts w:ascii="Calibri" w:hAnsi="Calibri" w:cs="Calibri"/>
          <w:sz w:val="22"/>
          <w:szCs w:val="22"/>
          <w:lang w:val="en-GB" w:eastAsia="en-US"/>
        </w:rPr>
        <w:t xml:space="preserve"> Figure 1 below</w:t>
      </w:r>
      <w:r w:rsidR="00DB3424">
        <w:rPr>
          <w:rFonts w:ascii="Calibri" w:hAnsi="Calibri" w:cs="Calibri"/>
          <w:sz w:val="22"/>
          <w:szCs w:val="22"/>
          <w:lang w:val="en-GB" w:eastAsia="en-US"/>
        </w:rPr>
        <w:t>.</w:t>
      </w:r>
    </w:p>
    <w:p w14:paraId="0B0EC3C6" w14:textId="50794730" w:rsidR="00F9443E" w:rsidRDefault="00F9443E" w:rsidP="006A690E">
      <w:pPr>
        <w:ind w:firstLineChars="0" w:firstLine="0"/>
        <w:jc w:val="left"/>
        <w:rPr>
          <w:rFonts w:ascii="Calibri" w:hAnsi="Calibri" w:cs="Calibri"/>
          <w:sz w:val="22"/>
          <w:szCs w:val="22"/>
          <w:lang w:val="en-GB" w:eastAsia="en-US"/>
        </w:rPr>
      </w:pPr>
    </w:p>
    <w:p w14:paraId="57ACE87C" w14:textId="3D6D30B7" w:rsidR="00F9443E" w:rsidRDefault="005226A8" w:rsidP="005226A8">
      <w:pPr>
        <w:ind w:firstLineChars="0" w:firstLine="0"/>
        <w:jc w:val="center"/>
        <w:rPr>
          <w:rFonts w:ascii="Calibri" w:hAnsi="Calibri" w:cs="Calibri"/>
          <w:sz w:val="22"/>
          <w:szCs w:val="22"/>
          <w:lang w:val="en-GB" w:eastAsia="en-US"/>
        </w:rPr>
      </w:pPr>
      <w:r w:rsidRPr="005226A8">
        <w:rPr>
          <w:noProof/>
        </w:rPr>
        <w:drawing>
          <wp:inline distT="0" distB="0" distL="0" distR="0" wp14:anchorId="2970656D" wp14:editId="6FAF917C">
            <wp:extent cx="2963559" cy="22225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9866" cy="2242323"/>
                    </a:xfrm>
                    <a:prstGeom prst="rect">
                      <a:avLst/>
                    </a:prstGeom>
                  </pic:spPr>
                </pic:pic>
              </a:graphicData>
            </a:graphic>
          </wp:inline>
        </w:drawing>
      </w:r>
      <w:r w:rsidRPr="005226A8">
        <w:rPr>
          <w:rFonts w:ascii="Calibri" w:hAnsi="Calibri" w:cs="Calibri"/>
          <w:sz w:val="22"/>
          <w:szCs w:val="22"/>
          <w:lang w:val="en-GB" w:eastAsia="en-US"/>
        </w:rPr>
        <w:drawing>
          <wp:inline distT="0" distB="0" distL="0" distR="0" wp14:anchorId="266369F8" wp14:editId="6F981AC4">
            <wp:extent cx="3002679" cy="22519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0283" cy="2265136"/>
                    </a:xfrm>
                    <a:prstGeom prst="rect">
                      <a:avLst/>
                    </a:prstGeom>
                  </pic:spPr>
                </pic:pic>
              </a:graphicData>
            </a:graphic>
          </wp:inline>
        </w:drawing>
      </w:r>
    </w:p>
    <w:p w14:paraId="030864F1" w14:textId="51C27068" w:rsidR="00DB3424" w:rsidRDefault="00DB3424" w:rsidP="00DB3424">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Figure 1. PF vs. MD scheduling for DL XR Video traffic</w:t>
      </w:r>
    </w:p>
    <w:p w14:paraId="2B5F18F4" w14:textId="77777777" w:rsidR="00DB3424" w:rsidRPr="00DB3424" w:rsidRDefault="00DB3424" w:rsidP="00DB3424">
      <w:pPr>
        <w:ind w:firstLineChars="0" w:firstLine="0"/>
        <w:jc w:val="center"/>
        <w:rPr>
          <w:rFonts w:ascii="Calibri" w:hAnsi="Calibri" w:cs="Calibri"/>
          <w:b/>
          <w:bCs/>
          <w:sz w:val="22"/>
          <w:szCs w:val="22"/>
          <w:lang w:val="en-GB" w:eastAsia="en-US"/>
        </w:rPr>
      </w:pPr>
    </w:p>
    <w:p w14:paraId="02DDE899" w14:textId="77777777" w:rsidR="005226A8" w:rsidRDefault="00DB3424" w:rsidP="005226A8">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From these results, </w:t>
      </w:r>
      <w:proofErr w:type="gramStart"/>
      <w:r>
        <w:rPr>
          <w:rFonts w:ascii="Calibri" w:hAnsi="Calibri" w:cs="Calibri"/>
          <w:sz w:val="22"/>
          <w:szCs w:val="22"/>
          <w:lang w:val="en-GB" w:eastAsia="en-US"/>
        </w:rPr>
        <w:t>it is clear that the</w:t>
      </w:r>
      <w:proofErr w:type="gramEnd"/>
      <w:r>
        <w:rPr>
          <w:rFonts w:ascii="Calibri" w:hAnsi="Calibri" w:cs="Calibri"/>
          <w:sz w:val="22"/>
          <w:szCs w:val="22"/>
          <w:lang w:val="en-GB" w:eastAsia="en-US"/>
        </w:rPr>
        <w:t xml:space="preserve"> min delay scheduler provides significant gains in the FR1 urban macro scenario but no benefit in the FR2 indoor hot spot scenario although the traffic volumes are the same. There are multiple factors for this result, with the primary factor driving this difference most likely the very large difference in coverage between the two scenarios. While the Urban Macro scenario is outdoor and coverage limited, the FR2 indoor hotspot does not have this same issue. In addition, the FR2 indoor hotspot deployment is very densely deployed</w:t>
      </w:r>
      <w:r w:rsidR="00923529">
        <w:rPr>
          <w:rFonts w:ascii="Calibri" w:hAnsi="Calibri" w:cs="Calibri"/>
          <w:sz w:val="22"/>
          <w:szCs w:val="22"/>
          <w:lang w:val="en-GB" w:eastAsia="en-US"/>
        </w:rPr>
        <w:t xml:space="preserve"> and therefore has fewer users per cell which also reduces the need for inter-queue prioritization between users at the scheduler which is one of the primary challenges for resource allocation with the XR traffic model due to its strict periodic </w:t>
      </w:r>
      <w:proofErr w:type="spellStart"/>
      <w:r w:rsidR="00923529">
        <w:rPr>
          <w:rFonts w:ascii="Calibri" w:hAnsi="Calibri" w:cs="Calibri"/>
          <w:sz w:val="22"/>
          <w:szCs w:val="22"/>
          <w:lang w:val="en-GB" w:eastAsia="en-US"/>
        </w:rPr>
        <w:t>behavior</w:t>
      </w:r>
      <w:proofErr w:type="spellEnd"/>
      <w:r w:rsidR="00923529">
        <w:rPr>
          <w:rFonts w:ascii="Calibri" w:hAnsi="Calibri" w:cs="Calibri"/>
          <w:sz w:val="22"/>
          <w:szCs w:val="22"/>
          <w:lang w:val="en-GB" w:eastAsia="en-US"/>
        </w:rPr>
        <w:t>. However, given that strict delay-based scheduling may not be optimal for other traffic types (</w:t>
      </w:r>
      <w:proofErr w:type="gramStart"/>
      <w:r w:rsidR="00923529">
        <w:rPr>
          <w:rFonts w:ascii="Calibri" w:hAnsi="Calibri" w:cs="Calibri"/>
          <w:sz w:val="22"/>
          <w:szCs w:val="22"/>
          <w:lang w:val="en-GB" w:eastAsia="en-US"/>
        </w:rPr>
        <w:t>e.g.</w:t>
      </w:r>
      <w:proofErr w:type="gramEnd"/>
      <w:r w:rsidR="00923529">
        <w:rPr>
          <w:rFonts w:ascii="Calibri" w:hAnsi="Calibri" w:cs="Calibri"/>
          <w:sz w:val="22"/>
          <w:szCs w:val="22"/>
          <w:lang w:val="en-GB" w:eastAsia="en-US"/>
        </w:rPr>
        <w:t xml:space="preserve"> </w:t>
      </w:r>
      <w:proofErr w:type="spellStart"/>
      <w:r w:rsidR="00923529">
        <w:rPr>
          <w:rFonts w:ascii="Calibri" w:hAnsi="Calibri" w:cs="Calibri"/>
          <w:sz w:val="22"/>
          <w:szCs w:val="22"/>
          <w:lang w:val="en-GB" w:eastAsia="en-US"/>
        </w:rPr>
        <w:t>eMBB</w:t>
      </w:r>
      <w:proofErr w:type="spellEnd"/>
      <w:r w:rsidR="00923529">
        <w:rPr>
          <w:rFonts w:ascii="Calibri" w:hAnsi="Calibri" w:cs="Calibri"/>
          <w:sz w:val="22"/>
          <w:szCs w:val="22"/>
          <w:lang w:val="en-GB" w:eastAsia="en-US"/>
        </w:rPr>
        <w:t xml:space="preserve">), more analysis should be done on how to balance </w:t>
      </w:r>
      <w:r w:rsidR="005226A8">
        <w:rPr>
          <w:rFonts w:ascii="Calibri" w:hAnsi="Calibri" w:cs="Calibri"/>
          <w:sz w:val="22"/>
          <w:szCs w:val="22"/>
          <w:lang w:val="en-GB" w:eastAsia="en-US"/>
        </w:rPr>
        <w:t xml:space="preserve">practical deployments where a mix of users and traffic types need to coexist. </w:t>
      </w:r>
    </w:p>
    <w:p w14:paraId="036E5F3D" w14:textId="774DE883" w:rsidR="00A17BCA" w:rsidRPr="005226A8" w:rsidRDefault="00A17BCA" w:rsidP="005226A8">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sidR="00B217B4">
        <w:rPr>
          <w:rFonts w:ascii="Calibri" w:hAnsi="Calibri" w:cs="Calibri"/>
          <w:b/>
          <w:bCs/>
          <w:sz w:val="22"/>
          <w:szCs w:val="22"/>
          <w:lang w:eastAsia="en-US"/>
        </w:rPr>
        <w:t>For</w:t>
      </w:r>
      <w:r w:rsidR="00CC142E">
        <w:rPr>
          <w:rFonts w:ascii="Calibri" w:hAnsi="Calibri" w:cs="Calibri"/>
          <w:b/>
          <w:bCs/>
          <w:sz w:val="22"/>
          <w:szCs w:val="22"/>
          <w:lang w:eastAsia="en-US"/>
        </w:rPr>
        <w:t xml:space="preserve"> the DL </w:t>
      </w:r>
      <w:r w:rsidR="005226A8">
        <w:rPr>
          <w:rFonts w:ascii="Calibri" w:hAnsi="Calibri" w:cs="Calibri"/>
          <w:b/>
          <w:bCs/>
          <w:sz w:val="22"/>
          <w:szCs w:val="22"/>
          <w:lang w:eastAsia="en-US"/>
        </w:rPr>
        <w:t>X</w:t>
      </w:r>
      <w:r w:rsidR="00CC142E">
        <w:rPr>
          <w:rFonts w:ascii="Calibri" w:hAnsi="Calibri" w:cs="Calibri"/>
          <w:b/>
          <w:bCs/>
          <w:sz w:val="22"/>
          <w:szCs w:val="22"/>
          <w:lang w:eastAsia="en-US"/>
        </w:rPr>
        <w:t xml:space="preserve">R </w:t>
      </w:r>
      <w:r w:rsidR="005226A8">
        <w:rPr>
          <w:rFonts w:ascii="Calibri" w:hAnsi="Calibri" w:cs="Calibri"/>
          <w:b/>
          <w:bCs/>
          <w:sz w:val="22"/>
          <w:szCs w:val="22"/>
          <w:lang w:eastAsia="en-US"/>
        </w:rPr>
        <w:t xml:space="preserve">video </w:t>
      </w:r>
      <w:r w:rsidR="00CC142E">
        <w:rPr>
          <w:rFonts w:ascii="Calibri" w:hAnsi="Calibri" w:cs="Calibri"/>
          <w:b/>
          <w:bCs/>
          <w:sz w:val="22"/>
          <w:szCs w:val="22"/>
          <w:lang w:eastAsia="en-US"/>
        </w:rPr>
        <w:t>traffic model,</w:t>
      </w:r>
      <w:r w:rsidR="00B217B4">
        <w:rPr>
          <w:rFonts w:ascii="Calibri" w:hAnsi="Calibri" w:cs="Calibri"/>
          <w:b/>
          <w:bCs/>
          <w:sz w:val="22"/>
          <w:szCs w:val="22"/>
          <w:lang w:eastAsia="en-US"/>
        </w:rPr>
        <w:t xml:space="preserve"> </w:t>
      </w:r>
      <w:r w:rsidR="005226A8">
        <w:rPr>
          <w:rFonts w:ascii="Calibri" w:hAnsi="Calibri" w:cs="Calibri"/>
          <w:b/>
          <w:bCs/>
          <w:sz w:val="22"/>
          <w:szCs w:val="22"/>
          <w:lang w:eastAsia="en-US"/>
        </w:rPr>
        <w:t xml:space="preserve">absolute delay prioritization schedulers </w:t>
      </w:r>
      <w:proofErr w:type="gramStart"/>
      <w:r w:rsidR="005226A8">
        <w:rPr>
          <w:rFonts w:ascii="Calibri" w:hAnsi="Calibri" w:cs="Calibri"/>
          <w:b/>
          <w:bCs/>
          <w:sz w:val="22"/>
          <w:szCs w:val="22"/>
          <w:lang w:eastAsia="en-US"/>
        </w:rPr>
        <w:t>out perform</w:t>
      </w:r>
      <w:proofErr w:type="gramEnd"/>
      <w:r w:rsidR="005226A8">
        <w:rPr>
          <w:rFonts w:ascii="Calibri" w:hAnsi="Calibri" w:cs="Calibri"/>
          <w:b/>
          <w:bCs/>
          <w:sz w:val="22"/>
          <w:szCs w:val="22"/>
          <w:lang w:eastAsia="en-US"/>
        </w:rPr>
        <w:t xml:space="preserve"> a baseline PF scheduler in coverage-limited outdoor FR1 deployments compared to dense indoor FR2 deployments</w:t>
      </w:r>
      <w:r w:rsidR="00CC142E">
        <w:rPr>
          <w:rFonts w:ascii="Calibri" w:hAnsi="Calibri" w:cs="Calibri"/>
          <w:b/>
          <w:bCs/>
          <w:sz w:val="22"/>
          <w:szCs w:val="22"/>
          <w:lang w:eastAsia="en-US"/>
        </w:rPr>
        <w:t>.</w:t>
      </w:r>
    </w:p>
    <w:p w14:paraId="2A1716EB" w14:textId="77777777" w:rsidR="005226A8" w:rsidRDefault="005226A8" w:rsidP="00A17BCA">
      <w:pPr>
        <w:ind w:firstLineChars="0" w:firstLine="0"/>
        <w:rPr>
          <w:rFonts w:ascii="Calibri" w:hAnsi="Calibri" w:cs="Calibri"/>
          <w:b/>
          <w:bCs/>
          <w:sz w:val="22"/>
          <w:szCs w:val="22"/>
          <w:lang w:eastAsia="en-US"/>
        </w:rPr>
      </w:pPr>
    </w:p>
    <w:p w14:paraId="6A5580A0" w14:textId="589C20FA"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w:t>
      </w:r>
      <w:r w:rsidR="000E286D">
        <w:rPr>
          <w:sz w:val="32"/>
          <w:lang w:val="en-US" w:eastAsia="ko-KR"/>
        </w:rPr>
        <w:t>c</w:t>
      </w:r>
      <w:r w:rsidRPr="00F40EEC">
        <w:rPr>
          <w:sz w:val="32"/>
          <w:lang w:val="en-US" w:eastAsia="ko-KR"/>
        </w:rPr>
        <w:t>lusion</w:t>
      </w:r>
    </w:p>
    <w:p w14:paraId="35076D45" w14:textId="2D4277E7" w:rsidR="00D9047A"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B217B4">
        <w:rPr>
          <w:rFonts w:ascii="Calibri" w:hAnsi="Calibri" w:cs="Calibri"/>
          <w:sz w:val="22"/>
          <w:szCs w:val="22"/>
        </w:rPr>
        <w:t>provided initial performance evaluations for XR over NR</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217B4">
        <w:rPr>
          <w:rFonts w:ascii="Calibri" w:hAnsi="Calibri" w:cs="Calibri"/>
          <w:sz w:val="22"/>
          <w:szCs w:val="22"/>
        </w:rPr>
        <w:t>observations</w:t>
      </w:r>
      <w:r w:rsidR="001D4D6C">
        <w:rPr>
          <w:rFonts w:ascii="Calibri" w:hAnsi="Calibri" w:cs="Calibri"/>
          <w:sz w:val="22"/>
          <w:szCs w:val="22"/>
        </w:rPr>
        <w:t>:</w:t>
      </w:r>
    </w:p>
    <w:p w14:paraId="77AAFBBA" w14:textId="77777777" w:rsidR="005226A8" w:rsidRDefault="005226A8" w:rsidP="005226A8">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DL XR video traffic model, absolute delay prioritization schedulers </w:t>
      </w:r>
      <w:proofErr w:type="gramStart"/>
      <w:r>
        <w:rPr>
          <w:rFonts w:ascii="Calibri" w:hAnsi="Calibri" w:cs="Calibri"/>
          <w:b/>
          <w:bCs/>
          <w:sz w:val="22"/>
          <w:szCs w:val="22"/>
          <w:lang w:eastAsia="en-US"/>
        </w:rPr>
        <w:t>out perform</w:t>
      </w:r>
      <w:proofErr w:type="gramEnd"/>
      <w:r>
        <w:rPr>
          <w:rFonts w:ascii="Calibri" w:hAnsi="Calibri" w:cs="Calibri"/>
          <w:b/>
          <w:bCs/>
          <w:sz w:val="22"/>
          <w:szCs w:val="22"/>
          <w:lang w:eastAsia="en-US"/>
        </w:rPr>
        <w:t xml:space="preserve"> a baseline PF scheduler in coverage-limited outdoor FR1 deployments compared to dense indoor FR2 deployments.</w:t>
      </w:r>
    </w:p>
    <w:p w14:paraId="70ECA5F8" w14:textId="77777777" w:rsidR="000F2B5D" w:rsidRDefault="000F2B5D" w:rsidP="00C638E7">
      <w:pPr>
        <w:ind w:firstLineChars="0" w:firstLine="0"/>
        <w:rPr>
          <w:rFonts w:ascii="Calibri" w:hAnsi="Calibri" w:cs="Calibri"/>
          <w:b/>
          <w:bCs/>
          <w:sz w:val="22"/>
          <w:szCs w:val="22"/>
          <w:lang w:eastAsia="en-US"/>
        </w:rPr>
      </w:pPr>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2935B" w14:textId="77777777" w:rsidR="005873B1" w:rsidRDefault="005873B1" w:rsidP="007378B8">
      <w:r>
        <w:separator/>
      </w:r>
    </w:p>
  </w:endnote>
  <w:endnote w:type="continuationSeparator" w:id="0">
    <w:p w14:paraId="034755A1" w14:textId="77777777" w:rsidR="005873B1" w:rsidRDefault="005873B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Ԁᐺ"/>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12253" w14:textId="77777777" w:rsidR="005873B1" w:rsidRDefault="005873B1" w:rsidP="007378B8">
      <w:r>
        <w:separator/>
      </w:r>
    </w:p>
  </w:footnote>
  <w:footnote w:type="continuationSeparator" w:id="0">
    <w:p w14:paraId="26A37524" w14:textId="77777777" w:rsidR="005873B1" w:rsidRDefault="005873B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106B14"/>
    <w:multiLevelType w:val="hybridMultilevel"/>
    <w:tmpl w:val="59B046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21"/>
  </w:num>
  <w:num w:numId="4">
    <w:abstractNumId w:val="33"/>
  </w:num>
  <w:num w:numId="5">
    <w:abstractNumId w:val="2"/>
  </w:num>
  <w:num w:numId="6">
    <w:abstractNumId w:val="14"/>
  </w:num>
  <w:num w:numId="7">
    <w:abstractNumId w:val="38"/>
  </w:num>
  <w:num w:numId="8">
    <w:abstractNumId w:val="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5"/>
  </w:num>
  <w:num w:numId="12">
    <w:abstractNumId w:val="34"/>
  </w:num>
  <w:num w:numId="13">
    <w:abstractNumId w:val="6"/>
  </w:num>
  <w:num w:numId="14">
    <w:abstractNumId w:val="17"/>
  </w:num>
  <w:num w:numId="15">
    <w:abstractNumId w:val="25"/>
  </w:num>
  <w:num w:numId="16">
    <w:abstractNumId w:val="13"/>
  </w:num>
  <w:num w:numId="17">
    <w:abstractNumId w:val="9"/>
  </w:num>
  <w:num w:numId="18">
    <w:abstractNumId w:val="15"/>
  </w:num>
  <w:num w:numId="19">
    <w:abstractNumId w:val="0"/>
  </w:num>
  <w:num w:numId="20">
    <w:abstractNumId w:val="27"/>
  </w:num>
  <w:num w:numId="21">
    <w:abstractNumId w:val="28"/>
  </w:num>
  <w:num w:numId="22">
    <w:abstractNumId w:val="11"/>
  </w:num>
  <w:num w:numId="23">
    <w:abstractNumId w:val="12"/>
  </w:num>
  <w:num w:numId="24">
    <w:abstractNumId w:val="22"/>
  </w:num>
  <w:num w:numId="25">
    <w:abstractNumId w:val="7"/>
  </w:num>
  <w:num w:numId="26">
    <w:abstractNumId w:val="8"/>
  </w:num>
  <w:num w:numId="27">
    <w:abstractNumId w:val="10"/>
  </w:num>
  <w:num w:numId="28">
    <w:abstractNumId w:val="36"/>
  </w:num>
  <w:num w:numId="29">
    <w:abstractNumId w:val="31"/>
  </w:num>
  <w:num w:numId="30">
    <w:abstractNumId w:val="5"/>
  </w:num>
  <w:num w:numId="31">
    <w:abstractNumId w:val="37"/>
  </w:num>
  <w:num w:numId="32">
    <w:abstractNumId w:val="26"/>
  </w:num>
  <w:num w:numId="33">
    <w:abstractNumId w:val="23"/>
  </w:num>
  <w:num w:numId="34">
    <w:abstractNumId w:val="16"/>
  </w:num>
  <w:num w:numId="35">
    <w:abstractNumId w:val="29"/>
  </w:num>
  <w:num w:numId="36">
    <w:abstractNumId w:val="32"/>
  </w:num>
  <w:num w:numId="37">
    <w:abstractNumId w:val="4"/>
  </w:num>
  <w:num w:numId="38">
    <w:abstractNumId w:val="30"/>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28C"/>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8CA"/>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0F8E"/>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B0A"/>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6D"/>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B5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A24"/>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3A"/>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4E82"/>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7A1"/>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BA2"/>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7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6A8"/>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5A5"/>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3B1"/>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AD"/>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47"/>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A12"/>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BFF"/>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605"/>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470"/>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653"/>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529"/>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2A8"/>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969"/>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89F"/>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8B8"/>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2CE1"/>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8E7"/>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2E"/>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378"/>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5AE"/>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424"/>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71B"/>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3E"/>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7603035">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1705642">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C87094-299C-4E6D-9C8A-5ED61034DB8C}">
  <ds:schemaRefs>
    <ds:schemaRef ds:uri="http://schemas.openxmlformats.org/officeDocument/2006/bibliography"/>
  </ds:schemaRefs>
</ds:datastoreItem>
</file>

<file path=customXml/itemProps2.xml><?xml version="1.0" encoding="utf-8"?>
<ds:datastoreItem xmlns:ds="http://schemas.openxmlformats.org/officeDocument/2006/customXml" ds:itemID="{B32D5DB3-628B-48DB-9EF2-47323F3A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F77D7-337F-4AAD-BDA0-E3A4171E3207}">
  <ds:schemaRefs>
    <ds:schemaRef ds:uri="http://schemas.microsoft.com/sharepoint/v3/contenttype/forms"/>
  </ds:schemaRefs>
</ds:datastoreItem>
</file>

<file path=customXml/itemProps4.xml><?xml version="1.0" encoding="utf-8"?>
<ds:datastoreItem xmlns:ds="http://schemas.openxmlformats.org/officeDocument/2006/customXml" ds:itemID="{981C99DC-5B7C-4657-A202-4C416B7959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3875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NOVLAN, THOMAS D</cp:lastModifiedBy>
  <cp:revision>2</cp:revision>
  <dcterms:created xsi:type="dcterms:W3CDTF">2021-08-06T17:03:00Z</dcterms:created>
  <dcterms:modified xsi:type="dcterms:W3CDTF">2021-08-06T17:03:00Z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ontentTypeId">
    <vt:lpwstr>0x010100D8A63475175C404B88F6D4034EB823DF</vt:lpwstr>
  </property>
</Properties>
</file>