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1" w:hangingChars="850" w:hanging="1871"/>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1" w:hangingChars="850" w:hanging="1871"/>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ja-JP"/>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F0321A" w:rsidRPr="00231B58" w:rsidRDefault="00F0321A"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F0321A" w:rsidRPr="00251521" w:rsidRDefault="00F0321A"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F0321A" w:rsidRPr="00251521" w:rsidRDefault="00F0321A"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F0321A" w:rsidRPr="00251521" w:rsidRDefault="00F0321A"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F0321A" w:rsidRPr="00787267" w:rsidRDefault="00F0321A"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ED747D"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ED747D"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ED747D"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255"/>
        <w:gridCol w:w="8100"/>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hint="eastAsia"/>
                <w:lang w:eastAsia="zh-CN"/>
              </w:rPr>
            </w:pPr>
            <w:r>
              <w:rPr>
                <w:rFonts w:eastAsia="DengXian"/>
                <w:lang w:eastAsia="zh-CN"/>
              </w:rPr>
              <w:t>We agree with the moderator’s conclusion of not introducing the disabling of HARQ feedback at this stage.</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lastRenderedPageBreak/>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 xml:space="preserve">If DL HARQ process and UL HARQ process are separately scheduled, and if simultaneous transmission of two HARQ processes, wherein one for PDSCH and one for PUSCH, is allowed, the benefit of reduced PDCCH monitoring (i.e., the UE to be configured not </w:t>
            </w:r>
            <w:r w:rsidRPr="00DF6205">
              <w:lastRenderedPageBreak/>
              <w:t>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ED747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ED747D"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hint="eastAsia"/>
                <w:sz w:val="18"/>
                <w:szCs w:val="18"/>
                <w:lang w:eastAsia="zh-CN"/>
              </w:rPr>
            </w:pPr>
            <w:r>
              <w:rPr>
                <w:rFonts w:eastAsia="DengXian"/>
                <w:sz w:val="18"/>
                <w:szCs w:val="18"/>
                <w:lang w:eastAsia="zh-CN"/>
              </w:rPr>
              <w:lastRenderedPageBreak/>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hint="eastAsia"/>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ED747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ED747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255"/>
        <w:gridCol w:w="8280"/>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hint="eastAsia"/>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lastRenderedPageBreak/>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ED747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ED747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hould be 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w:t>
            </w:r>
            <w:r>
              <w:rPr>
                <w:rFonts w:eastAsia="MS Mincho"/>
              </w:rPr>
              <w:lastRenderedPageBreak/>
              <w:t xml:space="preserve">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lastRenderedPageBreak/>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hint="eastAsia"/>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hint="eastAsia"/>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ED747D"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361"/>
        <w:gridCol w:w="8174"/>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hint="eastAsia"/>
                <w:sz w:val="18"/>
                <w:szCs w:val="18"/>
                <w:lang w:eastAsia="zh-CN"/>
              </w:rPr>
            </w:pPr>
            <w:r>
              <w:rPr>
                <w:rFonts w:eastAsia="DengXian"/>
                <w:sz w:val="18"/>
                <w:szCs w:val="18"/>
                <w:lang w:eastAsia="zh-CN"/>
              </w:rPr>
              <w:t>Huawei, HiSilicon</w:t>
            </w:r>
            <w:bookmarkStart w:id="3" w:name="_GoBack"/>
            <w:bookmarkEnd w:id="3"/>
          </w:p>
        </w:tc>
        <w:tc>
          <w:tcPr>
            <w:tcW w:w="8174" w:type="dxa"/>
          </w:tcPr>
          <w:p w14:paraId="2AF0B9D9" w14:textId="1080EFEA" w:rsidR="007C2DB6" w:rsidRPr="00347A11" w:rsidRDefault="007C2DB6" w:rsidP="00136A58">
            <w:pPr>
              <w:snapToGrid w:val="0"/>
              <w:ind w:firstLineChars="0" w:firstLine="0"/>
              <w:jc w:val="left"/>
              <w:rPr>
                <w:rFonts w:eastAsia="DengXian" w:hint="eastAsia"/>
                <w:sz w:val="18"/>
                <w:szCs w:val="18"/>
                <w:lang w:eastAsia="zh-CN"/>
              </w:rPr>
            </w:pPr>
            <w:r>
              <w:rPr>
                <w:sz w:val="18"/>
                <w:szCs w:val="18"/>
              </w:rPr>
              <w:t>We agree with the moderator’s observation that further discussion on this solution is not feasible at this stage.</w:t>
            </w:r>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lastRenderedPageBreak/>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ED747D"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lastRenderedPageBreak/>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ED747D"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ED747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ED747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ED747D"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lastRenderedPageBreak/>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lastRenderedPageBreak/>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lastRenderedPageBreak/>
        <w:t>Minimizing the impacts on specification and scheduling</w:t>
      </w:r>
    </w:p>
    <w:p w14:paraId="725F7164" w14:textId="77777777" w:rsidR="00D746CB" w:rsidRPr="00307CE5" w:rsidRDefault="00D746CB" w:rsidP="00307CE5">
      <w:pPr>
        <w:spacing w:line="240" w:lineRule="auto"/>
        <w:rPr>
          <w:b/>
          <w:lang w:eastAsia="x-none"/>
        </w:rPr>
      </w:pPr>
    </w:p>
    <w:p w14:paraId="765DB318" w14:textId="77777777" w:rsidR="00D746CB" w:rsidRPr="00307CE5" w:rsidRDefault="00D746CB" w:rsidP="00307CE5">
      <w:pPr>
        <w:spacing w:line="240" w:lineRule="auto"/>
        <w:rPr>
          <w:b/>
          <w:lang w:eastAsia="x-none"/>
        </w:rPr>
      </w:pPr>
    </w:p>
    <w:p w14:paraId="4FF6A575" w14:textId="18AB1552" w:rsidR="00D746CB" w:rsidRPr="00307CE5" w:rsidRDefault="00D746CB" w:rsidP="00307CE5">
      <w:pPr>
        <w:spacing w:line="240" w:lineRule="auto"/>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lastRenderedPageBreak/>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13704" w14:textId="77777777" w:rsidR="00ED747D" w:rsidRDefault="00ED747D" w:rsidP="007378B8">
      <w:r>
        <w:separator/>
      </w:r>
    </w:p>
  </w:endnote>
  <w:endnote w:type="continuationSeparator" w:id="0">
    <w:p w14:paraId="7F12ACDC" w14:textId="77777777" w:rsidR="00ED747D" w:rsidRDefault="00ED747D"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FangSong_GB2312">
    <w:altName w:val="仿宋"/>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1C30F907" w:rsidR="00F0321A" w:rsidRDefault="00F0321A">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7C2DB6">
      <w:rPr>
        <w:rStyle w:val="PageNumber"/>
        <w:i/>
        <w:color w:val="auto"/>
      </w:rPr>
      <w:t>9</w:t>
    </w:r>
    <w:r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1E4EA" w14:textId="77777777" w:rsidR="00ED747D" w:rsidRDefault="00ED747D" w:rsidP="007378B8">
      <w:r>
        <w:separator/>
      </w:r>
    </w:p>
  </w:footnote>
  <w:footnote w:type="continuationSeparator" w:id="0">
    <w:p w14:paraId="3D990982" w14:textId="77777777" w:rsidR="00ED747D" w:rsidRDefault="00ED747D"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F0321A" w:rsidRDefault="00F0321A"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8"/>
  </w:num>
  <w:num w:numId="3">
    <w:abstractNumId w:val="10"/>
  </w:num>
  <w:num w:numId="4">
    <w:abstractNumId w:val="20"/>
  </w:num>
  <w:num w:numId="5">
    <w:abstractNumId w:val="1"/>
  </w:num>
  <w:num w:numId="6">
    <w:abstractNumId w:val="6"/>
  </w:num>
  <w:num w:numId="7">
    <w:abstractNumId w:val="27"/>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0"/>
  </w:num>
  <w:num w:numId="20">
    <w:abstractNumId w:val="14"/>
  </w:num>
  <w:num w:numId="21">
    <w:abstractNumId w:val="29"/>
  </w:num>
  <w:num w:numId="22">
    <w:abstractNumId w:val="16"/>
  </w:num>
  <w:num w:numId="23">
    <w:abstractNumId w:val="17"/>
  </w:num>
  <w:num w:numId="24">
    <w:abstractNumId w:val="21"/>
  </w:num>
  <w:num w:numId="25">
    <w:abstractNumId w:val="26"/>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661"/>
    <w:rsid w:val="00B966E0"/>
    <w:rsid w:val="00B96D5C"/>
    <w:rsid w:val="00B96E5F"/>
    <w:rsid w:val="00B9746D"/>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53C"/>
    <w:rsid w:val="00F9686E"/>
    <w:rsid w:val="00F96A1D"/>
    <w:rsid w:val="00F96BCB"/>
    <w:rsid w:val="00F96CF5"/>
    <w:rsid w:val="00F96EE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6752ADB3-17C4-4B09-9D80-854876E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4b\Docs\R1-2103269.zip" TargetMode="External"/><Relationship Id="rId19" Type="http://schemas.openxmlformats.org/officeDocument/2006/relationships/hyperlink" Target="file:///C:\Users\wanshic\OneDrive%20-%20Qualcomm\Documents\Standards\3GPP%20Standards\Meeting%20Documents\TSGR1_104b\Docs\R1-2102757.zip" TargetMode="Externa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10" Type="http://schemas.openxmlformats.org/officeDocument/2006/relationships/endnotes" Target="endnotes.xm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39" Type="http://schemas.openxmlformats.org/officeDocument/2006/relationships/hyperlink" Target="file:///C:\Users\wanshic\OneDrive%20-%20Qualcomm\Documents\Standards\3GPP%20Standards\Meeting%20Documents\TSGR1_104b\Docs\R1-2103269.zip" TargetMode="External"/><Relationship Id="rId34" Type="http://schemas.openxmlformats.org/officeDocument/2006/relationships/hyperlink" Target="file:///C:\Users\wanshic\OneDrive%20-%20Qualcomm\Documents\Standards\3GPP%20Standards\Meeting%20Documents\TSGR1_104b\Docs\R1-2102475.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2.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BD2CC-403D-4CBD-A3CD-86039F53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F3056-2576-4ED2-BB1B-A3A39E2C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9474</Words>
  <Characters>54005</Characters>
  <Application>Microsoft Office Word</Application>
  <DocSecurity>0</DocSecurity>
  <Lines>450</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Jussi Kahtava</cp:lastModifiedBy>
  <cp:revision>3</cp:revision>
  <dcterms:created xsi:type="dcterms:W3CDTF">2021-05-21T14:10:00Z</dcterms:created>
  <dcterms:modified xsi:type="dcterms:W3CDTF">2021-05-21T14:16:00Z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0x01010040990417226E544CBA03C7FA15009975</vt:lpwstr>
  </property>
</Properties>
</file>