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0"/>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0"/>
        <w:numPr>
          <w:ilvl w:val="1"/>
          <w:numId w:val="6"/>
        </w:numPr>
        <w:jc w:val="both"/>
        <w:rPr>
          <w:sz w:val="22"/>
          <w:lang w:val="en-US"/>
        </w:rPr>
      </w:pPr>
      <w:r>
        <w:rPr>
          <w:sz w:val="22"/>
          <w:lang w:val="en-US"/>
        </w:rPr>
        <w:t xml:space="preserve">TDRA </w:t>
      </w:r>
    </w:p>
    <w:p w14:paraId="563F52C4" w14:textId="77777777" w:rsidR="005F77DC" w:rsidRDefault="00162177">
      <w:pPr>
        <w:pStyle w:val="aff0"/>
        <w:numPr>
          <w:ilvl w:val="1"/>
          <w:numId w:val="6"/>
        </w:numPr>
        <w:jc w:val="both"/>
        <w:rPr>
          <w:sz w:val="22"/>
          <w:lang w:val="en-US"/>
        </w:rPr>
      </w:pPr>
      <w:r>
        <w:rPr>
          <w:sz w:val="22"/>
          <w:lang w:val="en-US"/>
        </w:rPr>
        <w:t xml:space="preserve">FDRA </w:t>
      </w:r>
    </w:p>
    <w:p w14:paraId="5656FF12" w14:textId="77777777" w:rsidR="005F77DC" w:rsidRDefault="00162177">
      <w:pPr>
        <w:pStyle w:val="aff0"/>
        <w:numPr>
          <w:ilvl w:val="1"/>
          <w:numId w:val="6"/>
        </w:numPr>
        <w:jc w:val="both"/>
        <w:rPr>
          <w:sz w:val="22"/>
          <w:lang w:val="en-US"/>
        </w:rPr>
      </w:pPr>
      <w:r>
        <w:rPr>
          <w:sz w:val="22"/>
          <w:lang w:val="en-US"/>
        </w:rPr>
        <w:t>TBS determination</w:t>
      </w:r>
    </w:p>
    <w:p w14:paraId="62843585" w14:textId="77777777" w:rsidR="005F77DC" w:rsidRDefault="00162177">
      <w:pPr>
        <w:pStyle w:val="aff0"/>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0"/>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0"/>
        <w:numPr>
          <w:ilvl w:val="1"/>
          <w:numId w:val="6"/>
        </w:numPr>
        <w:jc w:val="both"/>
        <w:rPr>
          <w:sz w:val="22"/>
          <w:lang w:val="en-US"/>
        </w:rPr>
      </w:pPr>
      <w:r>
        <w:rPr>
          <w:sz w:val="22"/>
          <w:lang w:val="en-US"/>
        </w:rPr>
        <w:t>DM-RS</w:t>
      </w:r>
    </w:p>
    <w:p w14:paraId="2F2AA11F" w14:textId="77777777" w:rsidR="005F77DC" w:rsidRDefault="00162177">
      <w:pPr>
        <w:pStyle w:val="aff0"/>
        <w:numPr>
          <w:ilvl w:val="1"/>
          <w:numId w:val="6"/>
        </w:numPr>
        <w:jc w:val="both"/>
        <w:rPr>
          <w:sz w:val="22"/>
          <w:lang w:val="en-US"/>
        </w:rPr>
      </w:pPr>
      <w:r>
        <w:rPr>
          <w:sz w:val="22"/>
          <w:lang w:val="en-US"/>
        </w:rPr>
        <w:t>CB segmentation</w:t>
      </w:r>
    </w:p>
    <w:p w14:paraId="11740026" w14:textId="77777777" w:rsidR="005F77DC" w:rsidRDefault="00162177">
      <w:pPr>
        <w:pStyle w:val="aff0"/>
        <w:numPr>
          <w:ilvl w:val="1"/>
          <w:numId w:val="6"/>
        </w:numPr>
        <w:jc w:val="both"/>
        <w:rPr>
          <w:sz w:val="22"/>
          <w:lang w:val="en-US"/>
        </w:rPr>
      </w:pPr>
      <w:r>
        <w:rPr>
          <w:sz w:val="22"/>
          <w:lang w:val="en-US"/>
        </w:rPr>
        <w:t>Redundancy version and rate-matching</w:t>
      </w:r>
    </w:p>
    <w:p w14:paraId="2A367C23" w14:textId="77777777" w:rsidR="005F77DC" w:rsidRDefault="00162177">
      <w:pPr>
        <w:pStyle w:val="aff0"/>
        <w:numPr>
          <w:ilvl w:val="1"/>
          <w:numId w:val="6"/>
        </w:numPr>
        <w:jc w:val="both"/>
        <w:rPr>
          <w:sz w:val="22"/>
          <w:lang w:val="en-US"/>
        </w:rPr>
      </w:pPr>
      <w:r>
        <w:rPr>
          <w:sz w:val="22"/>
          <w:lang w:val="en-US"/>
        </w:rPr>
        <w:t>Interleaving</w:t>
      </w:r>
    </w:p>
    <w:p w14:paraId="07450563" w14:textId="77777777" w:rsidR="005F77DC" w:rsidRDefault="00162177">
      <w:pPr>
        <w:pStyle w:val="aff0"/>
        <w:numPr>
          <w:ilvl w:val="1"/>
          <w:numId w:val="6"/>
        </w:numPr>
        <w:jc w:val="both"/>
        <w:rPr>
          <w:sz w:val="22"/>
          <w:lang w:val="en-US"/>
        </w:rPr>
      </w:pPr>
      <w:r>
        <w:rPr>
          <w:sz w:val="22"/>
          <w:lang w:val="en-US"/>
        </w:rPr>
        <w:t>Link adaptation</w:t>
      </w:r>
    </w:p>
    <w:p w14:paraId="7DEC630E" w14:textId="77777777" w:rsidR="005F77DC" w:rsidRDefault="00162177">
      <w:pPr>
        <w:pStyle w:val="aff0"/>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0"/>
        <w:numPr>
          <w:ilvl w:val="1"/>
          <w:numId w:val="6"/>
        </w:numPr>
        <w:jc w:val="both"/>
        <w:rPr>
          <w:sz w:val="22"/>
          <w:lang w:val="en-US"/>
        </w:rPr>
      </w:pPr>
      <w:r>
        <w:rPr>
          <w:sz w:val="22"/>
          <w:lang w:val="en-US"/>
        </w:rPr>
        <w:t>Frequency hopping</w:t>
      </w:r>
    </w:p>
    <w:p w14:paraId="6C1D8E18" w14:textId="77777777" w:rsidR="005F77DC" w:rsidRDefault="00162177">
      <w:pPr>
        <w:pStyle w:val="aff0"/>
        <w:numPr>
          <w:ilvl w:val="1"/>
          <w:numId w:val="6"/>
        </w:numPr>
        <w:jc w:val="both"/>
        <w:rPr>
          <w:sz w:val="22"/>
          <w:lang w:val="en-US"/>
        </w:rPr>
      </w:pPr>
      <w:r>
        <w:rPr>
          <w:sz w:val="22"/>
          <w:lang w:val="en-US"/>
        </w:rPr>
        <w:t>Transmission power determination</w:t>
      </w:r>
    </w:p>
    <w:p w14:paraId="44E12F12" w14:textId="77777777" w:rsidR="005F77DC" w:rsidRDefault="00162177">
      <w:pPr>
        <w:pStyle w:val="aff0"/>
        <w:numPr>
          <w:ilvl w:val="1"/>
          <w:numId w:val="6"/>
        </w:numPr>
        <w:jc w:val="both"/>
        <w:rPr>
          <w:sz w:val="22"/>
          <w:lang w:val="en-US"/>
        </w:rPr>
      </w:pPr>
      <w:r>
        <w:rPr>
          <w:sz w:val="22"/>
          <w:lang w:val="en-US"/>
        </w:rPr>
        <w:t>Rank of TBoMS transmission</w:t>
      </w:r>
    </w:p>
    <w:p w14:paraId="0DD7A53A" w14:textId="77777777" w:rsidR="005F77DC" w:rsidRDefault="00162177">
      <w:pPr>
        <w:pStyle w:val="aff0"/>
        <w:numPr>
          <w:ilvl w:val="1"/>
          <w:numId w:val="6"/>
        </w:numPr>
        <w:jc w:val="both"/>
        <w:rPr>
          <w:sz w:val="22"/>
          <w:lang w:val="en-US"/>
        </w:rPr>
      </w:pPr>
      <w:r>
        <w:rPr>
          <w:sz w:val="22"/>
          <w:lang w:val="en-US"/>
        </w:rPr>
        <w:t>Channel estimation</w:t>
      </w:r>
    </w:p>
    <w:p w14:paraId="24EA53D3" w14:textId="77777777" w:rsidR="005F77DC" w:rsidRDefault="00162177">
      <w:pPr>
        <w:pStyle w:val="aff0"/>
        <w:numPr>
          <w:ilvl w:val="1"/>
          <w:numId w:val="6"/>
        </w:numPr>
        <w:jc w:val="both"/>
        <w:rPr>
          <w:sz w:val="22"/>
          <w:lang w:val="en-US"/>
        </w:rPr>
      </w:pPr>
      <w:r>
        <w:rPr>
          <w:sz w:val="22"/>
          <w:lang w:val="en-US"/>
        </w:rPr>
        <w:t>Retransmissions</w:t>
      </w:r>
    </w:p>
    <w:p w14:paraId="4C9E9081" w14:textId="77777777" w:rsidR="005F77DC" w:rsidRDefault="00162177">
      <w:pPr>
        <w:pStyle w:val="aff0"/>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f0"/>
        <w:numPr>
          <w:ilvl w:val="1"/>
          <w:numId w:val="6"/>
        </w:numPr>
        <w:jc w:val="both"/>
        <w:rPr>
          <w:sz w:val="22"/>
          <w:lang w:val="en-US"/>
        </w:rPr>
      </w:pPr>
      <w:r>
        <w:rPr>
          <w:sz w:val="22"/>
          <w:lang w:val="en-US"/>
        </w:rPr>
        <w:t>Multi-slot/single-slot activation/switch</w:t>
      </w:r>
    </w:p>
    <w:p w14:paraId="681F12AB" w14:textId="77777777" w:rsidR="005F77DC" w:rsidRDefault="00162177">
      <w:pPr>
        <w:pStyle w:val="aff0"/>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f0"/>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0"/>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0"/>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0"/>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0"/>
        <w:numPr>
          <w:ilvl w:val="0"/>
          <w:numId w:val="7"/>
        </w:numPr>
        <w:jc w:val="both"/>
        <w:rPr>
          <w:sz w:val="22"/>
          <w:lang w:val="en-US"/>
        </w:rPr>
      </w:pPr>
      <w:r>
        <w:rPr>
          <w:sz w:val="22"/>
          <w:lang w:val="en-US"/>
        </w:rPr>
        <w:t>How to handle S slots</w:t>
      </w:r>
    </w:p>
    <w:p w14:paraId="1325B8E9" w14:textId="77777777" w:rsidR="005F77DC" w:rsidRDefault="00162177">
      <w:pPr>
        <w:pStyle w:val="aff0"/>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11A936C3" w14:textId="77777777" w:rsidR="005F77DC" w:rsidRDefault="00162177">
      <w:pPr>
        <w:pStyle w:val="aff0"/>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23A69C9A" w14:textId="77777777" w:rsidR="005F77DC" w:rsidRDefault="00162177">
      <w:pPr>
        <w:pStyle w:val="aff0"/>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2A40E0CC" w14:textId="77777777" w:rsidR="005F77DC" w:rsidRDefault="00162177">
      <w:pPr>
        <w:pStyle w:val="aff0"/>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18DF17DD" w14:textId="77777777" w:rsidR="005F77DC" w:rsidRDefault="00162177">
      <w:pPr>
        <w:pStyle w:val="aff0"/>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41A3432A" w14:textId="77777777" w:rsidR="005F77DC" w:rsidRDefault="0016217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2F547FD8" w14:textId="77777777" w:rsidR="005F77DC" w:rsidRDefault="0016217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宋体"/>
          <w:sz w:val="22"/>
        </w:rPr>
      </w:pPr>
      <w:r>
        <w:rPr>
          <w:rFonts w:eastAsia="宋体"/>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2864C8F" w14:textId="77777777" w:rsidR="005F77DC" w:rsidRDefault="0016217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0533DAE0" w14:textId="77777777" w:rsidR="005F77DC" w:rsidRDefault="005F77DC">
      <w:pPr>
        <w:jc w:val="both"/>
        <w:rPr>
          <w:rFonts w:eastAsia="宋体"/>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IITH, IITM, CEWIT, Reliance Jio, Tejas Networks</w:t>
            </w:r>
          </w:p>
        </w:tc>
        <w:tc>
          <w:tcPr>
            <w:tcW w:w="7450" w:type="dxa"/>
          </w:tcPr>
          <w:p w14:paraId="14D9E93B" w14:textId="27C811BD" w:rsidR="00C73ED7" w:rsidRDefault="00C73ED7" w:rsidP="00C73ED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lang w:eastAsia="zh-CN"/>
              </w:rPr>
            </w:pPr>
            <w:r>
              <w:rPr>
                <w:lang w:eastAsia="zh-CN"/>
              </w:rPr>
              <w:t>NEC</w:t>
            </w:r>
          </w:p>
        </w:tc>
        <w:tc>
          <w:tcPr>
            <w:tcW w:w="7450" w:type="dxa"/>
          </w:tcPr>
          <w:p w14:paraId="0A94536C" w14:textId="1F9DFA5F" w:rsidR="00CD6664" w:rsidRDefault="00CD6664" w:rsidP="00CD6664">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3266A0" w14:paraId="01B82A34" w14:textId="77777777" w:rsidTr="005F77DC">
        <w:tc>
          <w:tcPr>
            <w:tcW w:w="2173" w:type="dxa"/>
          </w:tcPr>
          <w:p w14:paraId="506F44A2" w14:textId="4F9B08F9"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7A8CC73" w14:textId="5E2E6842" w:rsidR="003266A0" w:rsidRDefault="003266A0" w:rsidP="00CD6664">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A678F4" w14:paraId="55CD6A21" w14:textId="77777777" w:rsidTr="005F77DC">
        <w:tc>
          <w:tcPr>
            <w:tcW w:w="2173" w:type="dxa"/>
          </w:tcPr>
          <w:p w14:paraId="0115DD49" w14:textId="17554DA8" w:rsidR="00A678F4" w:rsidRDefault="00A678F4" w:rsidP="00A678F4">
            <w:pPr>
              <w:jc w:val="both"/>
              <w:rPr>
                <w:rFonts w:eastAsia="Malgun Gothic"/>
                <w:lang w:eastAsia="ko-KR"/>
              </w:rPr>
            </w:pPr>
            <w:r>
              <w:rPr>
                <w:rFonts w:hint="eastAsia"/>
                <w:lang w:eastAsia="zh-CN"/>
              </w:rPr>
              <w:t>C</w:t>
            </w:r>
            <w:r>
              <w:rPr>
                <w:lang w:eastAsia="zh-CN"/>
              </w:rPr>
              <w:t>MCC</w:t>
            </w:r>
          </w:p>
        </w:tc>
        <w:tc>
          <w:tcPr>
            <w:tcW w:w="7450" w:type="dxa"/>
          </w:tcPr>
          <w:p w14:paraId="3E90E68C" w14:textId="77777777" w:rsidR="00A678F4" w:rsidRDefault="00A678F4" w:rsidP="00A678F4">
            <w:pPr>
              <w:jc w:val="both"/>
              <w:rPr>
                <w:rFonts w:eastAsiaTheme="minorEastAsia"/>
                <w:lang w:eastAsia="zh-CN"/>
              </w:rPr>
            </w:pPr>
            <w:r>
              <w:rPr>
                <w:rFonts w:eastAsiaTheme="minorEastAsia"/>
                <w:lang w:eastAsia="zh-CN"/>
              </w:rPr>
              <w:t xml:space="preserve">General fine with the proposal. </w:t>
            </w:r>
          </w:p>
          <w:p w14:paraId="3ED6E9A0" w14:textId="57E94B65" w:rsidR="00A678F4" w:rsidRDefault="00A678F4" w:rsidP="00A678F4">
            <w:pPr>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544B8AF9" w14:textId="77777777" w:rsidR="005F77DC" w:rsidRDefault="00162177">
      <w:pPr>
        <w:pStyle w:val="aff0"/>
        <w:numPr>
          <w:ilvl w:val="2"/>
          <w:numId w:val="8"/>
        </w:numPr>
        <w:jc w:val="both"/>
        <w:rPr>
          <w:sz w:val="22"/>
          <w:lang w:val="en-US"/>
        </w:rPr>
      </w:pPr>
      <w:r>
        <w:rPr>
          <w:rFonts w:eastAsia="宋体"/>
          <w:sz w:val="22"/>
        </w:rPr>
        <w:t>Fujitsu [9], ZTE [5], Samsung [19], Ericsson [21].</w:t>
      </w:r>
    </w:p>
    <w:p w14:paraId="711F56A2"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5A4B7F6F" w14:textId="77777777" w:rsidR="005F77DC" w:rsidRDefault="00162177">
      <w:pPr>
        <w:pStyle w:val="aff0"/>
        <w:numPr>
          <w:ilvl w:val="1"/>
          <w:numId w:val="8"/>
        </w:numPr>
        <w:jc w:val="both"/>
        <w:rPr>
          <w:sz w:val="22"/>
          <w:lang w:val="en-US"/>
        </w:rPr>
      </w:pPr>
      <w:r>
        <w:rPr>
          <w:sz w:val="22"/>
          <w:lang w:val="en-US"/>
        </w:rPr>
        <w:t>Details are FFS:</w:t>
      </w:r>
    </w:p>
    <w:p w14:paraId="1D64A576" w14:textId="77777777" w:rsidR="005F77DC" w:rsidRDefault="00162177">
      <w:pPr>
        <w:pStyle w:val="aff0"/>
        <w:numPr>
          <w:ilvl w:val="2"/>
          <w:numId w:val="8"/>
        </w:numPr>
        <w:jc w:val="both"/>
        <w:rPr>
          <w:sz w:val="22"/>
          <w:lang w:val="en-US"/>
        </w:rPr>
      </w:pPr>
      <w:r>
        <w:rPr>
          <w:sz w:val="22"/>
          <w:lang w:val="en-US"/>
        </w:rPr>
        <w:t>Apple [16].</w:t>
      </w:r>
    </w:p>
    <w:p w14:paraId="392C5511" w14:textId="77777777" w:rsidR="005F77DC" w:rsidRDefault="0016217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74C845AA" w14:textId="77777777" w:rsidR="005F77DC" w:rsidRDefault="00162177">
      <w:pPr>
        <w:pStyle w:val="aff0"/>
        <w:numPr>
          <w:ilvl w:val="1"/>
          <w:numId w:val="8"/>
        </w:numPr>
        <w:jc w:val="both"/>
        <w:rPr>
          <w:rFonts w:eastAsia="宋体"/>
          <w:bCs/>
          <w:sz w:val="22"/>
          <w:lang w:val="en-US"/>
        </w:rPr>
      </w:pPr>
      <w:r>
        <w:rPr>
          <w:rFonts w:eastAsia="宋体"/>
          <w:bCs/>
          <w:sz w:val="22"/>
          <w:lang w:val="en-US"/>
        </w:rPr>
        <w:t>Reinterpretation of the meaning of L:</w:t>
      </w:r>
    </w:p>
    <w:p w14:paraId="42257874" w14:textId="77777777" w:rsidR="005F77DC" w:rsidRDefault="00162177">
      <w:pPr>
        <w:pStyle w:val="aff0"/>
        <w:numPr>
          <w:ilvl w:val="2"/>
          <w:numId w:val="8"/>
        </w:numPr>
        <w:jc w:val="both"/>
        <w:rPr>
          <w:rFonts w:eastAsia="宋体"/>
          <w:bCs/>
          <w:sz w:val="22"/>
          <w:lang w:val="en-US"/>
        </w:rPr>
      </w:pPr>
      <w:r>
        <w:rPr>
          <w:rFonts w:eastAsia="宋体"/>
          <w:bCs/>
          <w:sz w:val="22"/>
          <w:lang w:val="en-US"/>
        </w:rPr>
        <w:t>Xiaomi [13].</w:t>
      </w:r>
    </w:p>
    <w:p w14:paraId="328AD0FC" w14:textId="77777777" w:rsidR="005F77DC" w:rsidRDefault="0016217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2801B08" w14:textId="77777777" w:rsidR="005F77DC" w:rsidRDefault="00162177">
      <w:pPr>
        <w:pStyle w:val="aff0"/>
        <w:numPr>
          <w:ilvl w:val="2"/>
          <w:numId w:val="8"/>
        </w:numPr>
        <w:jc w:val="both"/>
        <w:rPr>
          <w:rFonts w:eastAsia="宋体"/>
          <w:bCs/>
          <w:sz w:val="22"/>
          <w:lang w:val="en-US"/>
        </w:rPr>
      </w:pPr>
      <w:r>
        <w:rPr>
          <w:rFonts w:eastAsia="宋体"/>
          <w:bCs/>
          <w:sz w:val="22"/>
          <w:lang w:val="en-US"/>
        </w:rPr>
        <w:t>Samsung [19].</w:t>
      </w:r>
    </w:p>
    <w:p w14:paraId="5799C052" w14:textId="77777777" w:rsidR="005F77DC" w:rsidRDefault="00162177">
      <w:pPr>
        <w:pStyle w:val="aff0"/>
        <w:numPr>
          <w:ilvl w:val="1"/>
          <w:numId w:val="8"/>
        </w:numPr>
        <w:jc w:val="both"/>
        <w:rPr>
          <w:rFonts w:eastAsia="宋体"/>
          <w:bCs/>
          <w:sz w:val="22"/>
          <w:lang w:val="en-US"/>
        </w:rPr>
      </w:pPr>
      <w:r>
        <w:rPr>
          <w:rFonts w:eastAsia="宋体"/>
          <w:bCs/>
          <w:sz w:val="22"/>
          <w:lang w:val="en-US"/>
        </w:rPr>
        <w:lastRenderedPageBreak/>
        <w:t>L value in the TDRA table is used to indicate the duration of PUSCH transmission occasion in the last slot:</w:t>
      </w:r>
    </w:p>
    <w:p w14:paraId="4073EF64" w14:textId="77777777" w:rsidR="005F77DC" w:rsidRDefault="0016217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0"/>
        <w:numPr>
          <w:ilvl w:val="2"/>
          <w:numId w:val="8"/>
        </w:numPr>
        <w:jc w:val="both"/>
        <w:rPr>
          <w:sz w:val="22"/>
          <w:lang w:val="en-US"/>
        </w:rPr>
      </w:pPr>
      <w:r>
        <w:rPr>
          <w:rFonts w:eastAsia="宋体"/>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1"/>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06E1FDAD" w14:textId="77777777" w:rsidR="005F77DC" w:rsidRDefault="00162177">
      <w:pPr>
        <w:pStyle w:val="aff0"/>
        <w:numPr>
          <w:ilvl w:val="2"/>
          <w:numId w:val="8"/>
        </w:numPr>
        <w:jc w:val="both"/>
        <w:rPr>
          <w:sz w:val="22"/>
          <w:lang w:val="en-US"/>
        </w:rPr>
      </w:pPr>
      <w:r>
        <w:rPr>
          <w:rFonts w:eastAsia="宋体"/>
          <w:sz w:val="22"/>
        </w:rPr>
        <w:t>Fujitsu [9], Huawei/HiSi [3], Nokia/NSB [20], Sierra Wireless [22], LGE [27], MediaTek [8]</w:t>
      </w:r>
    </w:p>
    <w:p w14:paraId="26CD82F5"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[10 companies]:</w:t>
      </w:r>
    </w:p>
    <w:p w14:paraId="3525B1D1" w14:textId="77777777" w:rsidR="005F77DC" w:rsidRDefault="00162177">
      <w:pPr>
        <w:pStyle w:val="aff0"/>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w:t>
      </w:r>
    </w:p>
    <w:p w14:paraId="02237D57" w14:textId="77777777" w:rsidR="005F77DC" w:rsidRDefault="00162177">
      <w:pPr>
        <w:pStyle w:val="aff0"/>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f0"/>
        <w:numPr>
          <w:ilvl w:val="2"/>
          <w:numId w:val="8"/>
        </w:numPr>
        <w:jc w:val="both"/>
        <w:rPr>
          <w:sz w:val="22"/>
          <w:lang w:val="en-US"/>
        </w:rPr>
      </w:pPr>
      <w:r>
        <w:rPr>
          <w:rFonts w:eastAsia="宋体"/>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0"/>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w:t>
      </w:r>
      <w:r>
        <w:rPr>
          <w:sz w:val="22"/>
          <w:lang w:val="en-US"/>
        </w:rPr>
        <w:lastRenderedPageBreak/>
        <w:t>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0"/>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0"/>
              <w:numPr>
                <w:ilvl w:val="1"/>
                <w:numId w:val="9"/>
              </w:numPr>
              <w:jc w:val="both"/>
            </w:pPr>
            <w:r>
              <w:rPr>
                <w:b/>
                <w:bCs/>
                <w:i/>
                <w:iCs/>
                <w:sz w:val="22"/>
                <w:szCs w:val="22"/>
              </w:rPr>
              <w:lastRenderedPageBreak/>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lastRenderedPageBreak/>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f0"/>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0"/>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lang w:eastAsia="ja-JP"/>
              </w:rPr>
            </w:pPr>
            <w:r>
              <w:t>Huawei, HiSilicon</w:t>
            </w:r>
          </w:p>
        </w:tc>
        <w:tc>
          <w:tcPr>
            <w:tcW w:w="7448" w:type="dxa"/>
          </w:tcPr>
          <w:p w14:paraId="730AFB86" w14:textId="6E62D3A9" w:rsidR="00E17170" w:rsidRDefault="00E17170" w:rsidP="00E17170">
            <w:pPr>
              <w:jc w:val="both"/>
              <w:rPr>
                <w:rFonts w:eastAsia="MS Mincho"/>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MS Mincho"/>
                <w:lang w:eastAsia="ja-JP"/>
              </w:rPr>
              <w:t>IITH, IITM, CEWIT, Reliance Jio, Tejas Networks</w:t>
            </w:r>
          </w:p>
        </w:tc>
        <w:tc>
          <w:tcPr>
            <w:tcW w:w="7448" w:type="dxa"/>
          </w:tcPr>
          <w:p w14:paraId="129D630E" w14:textId="77777777" w:rsidR="00BE53F6" w:rsidRDefault="00BE53F6" w:rsidP="00BE53F6">
            <w:pPr>
              <w:rPr>
                <w:rFonts w:eastAsia="MS Mincho"/>
                <w:lang w:eastAsia="ja-JP"/>
              </w:rPr>
            </w:pPr>
            <w:r>
              <w:rPr>
                <w:rFonts w:eastAsia="MS Mincho"/>
                <w:lang w:eastAsia="ja-JP"/>
              </w:rPr>
              <w:t xml:space="preserve">Support the proposal. </w:t>
            </w:r>
            <w:r>
              <w:rPr>
                <w:rFonts w:eastAsia="MS Mincho"/>
                <w:lang w:eastAsia="ja-JP"/>
              </w:rPr>
              <w:br/>
            </w:r>
          </w:p>
          <w:p w14:paraId="23F0626B" w14:textId="3AEDC0B7" w:rsidR="00BE53F6" w:rsidRDefault="00BE53F6" w:rsidP="00BE53F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MS Mincho"/>
                <w:lang w:eastAsia="ja-JP"/>
              </w:rPr>
            </w:pPr>
            <w:r>
              <w:rPr>
                <w:rFonts w:eastAsia="MS Mincho"/>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lang w:eastAsia="zh-CN"/>
              </w:rPr>
            </w:pPr>
            <w:r>
              <w:rPr>
                <w:rFonts w:eastAsia="MS Mincho"/>
                <w:lang w:eastAsia="ja-JP"/>
              </w:rPr>
              <w:t>NEC</w:t>
            </w:r>
          </w:p>
        </w:tc>
        <w:tc>
          <w:tcPr>
            <w:tcW w:w="7448" w:type="dxa"/>
          </w:tcPr>
          <w:p w14:paraId="20FEAC09" w14:textId="07D2B062" w:rsidR="00CD6664" w:rsidRDefault="00CD6664" w:rsidP="00CD6664">
            <w:pPr>
              <w:rPr>
                <w:rFonts w:eastAsia="MS Mincho"/>
                <w:lang w:eastAsia="ja-JP"/>
              </w:rPr>
            </w:pPr>
            <w:r>
              <w:rPr>
                <w:rFonts w:eastAsia="MS Mincho"/>
                <w:lang w:eastAsia="ja-JP"/>
              </w:rPr>
              <w:t>We are fine with the FL proposal.</w:t>
            </w:r>
          </w:p>
        </w:tc>
      </w:tr>
      <w:tr w:rsidR="003266A0" w14:paraId="78BE2E3B" w14:textId="77777777" w:rsidTr="005F77DC">
        <w:tc>
          <w:tcPr>
            <w:tcW w:w="2175" w:type="dxa"/>
          </w:tcPr>
          <w:p w14:paraId="13302D2A" w14:textId="3FE3A66D"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A415DF4" w14:textId="7A7516EE" w:rsidR="003266A0" w:rsidRDefault="003266A0" w:rsidP="00CD6664">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C20136" w14:paraId="0CDEAB11" w14:textId="77777777" w:rsidTr="005F77DC">
        <w:tc>
          <w:tcPr>
            <w:tcW w:w="2175" w:type="dxa"/>
          </w:tcPr>
          <w:p w14:paraId="4D684063" w14:textId="1BF3FBF2" w:rsidR="00C20136" w:rsidRDefault="00C20136" w:rsidP="00C2013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7A15446F" w14:textId="77777777" w:rsidR="00C20136" w:rsidRDefault="00C20136" w:rsidP="00C20136">
            <w:pPr>
              <w:rPr>
                <w:rFonts w:eastAsiaTheme="minorEastAsia"/>
                <w:lang w:eastAsia="zh-CN"/>
              </w:rPr>
            </w:pPr>
            <w:r>
              <w:rPr>
                <w:rFonts w:eastAsiaTheme="minorEastAsia"/>
                <w:lang w:eastAsia="zh-CN"/>
              </w:rPr>
              <w:t>Support the proposal</w:t>
            </w:r>
          </w:p>
          <w:p w14:paraId="337AE637" w14:textId="77777777" w:rsidR="00C20136" w:rsidRDefault="00C20136" w:rsidP="00C20136">
            <w:pPr>
              <w:rPr>
                <w:rFonts w:eastAsia="Malgun Gothic"/>
                <w:lang w:eastAsia="ko-KR"/>
              </w:rPr>
            </w:pP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lastRenderedPageBreak/>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0"/>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0"/>
        <w:numPr>
          <w:ilvl w:val="2"/>
          <w:numId w:val="8"/>
        </w:numPr>
        <w:jc w:val="both"/>
        <w:rPr>
          <w:sz w:val="22"/>
          <w:szCs w:val="22"/>
          <w:lang w:val="en-US"/>
        </w:rPr>
      </w:pPr>
      <w:r>
        <w:rPr>
          <w:rFonts w:eastAsia="宋体"/>
          <w:sz w:val="22"/>
          <w:szCs w:val="22"/>
        </w:rPr>
        <w:t>Apple [16];</w:t>
      </w:r>
    </w:p>
    <w:p w14:paraId="5489C933"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0"/>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lastRenderedPageBreak/>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lastRenderedPageBreak/>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0"/>
              <w:numPr>
                <w:ilvl w:val="0"/>
                <w:numId w:val="10"/>
              </w:numPr>
              <w:jc w:val="both"/>
            </w:pPr>
            <w:r w:rsidRPr="00662E7E">
              <w:t>Option (a):Same definition as PUSCH Repetition Type A</w:t>
            </w:r>
          </w:p>
          <w:p w14:paraId="019171E8" w14:textId="77777777" w:rsidR="00A52C6D" w:rsidRDefault="00A52C6D" w:rsidP="00A52C6D">
            <w:pPr>
              <w:pStyle w:val="aff0"/>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0"/>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0"/>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lang w:eastAsia="ja-JP"/>
              </w:rPr>
            </w:pPr>
            <w:r>
              <w:rPr>
                <w:rFonts w:hint="eastAsia"/>
                <w:lang w:eastAsia="zh-CN"/>
              </w:rPr>
              <w:t>H</w:t>
            </w:r>
            <w:r>
              <w:rPr>
                <w:lang w:eastAsia="zh-CN"/>
              </w:rPr>
              <w:t>uawei, HiSilicon</w:t>
            </w:r>
          </w:p>
        </w:tc>
        <w:tc>
          <w:tcPr>
            <w:tcW w:w="7450" w:type="dxa"/>
          </w:tcPr>
          <w:p w14:paraId="013BDE30" w14:textId="2B884612" w:rsidR="00E17170" w:rsidRDefault="00E17170" w:rsidP="00E17170">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MS Mincho"/>
                <w:lang w:eastAsia="ja-JP"/>
              </w:rPr>
              <w:t>IITH, IITM, CEWIT, Reliance Jio, Tejas Networks</w:t>
            </w:r>
          </w:p>
        </w:tc>
        <w:tc>
          <w:tcPr>
            <w:tcW w:w="7450" w:type="dxa"/>
          </w:tcPr>
          <w:p w14:paraId="33BA5D4E" w14:textId="4A126E87" w:rsidR="009A586E" w:rsidRDefault="009A586E" w:rsidP="009A586E">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lang w:eastAsia="zh-CN"/>
              </w:rPr>
            </w:pPr>
            <w:r>
              <w:rPr>
                <w:rFonts w:eastAsia="MS Mincho"/>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3266A0" w14:paraId="5FE312AE" w14:textId="77777777" w:rsidTr="005F77DC">
        <w:tc>
          <w:tcPr>
            <w:tcW w:w="2173" w:type="dxa"/>
          </w:tcPr>
          <w:p w14:paraId="742162B5" w14:textId="74DD0E4C"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4C053" w14:textId="11AB5D97" w:rsidR="003266A0" w:rsidRDefault="003266A0" w:rsidP="00CD6664">
            <w:pPr>
              <w:jc w:val="both"/>
              <w:rPr>
                <w:rFonts w:eastAsia="MS Mincho"/>
                <w:lang w:eastAsia="ja-JP"/>
              </w:rPr>
            </w:pPr>
            <w:r>
              <w:rPr>
                <w:rFonts w:eastAsia="Malgun Gothic"/>
                <w:lang w:eastAsia="ko-KR"/>
              </w:rPr>
              <w:t>Discussion on transmission occasion can be deferred till conclusions in Section 2.4.1 and 2.4.5.</w:t>
            </w:r>
          </w:p>
        </w:tc>
      </w:tr>
      <w:tr w:rsidR="00807F51" w14:paraId="2B3C136C" w14:textId="77777777" w:rsidTr="005F77DC">
        <w:tc>
          <w:tcPr>
            <w:tcW w:w="2173" w:type="dxa"/>
          </w:tcPr>
          <w:p w14:paraId="7DDC46BB" w14:textId="77777777" w:rsidR="00807F51" w:rsidRDefault="00807F51" w:rsidP="00807F51">
            <w:pPr>
              <w:jc w:val="both"/>
              <w:rPr>
                <w:rFonts w:eastAsiaTheme="minorEastAsia"/>
                <w:lang w:eastAsia="zh-CN"/>
              </w:rPr>
            </w:pPr>
            <w:r>
              <w:rPr>
                <w:rFonts w:eastAsiaTheme="minorEastAsia" w:hint="eastAsia"/>
                <w:lang w:eastAsia="zh-CN"/>
              </w:rPr>
              <w:t>C</w:t>
            </w:r>
            <w:r>
              <w:rPr>
                <w:rFonts w:eastAsiaTheme="minorEastAsia"/>
                <w:lang w:eastAsia="zh-CN"/>
              </w:rPr>
              <w:t>MCC</w:t>
            </w:r>
          </w:p>
          <w:p w14:paraId="0CCD0362" w14:textId="77777777" w:rsidR="00807F51" w:rsidRDefault="00807F51" w:rsidP="00807F51">
            <w:pPr>
              <w:jc w:val="both"/>
              <w:rPr>
                <w:rFonts w:eastAsia="Malgun Gothic"/>
                <w:lang w:eastAsia="ko-KR"/>
              </w:rPr>
            </w:pPr>
          </w:p>
        </w:tc>
        <w:tc>
          <w:tcPr>
            <w:tcW w:w="7450" w:type="dxa"/>
          </w:tcPr>
          <w:p w14:paraId="06926BD3" w14:textId="77777777" w:rsidR="00807F51" w:rsidRDefault="00807F51" w:rsidP="00807F51">
            <w:pPr>
              <w:jc w:val="both"/>
              <w:rPr>
                <w:rFonts w:eastAsiaTheme="minorEastAsia"/>
                <w:lang w:eastAsia="zh-CN"/>
              </w:rPr>
            </w:pPr>
            <w:r>
              <w:rPr>
                <w:rFonts w:eastAsiaTheme="minorEastAsia"/>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30078312" w14:textId="3A3F22BE" w:rsidR="00807F51" w:rsidRDefault="00807F51" w:rsidP="00807F51">
            <w:pPr>
              <w:jc w:val="both"/>
              <w:rPr>
                <w:rFonts w:eastAsia="Malgun Gothic"/>
                <w:lang w:eastAsia="ko-KR"/>
              </w:rPr>
            </w:pPr>
            <w:r>
              <w:rPr>
                <w:rFonts w:eastAsiaTheme="minorEastAsia"/>
                <w:lang w:eastAsia="zh-CN"/>
              </w:rPr>
              <w:t>We could come back later for this topic. And another thinking is that this transmission occasion may facilitate the indication of un-consecutive time domain resources related to the special slots and collision issues.</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0"/>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f0"/>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0"/>
        <w:numPr>
          <w:ilvl w:val="0"/>
          <w:numId w:val="10"/>
        </w:numPr>
        <w:jc w:val="both"/>
        <w:rPr>
          <w:sz w:val="22"/>
          <w:szCs w:val="22"/>
          <w:lang w:val="en-US"/>
        </w:rPr>
      </w:pPr>
      <w:r>
        <w:rPr>
          <w:sz w:val="22"/>
          <w:szCs w:val="22"/>
          <w:lang w:val="en-US"/>
        </w:rPr>
        <w:lastRenderedPageBreak/>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1"/>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0"/>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14:paraId="590CCD21"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0"/>
        <w:numPr>
          <w:ilvl w:val="2"/>
          <w:numId w:val="8"/>
        </w:numPr>
        <w:jc w:val="both"/>
        <w:rPr>
          <w:sz w:val="22"/>
          <w:lang w:val="en-US"/>
        </w:rPr>
      </w:pPr>
      <w:r>
        <w:rPr>
          <w:sz w:val="22"/>
          <w:lang w:val="en-US"/>
        </w:rPr>
        <w:lastRenderedPageBreak/>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lastRenderedPageBreak/>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0"/>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0"/>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f0"/>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3D2A39A"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2DB11E7" w14:textId="77777777" w:rsidR="005F77DC" w:rsidRDefault="00162177">
      <w:pPr>
        <w:pStyle w:val="aff0"/>
        <w:numPr>
          <w:ilvl w:val="2"/>
          <w:numId w:val="8"/>
        </w:numPr>
        <w:jc w:val="both"/>
        <w:rPr>
          <w:sz w:val="22"/>
          <w:szCs w:val="22"/>
          <w:lang w:val="en-US"/>
        </w:rPr>
      </w:pPr>
      <w:r>
        <w:rPr>
          <w:sz w:val="22"/>
          <w:szCs w:val="22"/>
          <w:lang w:val="en-US"/>
        </w:rPr>
        <w:t>IITH [12]</w:t>
      </w:r>
    </w:p>
    <w:p w14:paraId="194AA549"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0"/>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0"/>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0"/>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f0"/>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0"/>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w:t>
      </w:r>
      <w:r>
        <w:rPr>
          <w:sz w:val="22"/>
          <w:szCs w:val="22"/>
          <w:u w:val="single"/>
        </w:rPr>
        <w:lastRenderedPageBreak/>
        <w:t xml:space="preserve">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lastRenderedPageBreak/>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lastRenderedPageBreak/>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15pt;height:14.3pt;mso-width-percent:0;mso-height-percent:0;mso-width-percent:0;mso-height-percent:0" o:ole="">
                  <v:imagedata r:id="rId15" o:title=""/>
                </v:shape>
                <o:OLEObject Type="Embed" ProgID="Equation.DSMT4" ShapeID="_x0000_i1025" DrawAspect="Content" ObjectID="_1679930298"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f0"/>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MS Mincho"/>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lang w:eastAsia="zh-CN"/>
              </w:rPr>
            </w:pPr>
            <w:r>
              <w:rPr>
                <w:rFonts w:eastAsia="MS Mincho"/>
                <w:lang w:eastAsia="ja-JP"/>
              </w:rPr>
              <w:t>NEC</w:t>
            </w:r>
          </w:p>
        </w:tc>
        <w:tc>
          <w:tcPr>
            <w:tcW w:w="7449" w:type="dxa"/>
          </w:tcPr>
          <w:p w14:paraId="2C0607F7" w14:textId="3891BB71" w:rsidR="00CD6664" w:rsidRDefault="00CD6664" w:rsidP="00CD6664">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3266A0" w14:paraId="2921E6E6" w14:textId="77777777" w:rsidTr="005F77DC">
        <w:tc>
          <w:tcPr>
            <w:tcW w:w="2174" w:type="dxa"/>
          </w:tcPr>
          <w:p w14:paraId="2B711F46" w14:textId="62159A77"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2DC9933A" w14:textId="44298BC1" w:rsidR="003266A0" w:rsidRDefault="003266A0" w:rsidP="00CD6664">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sidRPr="00BB2AF2">
              <w:rPr>
                <w:rFonts w:eastAsiaTheme="minorEastAsia"/>
                <w:lang w:eastAsia="ko-KR"/>
              </w:rPr>
              <w:t xml:space="preserve">This approach is aligned with Rel-15/16 where when the PDSCH assigned by a PDCCH with DCI format 1_0 with CRC scrambled by P-RNTI, </w:t>
            </w:r>
            <w:r w:rsidRPr="00BB2AF2">
              <w:rPr>
                <w:rFonts w:eastAsiaTheme="minorEastAsia"/>
                <w:lang w:eastAsia="ko-KR"/>
              </w:rPr>
              <w:lastRenderedPageBreak/>
              <w:t xml:space="preserve">or RA-RNTI, or MsgB-RNTI is indicated with scaling factor </w:t>
            </w:r>
            <w:r w:rsidRPr="00BB2AF2">
              <w:rPr>
                <w:rFonts w:eastAsiaTheme="minorEastAsia"/>
                <w:i/>
                <w:iCs/>
                <w:lang w:eastAsia="ko-KR"/>
              </w:rPr>
              <w:t>S</w:t>
            </w:r>
            <w:r w:rsidRPr="00BB2AF2">
              <w:rPr>
                <w:rFonts w:eastAsiaTheme="minorEastAsia"/>
                <w:lang w:eastAsia="ko-KR"/>
              </w:rPr>
              <w:t xml:space="preserve">, </w:t>
            </w:r>
            <w:r w:rsidRPr="00BB2AF2">
              <w:rPr>
                <w:rFonts w:eastAsiaTheme="minorEastAsia"/>
                <w:i/>
                <w:iCs/>
                <w:lang w:eastAsia="ko-KR"/>
              </w:rPr>
              <w:t>N</w:t>
            </w:r>
            <w:r w:rsidRPr="00BB2AF2">
              <w:rPr>
                <w:rFonts w:eastAsiaTheme="minorEastAsia"/>
                <w:i/>
                <w:iCs/>
                <w:vertAlign w:val="subscript"/>
                <w:lang w:eastAsia="ko-KR"/>
              </w:rPr>
              <w:t>info</w:t>
            </w:r>
            <w:r w:rsidRPr="00BB2AF2">
              <w:rPr>
                <w:rFonts w:eastAsiaTheme="minorEastAsia"/>
                <w:lang w:eastAsia="ko-KR"/>
              </w:rPr>
              <w:t xml:space="preserve"> is scaled as</w:t>
            </w:r>
            <w:r w:rsidRPr="00BB2AF2">
              <w:rPr>
                <w:rFonts w:eastAsiaTheme="minorEastAsia"/>
                <w:i/>
                <w:iCs/>
                <w:lang w:eastAsia="ko-KR"/>
              </w:rPr>
              <w:t xml:space="preserve"> </w:t>
            </w:r>
            <m:oMath>
              <m:sSubSup>
                <m:sSubSupPr>
                  <m:ctrlPr>
                    <w:rPr>
                      <w:rFonts w:ascii="Cambria Math" w:eastAsiaTheme="minorEastAsia" w:hAnsi="Cambria Math"/>
                      <w:i/>
                      <w:lang w:eastAsia="ko-KR"/>
                    </w:rPr>
                  </m:ctrlPr>
                </m:sSubSupPr>
                <m:e>
                  <m:r>
                    <w:rPr>
                      <w:rFonts w:ascii="Cambria Math" w:eastAsiaTheme="minorEastAsia" w:hAnsi="Cambria Math"/>
                      <w:lang w:eastAsia="ko-KR"/>
                    </w:rPr>
                    <m:t>N</m:t>
                  </m:r>
                </m:e>
                <m:sub>
                  <m:r>
                    <w:rPr>
                      <w:rFonts w:ascii="Cambria Math" w:eastAsiaTheme="minorEastAsia" w:hAnsi="Cambria Math"/>
                      <w:lang w:eastAsia="ko-KR"/>
                    </w:rPr>
                    <m:t>info</m:t>
                  </m:r>
                </m:sub>
                <m:sup>
                  <m:r>
                    <w:rPr>
                      <w:rFonts w:ascii="Cambria Math" w:eastAsiaTheme="minorEastAsia" w:hAnsi="Cambria Math"/>
                      <w:lang w:eastAsia="ko-KR"/>
                    </w:rPr>
                    <m:t xml:space="preserve"> </m:t>
                  </m:r>
                </m:sup>
              </m:sSubSup>
              <m:r>
                <w:rPr>
                  <w:rFonts w:ascii="Cambria Math" w:eastAsiaTheme="minorEastAsia" w:hAnsi="Cambria Math"/>
                  <w:lang w:eastAsia="ko-KR"/>
                </w:rPr>
                <m:t>=S∙</m:t>
              </m:r>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RE</m:t>
                  </m:r>
                </m:sub>
              </m:sSub>
              <m:r>
                <w:rPr>
                  <w:rFonts w:ascii="Cambria Math" w:eastAsiaTheme="minorEastAsia" w:hAnsi="Cambria Math"/>
                  <w:lang w:eastAsia="ko-KR"/>
                </w:rPr>
                <m:t>∙R∙</m:t>
              </m:r>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m</m:t>
                  </m:r>
                </m:sub>
              </m:sSub>
              <m:r>
                <w:rPr>
                  <w:rFonts w:ascii="Cambria Math" w:eastAsiaTheme="minorEastAsia" w:hAnsi="Cambria Math"/>
                  <w:lang w:eastAsia="ko-KR"/>
                </w:rPr>
                <m:t>∙v</m:t>
              </m:r>
            </m:oMath>
            <w:r w:rsidRPr="00BB2AF2">
              <w:rPr>
                <w:rFonts w:eastAsiaTheme="minorEastAsia"/>
                <w:lang w:eastAsia="ko-KR"/>
              </w:rPr>
              <w:t xml:space="preserve">. The difference is </w:t>
            </w:r>
            <w:r>
              <w:rPr>
                <w:rFonts w:eastAsiaTheme="minorEastAsia"/>
                <w:lang w:eastAsia="ko-KR"/>
              </w:rPr>
              <w:t>that the scaling factor</w:t>
            </w:r>
            <w:r w:rsidRPr="00BB2AF2">
              <w:rPr>
                <w:rFonts w:eastAsiaTheme="minorEastAsia"/>
                <w:lang w:eastAsia="ko-KR"/>
              </w:rPr>
              <w:t xml:space="preserve"> is no larger than 1 in Rel-15/16 to decrease TBS, but </w:t>
            </w:r>
            <w:r>
              <w:rPr>
                <w:rFonts w:eastAsiaTheme="minorEastAsia"/>
                <w:lang w:eastAsia="ko-KR"/>
              </w:rPr>
              <w:t xml:space="preserve">the scaling factor </w:t>
            </w:r>
            <w:r w:rsidRPr="00BB2AF2">
              <w:rPr>
                <w:rFonts w:eastAsiaTheme="minorEastAsia"/>
                <w:lang w:eastAsia="ko-KR"/>
              </w:rPr>
              <w:t>is no smaller than 1 in TBoMS to increase TBS.</w:t>
            </w:r>
            <w:r>
              <w:rPr>
                <w:rFonts w:eastAsiaTheme="minorEastAsia"/>
                <w:lang w:eastAsia="ko-KR"/>
              </w:rPr>
              <w:t xml:space="preserve"> Thus, Approach 2 can be applied with less specification impact.</w:t>
            </w:r>
          </w:p>
        </w:tc>
      </w:tr>
      <w:tr w:rsidR="00A51D9C" w14:paraId="4EB9ADE3" w14:textId="77777777" w:rsidTr="005F77DC">
        <w:tc>
          <w:tcPr>
            <w:tcW w:w="2174" w:type="dxa"/>
          </w:tcPr>
          <w:p w14:paraId="64A555C6" w14:textId="687F63BD" w:rsidR="00A51D9C" w:rsidRDefault="00A51D9C" w:rsidP="00A51D9C">
            <w:pPr>
              <w:jc w:val="both"/>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9" w:type="dxa"/>
          </w:tcPr>
          <w:p w14:paraId="7A224164" w14:textId="77777777" w:rsidR="00A51D9C" w:rsidRDefault="00A51D9C" w:rsidP="00A51D9C">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pproach 2 is actually a more specific way to realize the Approach 1. </w:t>
            </w:r>
          </w:p>
          <w:p w14:paraId="35D886D7" w14:textId="0F33A393" w:rsidR="00A51D9C" w:rsidRDefault="00A51D9C" w:rsidP="00A51D9C">
            <w:pPr>
              <w:spacing w:after="0"/>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f0"/>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479F4B5" w14:textId="77777777" w:rsidR="005F77DC" w:rsidRDefault="00162177">
      <w:pPr>
        <w:pStyle w:val="aff0"/>
        <w:numPr>
          <w:ilvl w:val="2"/>
          <w:numId w:val="8"/>
        </w:numPr>
        <w:jc w:val="both"/>
        <w:rPr>
          <w:sz w:val="22"/>
          <w:szCs w:val="22"/>
          <w:lang w:val="en-US"/>
        </w:rPr>
      </w:pPr>
      <w:r>
        <w:rPr>
          <w:rFonts w:eastAsia="宋体"/>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lastRenderedPageBreak/>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ED005B"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84131C">
            <w:pPr>
              <w:pStyle w:val="aff0"/>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lang w:eastAsia="ja-JP"/>
              </w:rPr>
            </w:pPr>
            <w:r w:rsidRPr="00CC0FDD">
              <w:rPr>
                <w:rFonts w:eastAsia="MS Mincho"/>
                <w:lang w:eastAsia="ja-JP"/>
              </w:rPr>
              <w:lastRenderedPageBreak/>
              <w:t>Huawei, HiSilicon</w:t>
            </w:r>
          </w:p>
        </w:tc>
        <w:tc>
          <w:tcPr>
            <w:tcW w:w="7451" w:type="dxa"/>
          </w:tcPr>
          <w:p w14:paraId="6106DB53" w14:textId="31FF81FC" w:rsidR="00E17170" w:rsidRDefault="00E17170" w:rsidP="00E17170">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MS Mincho"/>
                <w:lang w:eastAsia="ja-JP"/>
              </w:rPr>
            </w:pPr>
            <w:r>
              <w:rPr>
                <w:rFonts w:eastAsia="MS Mincho"/>
                <w:lang w:eastAsia="ja-JP"/>
              </w:rPr>
              <w:t>IITH, IITM, CEWIT, Reliance Jio, Tejas Networks</w:t>
            </w:r>
          </w:p>
        </w:tc>
        <w:tc>
          <w:tcPr>
            <w:tcW w:w="7451" w:type="dxa"/>
          </w:tcPr>
          <w:p w14:paraId="7D04A815" w14:textId="55B9C090" w:rsidR="003F03AA" w:rsidRDefault="003F03AA" w:rsidP="003F03AA">
            <w:pPr>
              <w:jc w:val="both"/>
              <w:rPr>
                <w:rFonts w:eastAsia="MS Mincho"/>
                <w:lang w:eastAsia="ja-JP"/>
              </w:rPr>
            </w:pPr>
            <w:r>
              <w:rPr>
                <w:rFonts w:eastAsia="MS Mincho"/>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MS Mincho"/>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MS Mincho"/>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lang w:eastAsia="zh-CN"/>
              </w:rPr>
            </w:pPr>
            <w:r>
              <w:rPr>
                <w:rFonts w:eastAsia="MS Mincho"/>
                <w:lang w:eastAsia="ja-JP"/>
              </w:rPr>
              <w:t>NEC</w:t>
            </w:r>
          </w:p>
        </w:tc>
        <w:tc>
          <w:tcPr>
            <w:tcW w:w="7451" w:type="dxa"/>
          </w:tcPr>
          <w:p w14:paraId="166B4A94" w14:textId="63763C79" w:rsidR="00CD6664" w:rsidRDefault="00CD6664" w:rsidP="00CD6664">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3266A0" w14:paraId="72C498C8" w14:textId="77777777" w:rsidTr="005F77DC">
        <w:tc>
          <w:tcPr>
            <w:tcW w:w="2172" w:type="dxa"/>
          </w:tcPr>
          <w:p w14:paraId="657DFA97" w14:textId="20DF5D22" w:rsidR="003266A0" w:rsidRPr="003266A0" w:rsidRDefault="003266A0" w:rsidP="00CD6664">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2D034D98" w14:textId="5D594A29" w:rsidR="003266A0" w:rsidRDefault="003266A0" w:rsidP="00CD6664">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353CAC" w14:paraId="6F681612" w14:textId="77777777" w:rsidTr="005F77DC">
        <w:tc>
          <w:tcPr>
            <w:tcW w:w="2172" w:type="dxa"/>
          </w:tcPr>
          <w:p w14:paraId="3FBA2DE0" w14:textId="181BBA85" w:rsidR="00353CAC" w:rsidRDefault="00353CAC" w:rsidP="00353CAC">
            <w:pPr>
              <w:jc w:val="center"/>
              <w:rPr>
                <w:rFonts w:eastAsia="Malgun Gothic"/>
                <w:lang w:eastAsia="ko-KR"/>
              </w:rPr>
            </w:pPr>
            <w:r>
              <w:rPr>
                <w:rFonts w:eastAsiaTheme="minorEastAsia" w:hint="eastAsia"/>
                <w:lang w:eastAsia="zh-CN"/>
              </w:rPr>
              <w:t>C</w:t>
            </w:r>
            <w:r>
              <w:rPr>
                <w:rFonts w:eastAsiaTheme="minorEastAsia"/>
                <w:lang w:eastAsia="zh-CN"/>
              </w:rPr>
              <w:t>MCC</w:t>
            </w:r>
          </w:p>
        </w:tc>
        <w:tc>
          <w:tcPr>
            <w:tcW w:w="7451" w:type="dxa"/>
          </w:tcPr>
          <w:p w14:paraId="7ACF47B8" w14:textId="77777777" w:rsidR="00353CAC" w:rsidRDefault="00353CAC" w:rsidP="00353CAC">
            <w:pPr>
              <w:jc w:val="both"/>
              <w:rPr>
                <w:rFonts w:eastAsiaTheme="minorEastAsia"/>
                <w:lang w:eastAsia="zh-CN"/>
              </w:rPr>
            </w:pPr>
            <w:r>
              <w:rPr>
                <w:rFonts w:eastAsiaTheme="minorEastAsia"/>
                <w:lang w:eastAsia="zh-CN"/>
              </w:rPr>
              <w:t xml:space="preserve">Fine with the proposal. </w:t>
            </w:r>
          </w:p>
          <w:p w14:paraId="647ECC14" w14:textId="7CFF6204" w:rsidR="00353CAC" w:rsidRDefault="00353CAC" w:rsidP="00353CAC">
            <w:pPr>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0"/>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f0"/>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f0"/>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f0"/>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lastRenderedPageBreak/>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0"/>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ED005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f0"/>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0"/>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ED005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0"/>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0"/>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lastRenderedPageBreak/>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529"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0"/>
              <w:ind w:left="2940"/>
              <w:jc w:val="both"/>
              <w:rPr>
                <w:sz w:val="22"/>
                <w:szCs w:val="22"/>
                <w:lang w:val="en-US" w:eastAsia="zh-CN"/>
              </w:rPr>
            </w:pPr>
          </w:p>
          <w:p w14:paraId="08F8F654"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0"/>
              <w:ind w:left="2940"/>
              <w:jc w:val="both"/>
              <w:rPr>
                <w:color w:val="0070C0"/>
                <w:sz w:val="22"/>
                <w:szCs w:val="22"/>
                <w:lang w:val="en-US" w:eastAsia="zh-CN"/>
              </w:rPr>
            </w:pPr>
          </w:p>
          <w:p w14:paraId="1954F5AB" w14:textId="77777777" w:rsidR="005F77DC" w:rsidRDefault="00ED005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f0"/>
              <w:numPr>
                <w:ilvl w:val="2"/>
                <w:numId w:val="16"/>
              </w:numPr>
              <w:jc w:val="both"/>
              <w:rPr>
                <w:sz w:val="24"/>
                <w:szCs w:val="24"/>
                <w:lang w:val="en-US" w:eastAsia="zh-CN"/>
              </w:rPr>
            </w:pPr>
            <w:r>
              <w:rPr>
                <w:sz w:val="22"/>
                <w:szCs w:val="22"/>
              </w:rPr>
              <w:t xml:space="preserve">The PUSCH repetition type A and RV cycling framework in R15/R16 is repurposed for TBoMS </w:t>
            </w:r>
            <w:r>
              <w:rPr>
                <w:sz w:val="22"/>
                <w:szCs w:val="22"/>
              </w:rPr>
              <w:lastRenderedPageBreak/>
              <w:t>transmission across multiple transmission occasions.</w:t>
            </w:r>
          </w:p>
          <w:p w14:paraId="13B75810"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0"/>
              <w:ind w:left="2940"/>
              <w:jc w:val="both"/>
              <w:rPr>
                <w:color w:val="FF0000"/>
                <w:sz w:val="22"/>
                <w:szCs w:val="22"/>
                <w:lang w:val="en-US" w:eastAsia="zh-CN"/>
              </w:rPr>
            </w:pPr>
          </w:p>
          <w:p w14:paraId="5C488FDC"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0"/>
              <w:ind w:left="2940"/>
              <w:jc w:val="both"/>
              <w:rPr>
                <w:color w:val="0070C0"/>
                <w:sz w:val="22"/>
                <w:szCs w:val="22"/>
                <w:lang w:val="en-US" w:eastAsia="zh-CN"/>
              </w:rPr>
            </w:pPr>
          </w:p>
          <w:p w14:paraId="7FDEB8D1" w14:textId="77777777" w:rsidR="005F77DC" w:rsidRDefault="00ED005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529"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extending the time domain resource. Further, overhead reduction can be obtained. We may also consider </w:t>
            </w:r>
            <w:r>
              <w:rPr>
                <w:lang w:eastAsia="zh-CN"/>
              </w:rPr>
              <w:lastRenderedPageBreak/>
              <w:t>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lastRenderedPageBreak/>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f0"/>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aff0"/>
              <w:numPr>
                <w:ilvl w:val="0"/>
                <w:numId w:val="52"/>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f0"/>
              <w:numPr>
                <w:ilvl w:val="0"/>
                <w:numId w:val="52"/>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w:t>
            </w:r>
            <w:r>
              <w:rPr>
                <w:rFonts w:eastAsia="MS Mincho"/>
                <w:lang w:eastAsia="ja-JP"/>
              </w:rPr>
              <w:lastRenderedPageBreak/>
              <w:t>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f0"/>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lastRenderedPageBreak/>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529"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MS Mincho"/>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MS Mincho"/>
                <w:lang w:eastAsia="ja-JP"/>
              </w:rPr>
              <w:t>IITH, IITM, CEWIT, Reliance Jio, Tejas Networks</w:t>
            </w:r>
          </w:p>
        </w:tc>
        <w:tc>
          <w:tcPr>
            <w:tcW w:w="7529" w:type="dxa"/>
          </w:tcPr>
          <w:p w14:paraId="062E3AE5" w14:textId="1EB97081" w:rsidR="00763033" w:rsidRDefault="00763033" w:rsidP="00763033">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MS Mincho"/>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MS Mincho"/>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50C0C29F" w:rsidR="00CD6664" w:rsidRPr="0041234B" w:rsidRDefault="0041234B" w:rsidP="00763033">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2D474752" w14:textId="530556C9" w:rsidR="00CD6664" w:rsidRDefault="0041234B" w:rsidP="00763033">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C20A6" w14:paraId="4F757FA5" w14:textId="77777777" w:rsidTr="00763033">
        <w:tc>
          <w:tcPr>
            <w:tcW w:w="2094" w:type="dxa"/>
          </w:tcPr>
          <w:p w14:paraId="3553AA16" w14:textId="44648616" w:rsidR="00EC20A6" w:rsidRDefault="00EC20A6" w:rsidP="00EC20A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529" w:type="dxa"/>
          </w:tcPr>
          <w:p w14:paraId="5F78D507" w14:textId="77777777" w:rsidR="00EC20A6" w:rsidRDefault="00EC20A6" w:rsidP="00EC20A6">
            <w:pPr>
              <w:jc w:val="both"/>
              <w:rPr>
                <w:rFonts w:eastAsiaTheme="minorEastAsia"/>
                <w:lang w:eastAsia="zh-CN"/>
              </w:rPr>
            </w:pPr>
            <w:r>
              <w:rPr>
                <w:rFonts w:eastAsiaTheme="minorEastAsia"/>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99161FB"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We cannot accept that the TBoMS is an extension of Type A repetition. However, beside the 1</w:t>
            </w:r>
            <w:r w:rsidRPr="00335384">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14:paraId="1968BE5E"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lastRenderedPageBreak/>
              <w:t>Could FL provide more illustrations why TBoMS could have a chance to be the extension or enhancement of repetition Type A.</w:t>
            </w:r>
          </w:p>
          <w:p w14:paraId="625BCA01" w14:textId="77777777" w:rsidR="00EC20A6" w:rsidRDefault="00EC20A6" w:rsidP="00EC20A6">
            <w:pPr>
              <w:jc w:val="both"/>
              <w:rPr>
                <w:rFonts w:eastAsiaTheme="minorEastAsia"/>
                <w:lang w:eastAsia="zh-CN"/>
              </w:rPr>
            </w:pPr>
            <w:r>
              <w:rPr>
                <w:rFonts w:eastAsiaTheme="minorEastAsia"/>
                <w:lang w:eastAsia="zh-CN"/>
              </w:rPr>
              <w:t>For the Approach 2, we share the view that TBoMS is a new feature. But currently we do not have any conclusion of TBoMS will share the indication of Type A/B.</w:t>
            </w:r>
          </w:p>
          <w:p w14:paraId="65B0ECB3" w14:textId="7661687E" w:rsidR="00EC20A6" w:rsidRDefault="00EC20A6" w:rsidP="00EC20A6">
            <w:pPr>
              <w:jc w:val="both"/>
              <w:rPr>
                <w:rFonts w:eastAsia="Malgun Gothic"/>
                <w:lang w:eastAsia="ko-KR"/>
              </w:rPr>
            </w:pPr>
            <w:r>
              <w:rPr>
                <w:rFonts w:eastAsiaTheme="minorEastAsia"/>
                <w:lang w:eastAsia="zh-CN"/>
              </w:rPr>
              <w:t xml:space="preserve">The discussion related to RV should be in section 2.4.5. We can focus on the relations between TBoMS and repetitions in this section. </w:t>
            </w:r>
          </w:p>
        </w:tc>
      </w:tr>
      <w:tr w:rsidR="002134F8" w14:paraId="5B230944" w14:textId="77777777" w:rsidTr="002134F8">
        <w:tc>
          <w:tcPr>
            <w:tcW w:w="2094" w:type="dxa"/>
          </w:tcPr>
          <w:p w14:paraId="53B83E48" w14:textId="15EC8BB3" w:rsidR="002134F8" w:rsidRDefault="002134F8" w:rsidP="001510AA">
            <w:pPr>
              <w:jc w:val="both"/>
              <w:rPr>
                <w:rFonts w:eastAsia="Malgun Gothic"/>
                <w:lang w:eastAsia="ko-KR"/>
              </w:rPr>
            </w:pPr>
            <w:r>
              <w:rPr>
                <w:rFonts w:eastAsia="Malgun Gothic"/>
                <w:lang w:eastAsia="ko-KR"/>
              </w:rPr>
              <w:lastRenderedPageBreak/>
              <w:t>OPPO</w:t>
            </w:r>
            <w:r w:rsidR="00DF568B">
              <w:rPr>
                <w:rFonts w:eastAsia="Malgun Gothic"/>
                <w:lang w:eastAsia="ko-KR"/>
              </w:rPr>
              <w:t>2</w:t>
            </w:r>
          </w:p>
        </w:tc>
        <w:tc>
          <w:tcPr>
            <w:tcW w:w="7529" w:type="dxa"/>
          </w:tcPr>
          <w:p w14:paraId="5E3A3648" w14:textId="77777777" w:rsidR="002134F8" w:rsidRDefault="002134F8" w:rsidP="001510AA">
            <w:pPr>
              <w:jc w:val="both"/>
              <w:rPr>
                <w:rFonts w:eastAsia="Malgun Gothic"/>
                <w:lang w:eastAsia="ko-KR"/>
              </w:rPr>
            </w:pPr>
            <w:r>
              <w:rPr>
                <w:rFonts w:eastAsia="Malgun Gothic"/>
                <w:lang w:eastAsia="ko-KR"/>
              </w:rPr>
              <w:t>We think the Approach 1 is the right within the Scope.</w:t>
            </w:r>
          </w:p>
          <w:p w14:paraId="7A415819" w14:textId="77777777" w:rsidR="002134F8" w:rsidRDefault="002134F8" w:rsidP="001510AA">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37DD9F29" w14:textId="77777777" w:rsidR="002134F8" w:rsidRDefault="002134F8" w:rsidP="001510AA">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4C2FA6E9" w14:textId="77777777" w:rsidR="002134F8" w:rsidRDefault="002134F8" w:rsidP="001510AA">
            <w:pPr>
              <w:jc w:val="both"/>
              <w:rPr>
                <w:rFonts w:eastAsia="Malgun Gothic"/>
                <w:lang w:eastAsia="ko-KR"/>
              </w:rPr>
            </w:pPr>
            <w:r>
              <w:rPr>
                <w:rFonts w:eastAsia="Malgun Gothic"/>
                <w:lang w:eastAsia="ko-KR"/>
              </w:rPr>
              <w:t>For technical issues, we also agree the vivo and QC’s comment.</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0"/>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0"/>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0"/>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0"/>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0"/>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0"/>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f0"/>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0"/>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0"/>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F95D4F" w14:paraId="1984CA65" w14:textId="77777777" w:rsidTr="005F77DC">
        <w:tc>
          <w:tcPr>
            <w:tcW w:w="2173" w:type="dxa"/>
          </w:tcPr>
          <w:p w14:paraId="0307439E" w14:textId="39F05AE1" w:rsidR="00F95D4F" w:rsidRPr="00F95D4F" w:rsidRDefault="00F95D4F" w:rsidP="00F95D4F">
            <w:pPr>
              <w:jc w:val="both"/>
              <w:rPr>
                <w:lang w:eastAsia="zh-CN"/>
              </w:rPr>
            </w:pPr>
            <w:r>
              <w:rPr>
                <w:rFonts w:hint="eastAsia"/>
                <w:lang w:eastAsia="zh-CN"/>
              </w:rPr>
              <w:t>C</w:t>
            </w:r>
            <w:r>
              <w:rPr>
                <w:lang w:eastAsia="zh-CN"/>
              </w:rPr>
              <w:t>MCC</w:t>
            </w:r>
          </w:p>
        </w:tc>
        <w:tc>
          <w:tcPr>
            <w:tcW w:w="7450" w:type="dxa"/>
          </w:tcPr>
          <w:p w14:paraId="48B9C343" w14:textId="54DB4B5E" w:rsidR="00F95D4F" w:rsidRDefault="00F95D4F" w:rsidP="00F95D4F">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0"/>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0"/>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0"/>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0"/>
        <w:numPr>
          <w:ilvl w:val="0"/>
          <w:numId w:val="19"/>
        </w:numPr>
        <w:jc w:val="both"/>
        <w:rPr>
          <w:sz w:val="22"/>
          <w:szCs w:val="22"/>
          <w:lang w:eastAsia="zh-CN"/>
        </w:rPr>
      </w:pPr>
      <w:r>
        <w:rPr>
          <w:sz w:val="22"/>
          <w:szCs w:val="22"/>
          <w:lang w:eastAsia="zh-CN"/>
        </w:rPr>
        <w:lastRenderedPageBreak/>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0"/>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0"/>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f0"/>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0"/>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0"/>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0"/>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0"/>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f0"/>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0"/>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0"/>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f0"/>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lastRenderedPageBreak/>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lastRenderedPageBreak/>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lastRenderedPageBreak/>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f0"/>
              <w:numPr>
                <w:ilvl w:val="0"/>
                <w:numId w:val="53"/>
              </w:numPr>
              <w:jc w:val="both"/>
            </w:pPr>
            <w:r>
              <w:t>Every slot boundary</w:t>
            </w:r>
          </w:p>
          <w:p w14:paraId="5C8E4B9D" w14:textId="77777777" w:rsidR="00204357" w:rsidRDefault="00204357" w:rsidP="00204357">
            <w:pPr>
              <w:pStyle w:val="aff0"/>
              <w:numPr>
                <w:ilvl w:val="0"/>
                <w:numId w:val="53"/>
              </w:numPr>
              <w:jc w:val="both"/>
            </w:pPr>
            <w:r>
              <w:t>Every time a transmission jumps across non-contiguous resources</w:t>
            </w:r>
          </w:p>
          <w:p w14:paraId="59F7A844" w14:textId="77777777" w:rsidR="00204357" w:rsidRDefault="00204357" w:rsidP="00204357">
            <w:pPr>
              <w:pStyle w:val="aff0"/>
              <w:numPr>
                <w:ilvl w:val="0"/>
                <w:numId w:val="53"/>
              </w:numPr>
              <w:jc w:val="both"/>
            </w:pPr>
            <w:r>
              <w:t>Every repetition</w:t>
            </w:r>
          </w:p>
          <w:p w14:paraId="0CFF1791" w14:textId="77777777" w:rsidR="00204357" w:rsidRDefault="00204357" w:rsidP="00204357">
            <w:pPr>
              <w:pStyle w:val="aff0"/>
              <w:numPr>
                <w:ilvl w:val="0"/>
                <w:numId w:val="53"/>
              </w:numPr>
              <w:jc w:val="both"/>
            </w:pPr>
            <w:r>
              <w:t>Every transmission occasion of a TBoMS</w:t>
            </w:r>
          </w:p>
          <w:p w14:paraId="3137C781" w14:textId="77777777" w:rsidR="00204357" w:rsidRDefault="00204357" w:rsidP="00204357">
            <w:pPr>
              <w:pStyle w:val="aff0"/>
              <w:numPr>
                <w:ilvl w:val="0"/>
                <w:numId w:val="53"/>
              </w:numPr>
              <w:jc w:val="both"/>
            </w:pPr>
            <w:r>
              <w:t>…</w:t>
            </w:r>
          </w:p>
          <w:p w14:paraId="43ED71AF" w14:textId="77777777" w:rsidR="00204357" w:rsidRDefault="00204357" w:rsidP="00204357">
            <w:pPr>
              <w:pStyle w:val="aff0"/>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f0"/>
              <w:numPr>
                <w:ilvl w:val="0"/>
                <w:numId w:val="54"/>
              </w:numPr>
              <w:jc w:val="both"/>
            </w:pPr>
            <w:r>
              <w:t xml:space="preserve">Per slot </w:t>
            </w:r>
          </w:p>
          <w:p w14:paraId="0F5BB66C" w14:textId="77777777" w:rsidR="00204357" w:rsidRDefault="00204357" w:rsidP="00204357">
            <w:pPr>
              <w:pStyle w:val="aff0"/>
              <w:numPr>
                <w:ilvl w:val="0"/>
                <w:numId w:val="54"/>
              </w:numPr>
              <w:jc w:val="both"/>
            </w:pPr>
            <w:r>
              <w:t xml:space="preserve">Per transmission occasion </w:t>
            </w:r>
          </w:p>
          <w:p w14:paraId="4C72122B" w14:textId="77777777" w:rsidR="00204357" w:rsidRDefault="00204357" w:rsidP="00204357">
            <w:pPr>
              <w:pStyle w:val="aff0"/>
              <w:numPr>
                <w:ilvl w:val="0"/>
                <w:numId w:val="54"/>
              </w:numPr>
              <w:jc w:val="both"/>
            </w:pPr>
            <w:r>
              <w:t>For every set of contiguous resources</w:t>
            </w:r>
          </w:p>
          <w:p w14:paraId="4F2FD9A8" w14:textId="77777777" w:rsidR="00204357" w:rsidRDefault="00204357" w:rsidP="00204357">
            <w:pPr>
              <w:pStyle w:val="aff0"/>
              <w:numPr>
                <w:ilvl w:val="0"/>
                <w:numId w:val="54"/>
              </w:numPr>
              <w:jc w:val="both"/>
            </w:pPr>
            <w:r>
              <w:t>…</w:t>
            </w:r>
          </w:p>
          <w:p w14:paraId="79BDDA4B" w14:textId="77777777" w:rsidR="00204357" w:rsidRDefault="00204357" w:rsidP="00204357">
            <w:pPr>
              <w:pStyle w:val="aff0"/>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lang w:eastAsia="ja-JP"/>
              </w:rPr>
            </w:pPr>
            <w:r>
              <w:rPr>
                <w:rFonts w:hint="eastAsia"/>
                <w:lang w:eastAsia="zh-CN"/>
              </w:rPr>
              <w:lastRenderedPageBreak/>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MS Mincho"/>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CD6664" w14:paraId="4FDD28B0" w14:textId="77777777" w:rsidTr="005F77DC">
        <w:tc>
          <w:tcPr>
            <w:tcW w:w="2175" w:type="dxa"/>
          </w:tcPr>
          <w:p w14:paraId="7438A62E" w14:textId="78C5BE1D" w:rsidR="00CD6664" w:rsidRDefault="00CD6664" w:rsidP="00CD6664">
            <w:pPr>
              <w:jc w:val="both"/>
              <w:rPr>
                <w:lang w:eastAsia="zh-CN"/>
              </w:rPr>
            </w:pPr>
            <w:r>
              <w:rPr>
                <w:rFonts w:eastAsia="MS Mincho"/>
                <w:lang w:eastAsia="ja-JP"/>
              </w:rPr>
              <w:t>NEC</w:t>
            </w:r>
          </w:p>
        </w:tc>
        <w:tc>
          <w:tcPr>
            <w:tcW w:w="7448" w:type="dxa"/>
          </w:tcPr>
          <w:p w14:paraId="3C4C22BB" w14:textId="551B56A5" w:rsidR="00CD6664" w:rsidRDefault="00CD6664" w:rsidP="00CD6664">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41234B" w14:paraId="706E1ADE" w14:textId="77777777" w:rsidTr="005F77DC">
        <w:tc>
          <w:tcPr>
            <w:tcW w:w="2175" w:type="dxa"/>
          </w:tcPr>
          <w:p w14:paraId="3B6EF30A" w14:textId="14A24BB1" w:rsidR="0041234B" w:rsidRPr="0041234B" w:rsidRDefault="0041234B"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A6E9C47" w14:textId="6CA9DD7D" w:rsidR="0041234B" w:rsidRDefault="0041234B" w:rsidP="00CD6664">
            <w:pPr>
              <w:jc w:val="both"/>
              <w:rPr>
                <w:rFonts w:eastAsia="MS Mincho"/>
                <w:lang w:eastAsia="ja-JP"/>
              </w:rPr>
            </w:pPr>
            <w:r>
              <w:rPr>
                <w:rFonts w:eastAsia="Malgun Gothic"/>
                <w:lang w:eastAsia="ko-KR"/>
              </w:rPr>
              <w:t xml:space="preserve">To achieve higher coverage gain, we prefer to support </w:t>
            </w:r>
            <w:r w:rsidRPr="000E23AF">
              <w:rPr>
                <w:rFonts w:eastAsia="Malgun Gothic"/>
                <w:lang w:eastAsia="ko-KR"/>
              </w:rPr>
              <w:t>single RV and continuous rate-matching over multiple slots for TBoMS</w:t>
            </w:r>
            <w:r>
              <w:rPr>
                <w:rFonts w:eastAsia="Malgun Gothic"/>
                <w:lang w:eastAsia="ko-KR"/>
              </w:rPr>
              <w:t xml:space="preserve"> as a baseline</w:t>
            </w:r>
            <w:r w:rsidRPr="000E23AF">
              <w:rPr>
                <w:rFonts w:eastAsia="Malgun Gothic"/>
                <w:lang w:eastAsia="ko-KR"/>
              </w:rPr>
              <w:t>.</w:t>
            </w:r>
            <w:r>
              <w:rPr>
                <w:rFonts w:eastAsia="Malgun Gothic"/>
                <w:lang w:eastAsia="ko-KR"/>
              </w:rPr>
              <w:t xml:space="preserve"> Also, as we commented in 2.4.1, TBoMS is not an extension of PUSCH repetition where multiple RVs are applied.</w:t>
            </w:r>
          </w:p>
        </w:tc>
      </w:tr>
      <w:tr w:rsidR="000654F5" w14:paraId="48AA6A53" w14:textId="77777777" w:rsidTr="005F77DC">
        <w:tc>
          <w:tcPr>
            <w:tcW w:w="2175" w:type="dxa"/>
          </w:tcPr>
          <w:p w14:paraId="476400B5" w14:textId="71EC9DE0" w:rsidR="000654F5" w:rsidRDefault="000654F5" w:rsidP="000654F5">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1D719F86" w14:textId="77777777" w:rsidR="000654F5" w:rsidRDefault="000654F5" w:rsidP="000654F5">
            <w:pPr>
              <w:jc w:val="both"/>
              <w:rPr>
                <w:rFonts w:eastAsiaTheme="minorEastAsia"/>
                <w:lang w:eastAsia="zh-CN"/>
              </w:rPr>
            </w:pPr>
            <w:r>
              <w:rPr>
                <w:rFonts w:eastAsiaTheme="minorEastAsia"/>
                <w:lang w:eastAsia="zh-CN"/>
              </w:rPr>
              <w:t xml:space="preserve">Single RV could be a staring point. As mentioned in section 2.4.1, we do not think the TBoMS is an extension or enhancement of repetition. </w:t>
            </w:r>
          </w:p>
          <w:p w14:paraId="627BF672" w14:textId="2B01A8FA" w:rsidR="000654F5" w:rsidRDefault="000654F5" w:rsidP="000654F5">
            <w:pPr>
              <w:jc w:val="both"/>
              <w:rPr>
                <w:rFonts w:eastAsia="Malgun Gothic"/>
                <w:lang w:eastAsia="ko-KR"/>
              </w:rPr>
            </w:pPr>
            <w:r>
              <w:rPr>
                <w:rFonts w:eastAsiaTheme="minorEastAsia"/>
                <w:lang w:eastAsia="zh-CN"/>
              </w:rPr>
              <w:t>Rate matching should be discussed to deal with the collision issues.</w:t>
            </w:r>
          </w:p>
        </w:tc>
      </w:tr>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0"/>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0"/>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0"/>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0"/>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0"/>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0"/>
        <w:numPr>
          <w:ilvl w:val="0"/>
          <w:numId w:val="23"/>
        </w:numPr>
        <w:jc w:val="both"/>
        <w:rPr>
          <w:sz w:val="22"/>
          <w:szCs w:val="22"/>
          <w:lang w:eastAsia="zh-CN"/>
        </w:rPr>
      </w:pPr>
      <w:r>
        <w:rPr>
          <w:sz w:val="22"/>
          <w:szCs w:val="22"/>
          <w:lang w:eastAsia="zh-CN"/>
        </w:rPr>
        <w:lastRenderedPageBreak/>
        <w:t>Two companies (vivo [6], Qualcomm [17]) proposed that TBoMS should be limited to single-layer transmission.</w:t>
      </w:r>
    </w:p>
    <w:p w14:paraId="326A4B23" w14:textId="77777777" w:rsidR="005F77DC" w:rsidRDefault="005F77DC">
      <w:pPr>
        <w:pStyle w:val="aff0"/>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0"/>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0"/>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f0"/>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0"/>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0"/>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0"/>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f0"/>
        <w:jc w:val="both"/>
        <w:rPr>
          <w:sz w:val="22"/>
          <w:szCs w:val="22"/>
          <w:lang w:eastAsia="zh-CN"/>
        </w:rPr>
      </w:pPr>
    </w:p>
    <w:p w14:paraId="00AEFEF5" w14:textId="77777777" w:rsidR="005F77DC" w:rsidRDefault="005F77DC">
      <w:pPr>
        <w:pStyle w:val="aff0"/>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0"/>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f0"/>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0"/>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0"/>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0116DE1" w14:textId="77777777" w:rsidR="005F77DC" w:rsidRDefault="00162177">
      <w:pPr>
        <w:pStyle w:val="aff0"/>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0"/>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0"/>
        <w:numPr>
          <w:ilvl w:val="0"/>
          <w:numId w:val="27"/>
        </w:numPr>
        <w:ind w:left="567" w:hanging="567"/>
        <w:jc w:val="both"/>
        <w:rPr>
          <w:sz w:val="22"/>
          <w:szCs w:val="22"/>
          <w:lang w:eastAsia="zh-CN"/>
        </w:rPr>
      </w:pPr>
      <w:r>
        <w:rPr>
          <w:sz w:val="22"/>
          <w:szCs w:val="22"/>
          <w:lang w:eastAsia="zh-CN"/>
        </w:rPr>
        <w:tab/>
      </w:r>
      <w:bookmarkStart w:id="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
    </w:p>
    <w:p w14:paraId="4FF25054" w14:textId="77777777" w:rsidR="005F77DC" w:rsidRDefault="00162177">
      <w:pPr>
        <w:pStyle w:val="aff0"/>
        <w:numPr>
          <w:ilvl w:val="0"/>
          <w:numId w:val="27"/>
        </w:numPr>
        <w:ind w:left="567" w:hanging="567"/>
        <w:jc w:val="both"/>
        <w:rPr>
          <w:sz w:val="22"/>
          <w:szCs w:val="22"/>
          <w:lang w:eastAsia="zh-CN"/>
        </w:rPr>
      </w:pPr>
      <w:bookmarkStart w:id="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4"/>
    </w:p>
    <w:p w14:paraId="1E007A4A"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0"/>
        <w:numPr>
          <w:ilvl w:val="0"/>
          <w:numId w:val="27"/>
        </w:numPr>
        <w:ind w:left="567" w:hanging="567"/>
        <w:jc w:val="both"/>
        <w:rPr>
          <w:sz w:val="22"/>
          <w:szCs w:val="22"/>
          <w:lang w:eastAsia="zh-CN"/>
        </w:rPr>
      </w:pPr>
      <w:bookmarkStart w:id="5"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5"/>
      <w:r>
        <w:rPr>
          <w:sz w:val="22"/>
          <w:szCs w:val="22"/>
          <w:lang w:eastAsia="zh-CN"/>
        </w:rPr>
        <w:t>.</w:t>
      </w:r>
    </w:p>
    <w:p w14:paraId="43DFB4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6" w:name="_Hlk68797738"/>
            <w:r>
              <w:rPr>
                <w:rFonts w:ascii="Times New Roman" w:hAnsi="Times New Roman"/>
                <w:bCs/>
                <w:lang w:val="en-US" w:eastAsia="ja-JP"/>
              </w:rPr>
              <w:lastRenderedPageBreak/>
              <w:t>The number of slots is indicated/configured by using a row index of a TDRA list which is configured by RRC.</w:t>
            </w:r>
          </w:p>
          <w:bookmarkEnd w:id="6"/>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0"/>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0"/>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宋体"/>
                <w:bCs/>
                <w:sz w:val="22"/>
                <w:szCs w:val="22"/>
                <w:lang w:val="en-US" w:eastAsia="zh-CN"/>
              </w:rPr>
            </w:pPr>
            <w:bookmarkStart w:id="7"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7"/>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5ED601" w14:textId="77777777" w:rsidR="005F77DC" w:rsidRDefault="0016217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0"/>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宋体"/>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lastRenderedPageBreak/>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8"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lastRenderedPageBreak/>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9"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0"/>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0"/>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9"/>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0"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0"/>
          </w:p>
          <w:p w14:paraId="0173CBA3" w14:textId="77777777" w:rsidR="005F77DC" w:rsidRDefault="00162177">
            <w:pPr>
              <w:spacing w:after="0"/>
              <w:contextualSpacing/>
              <w:jc w:val="both"/>
              <w:rPr>
                <w:sz w:val="22"/>
                <w:szCs w:val="22"/>
                <w:lang w:val="en-US"/>
              </w:rPr>
            </w:pPr>
            <w:bookmarkStart w:id="11" w:name="_Toc68630589"/>
            <w:r>
              <w:rPr>
                <w:sz w:val="22"/>
                <w:szCs w:val="22"/>
                <w:u w:val="single"/>
                <w:lang w:val="en-US"/>
              </w:rPr>
              <w:lastRenderedPageBreak/>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1"/>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a"/>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lastRenderedPageBreak/>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12"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宋体" w:hAnsi="Times New Roman" w:cs="Times New Roman"/>
              </w:rPr>
            </w:pPr>
          </w:p>
          <w:bookmarkEnd w:id="12"/>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lastRenderedPageBreak/>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ED005B">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3"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3"/>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4"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4"/>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0"/>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lastRenderedPageBreak/>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5"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5"/>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lastRenderedPageBreak/>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f0"/>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6"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6"/>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f0"/>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0"/>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7"/>
          </w:p>
          <w:p w14:paraId="6899154A" w14:textId="77777777" w:rsidR="005F77DC" w:rsidRDefault="00162177">
            <w:pPr>
              <w:pStyle w:val="a6"/>
              <w:spacing w:before="0" w:after="0"/>
              <w:contextualSpacing/>
              <w:jc w:val="both"/>
              <w:rPr>
                <w:rFonts w:ascii="Times New Roman" w:hAnsi="Times New Roman" w:cs="Times New Roman"/>
                <w:b w:val="0"/>
              </w:rPr>
            </w:pPr>
            <w:bookmarkStart w:id="18"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8"/>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lastRenderedPageBreak/>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324BB52C"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等线"/>
                <w:sz w:val="22"/>
                <w:szCs w:val="22"/>
                <w:lang w:val="en-US" w:eastAsia="zh-CN"/>
              </w:rPr>
            </w:pPr>
          </w:p>
          <w:p w14:paraId="79CF5981" w14:textId="77777777" w:rsidR="005F77DC" w:rsidRDefault="0016217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22A9A5B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19"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9"/>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等线"/>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lastRenderedPageBreak/>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0"/>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宋体" w:hAnsi="Times New Roman" w:cs="Times New Roman"/>
                <w:bCs/>
              </w:rPr>
            </w:pPr>
            <w:bookmarkStart w:id="20"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20"/>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lastRenderedPageBreak/>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宋体" w:hAnsi="Times New Roman" w:cs="Times New Roman"/>
                <w:bCs/>
              </w:rPr>
            </w:pPr>
            <w:bookmarkStart w:id="21"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21"/>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宋体"/>
                <w:bCs/>
                <w:sz w:val="22"/>
                <w:szCs w:val="22"/>
                <w:lang w:val="en-US"/>
              </w:rPr>
            </w:pPr>
          </w:p>
          <w:p w14:paraId="7CE2749D"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宋体"/>
                <w:bCs/>
                <w:sz w:val="22"/>
                <w:szCs w:val="22"/>
                <w:lang w:val="en-US"/>
              </w:rPr>
            </w:pPr>
          </w:p>
          <w:p w14:paraId="6D5CCF19"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宋体"/>
                <w:bCs/>
                <w:sz w:val="22"/>
                <w:szCs w:val="22"/>
                <w:lang w:val="en-US"/>
              </w:rPr>
            </w:pPr>
          </w:p>
          <w:p w14:paraId="5C65589F"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705A560"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999071D" w14:textId="77777777" w:rsidR="005F77DC" w:rsidRDefault="005F77DC">
            <w:pPr>
              <w:spacing w:after="0"/>
              <w:contextualSpacing/>
              <w:jc w:val="both"/>
              <w:rPr>
                <w:rFonts w:eastAsia="宋体"/>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宋体"/>
                <w:bCs/>
                <w:sz w:val="22"/>
                <w:szCs w:val="22"/>
                <w:lang w:val="en-US"/>
              </w:rPr>
            </w:pPr>
          </w:p>
          <w:p w14:paraId="65961554"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宋体"/>
                <w:bCs/>
                <w:sz w:val="22"/>
                <w:szCs w:val="22"/>
                <w:lang w:val="en-US"/>
              </w:rPr>
            </w:pPr>
          </w:p>
          <w:p w14:paraId="6912BCD8"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宋体"/>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2"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2"/>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BA79" w14:textId="77777777" w:rsidR="00ED005B" w:rsidRDefault="00ED005B">
      <w:pPr>
        <w:spacing w:after="0"/>
      </w:pPr>
      <w:r>
        <w:separator/>
      </w:r>
    </w:p>
  </w:endnote>
  <w:endnote w:type="continuationSeparator" w:id="0">
    <w:p w14:paraId="27959AEC" w14:textId="77777777" w:rsidR="00ED005B" w:rsidRDefault="00ED0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7AB5" w14:textId="77777777" w:rsidR="00ED005B" w:rsidRDefault="00ED005B">
      <w:pPr>
        <w:spacing w:after="0"/>
      </w:pPr>
      <w:r>
        <w:separator/>
      </w:r>
    </w:p>
  </w:footnote>
  <w:footnote w:type="continuationSeparator" w:id="0">
    <w:p w14:paraId="33E09460" w14:textId="77777777" w:rsidR="00ED005B" w:rsidRDefault="00ED00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5F1" w14:textId="77777777" w:rsidR="00866D0B" w:rsidRDefault="00866D0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4F8"/>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1A55"/>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4E77"/>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7684E"/>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234B"/>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07F51"/>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1D9C"/>
    <w:rsid w:val="00A52C6D"/>
    <w:rsid w:val="00A54023"/>
    <w:rsid w:val="00A5769D"/>
    <w:rsid w:val="00A60075"/>
    <w:rsid w:val="00A608C3"/>
    <w:rsid w:val="00A62144"/>
    <w:rsid w:val="00A6396F"/>
    <w:rsid w:val="00A64A0D"/>
    <w:rsid w:val="00A65DDE"/>
    <w:rsid w:val="00A66897"/>
    <w:rsid w:val="00A66AAE"/>
    <w:rsid w:val="00A676D6"/>
    <w:rsid w:val="00A678F4"/>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0136"/>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1F72"/>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568B"/>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5D4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rPr>
      <w:b/>
      <w:position w:val="6"/>
      <w:sz w:val="16"/>
    </w:rPr>
  </w:style>
  <w:style w:type="character" w:customStyle="1" w:styleId="af">
    <w:name w:val="批注框文本 字符"/>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BAA1538-1FFA-4F18-8522-B69D20EBF15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21404</Words>
  <Characters>122003</Characters>
  <Application>Microsoft Office Word</Application>
  <DocSecurity>0</DocSecurity>
  <Lines>1016</Lines>
  <Paragraphs>286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左志松(Jason)</cp:lastModifiedBy>
  <cp:revision>4</cp:revision>
  <cp:lastPrinted>1900-12-31T16:00:00Z</cp:lastPrinted>
  <dcterms:created xsi:type="dcterms:W3CDTF">2021-04-14T09:32:00Z</dcterms:created>
  <dcterms:modified xsi:type="dcterms:W3CDTF">2021-04-14T10:25:00Z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