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 xml:space="preserve">We generally support FL’s proposal. However, we’d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 xml:space="preserve">Huawei, </w:t>
            </w:r>
            <w:proofErr w:type="spellStart"/>
            <w:r>
              <w:rPr>
                <w:rFonts w:hint="eastAsia"/>
                <w:sz w:val="20"/>
              </w:rPr>
              <w:t>HiSilicon</w:t>
            </w:r>
            <w:proofErr w:type="spellEnd"/>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proofErr w:type="spellStart"/>
            <w:r>
              <w:rPr>
                <w:sz w:val="20"/>
              </w:rPr>
              <w:t>InterDigital</w:t>
            </w:r>
            <w:proofErr w:type="spellEnd"/>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proofErr w:type="spellStart"/>
            <w:r w:rsidRPr="00EB2676">
              <w:rPr>
                <w:sz w:val="20"/>
                <w:lang w:eastAsia="zh-CN"/>
              </w:rPr>
              <w:t>Spreadtrum</w:t>
            </w:r>
            <w:proofErr w:type="spellEnd"/>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proofErr w:type="spellStart"/>
            <w:r>
              <w:rPr>
                <w:sz w:val="20"/>
              </w:rPr>
              <w:t>InterDigital</w:t>
            </w:r>
            <w:proofErr w:type="spellEnd"/>
          </w:p>
        </w:tc>
        <w:tc>
          <w:tcPr>
            <w:tcW w:w="12176" w:type="dxa"/>
          </w:tcPr>
          <w:p w14:paraId="69B74FB6" w14:textId="215F2881" w:rsidR="0003327A" w:rsidRDefault="0003327A" w:rsidP="00D76243">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proofErr w:type="spellStart"/>
            <w:r w:rsidRPr="007E3F39">
              <w:rPr>
                <w:sz w:val="20"/>
                <w:szCs w:val="20"/>
              </w:rPr>
              <w:lastRenderedPageBreak/>
              <w:t>Spreadtrum</w:t>
            </w:r>
            <w:proofErr w:type="spellEnd"/>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Specific numbers for X, Y may depend on UE capability and gNB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BDB0D50" w:rsidR="00BF303B" w:rsidRDefault="00637A29" w:rsidP="00637A29">
      <w:pPr>
        <w:pStyle w:val="Heading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4334770F" w14:textId="77777777" w:rsidR="00BF303B" w:rsidRDefault="006222A6">
      <w:pPr>
        <w:rPr>
          <w:lang w:val="en-GB" w:eastAsia="zh-CN"/>
        </w:rPr>
      </w:pPr>
      <w:r>
        <w:rPr>
          <w:lang w:val="en-GB" w:eastAsia="zh-CN"/>
        </w:rPr>
        <w:t xml:space="preserve">Alt 2 supported by vivo, CATT, Futurewei, Panasonic, Lenovo, Motorola Mobility, Apple, Qualcomm, Samsung, </w:t>
      </w:r>
      <w:proofErr w:type="spellStart"/>
      <w:r>
        <w:rPr>
          <w:lang w:val="en-GB" w:eastAsia="zh-CN"/>
        </w:rPr>
        <w:t>Convida</w:t>
      </w:r>
      <w:proofErr w:type="spellEnd"/>
      <w:r>
        <w:rPr>
          <w:lang w:val="en-GB" w:eastAsia="zh-CN"/>
        </w:rPr>
        <w:t xml:space="preserve">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sidRPr="00637A29">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75pt;height:99pt;mso-width-percent:0;mso-height-percent:0;mso-width-percent:0;mso-height-percent:0" o:ole="">
                  <v:imagedata r:id="rId10" o:title=""/>
                </v:shape>
                <o:OLEObject Type="Embed" ProgID="Visio.Drawing.11" ShapeID="_x0000_i1025" DrawAspect="Content" ObjectID="_1680370494"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proofErr w:type="spellStart"/>
            <w:r>
              <w:rPr>
                <w:sz w:val="20"/>
                <w:lang w:eastAsia="zh-CN"/>
              </w:rPr>
              <w:t>Convida</w:t>
            </w:r>
            <w:proofErr w:type="spellEnd"/>
            <w:r>
              <w:rPr>
                <w:sz w:val="20"/>
                <w:lang w:eastAsia="zh-CN"/>
              </w:rPr>
              <w:t xml:space="preserve">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 xml:space="preserve">By the way, for Alt 2, the definition of span seems to be unclear when the unit of Y is slot. In this case, it appears like that all of symbols within Y slots could have PDCCH </w:t>
            </w:r>
            <w:proofErr w:type="spellStart"/>
            <w:r w:rsidRPr="006222A6">
              <w:rPr>
                <w:sz w:val="20"/>
                <w:lang w:eastAsia="zh-CN"/>
              </w:rPr>
              <w:t>MOs.</w:t>
            </w:r>
            <w:proofErr w:type="spellEnd"/>
            <w:r w:rsidRPr="006222A6">
              <w:rPr>
                <w:sz w:val="20"/>
                <w:lang w:eastAsia="zh-CN"/>
              </w:rPr>
              <w:t xml:space="preserve">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proofErr w:type="spellStart"/>
            <w:r>
              <w:rPr>
                <w:rFonts w:hint="eastAsia"/>
                <w:sz w:val="20"/>
              </w:rPr>
              <w:t>Huawie</w:t>
            </w:r>
            <w:proofErr w:type="spellEnd"/>
            <w:r>
              <w:rPr>
                <w:rFonts w:hint="eastAsia"/>
                <w:sz w:val="20"/>
              </w:rPr>
              <w:t xml:space="preserve">, </w:t>
            </w:r>
            <w:proofErr w:type="spellStart"/>
            <w:r>
              <w:rPr>
                <w:rFonts w:hint="eastAsia"/>
                <w:sz w:val="20"/>
              </w:rPr>
              <w:t>HiSilicon</w:t>
            </w:r>
            <w:proofErr w:type="spellEnd"/>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w:t>
            </w:r>
            <w:proofErr w:type="spellStart"/>
            <w:r>
              <w:rPr>
                <w:sz w:val="20"/>
                <w:lang w:eastAsia="zh-CN"/>
              </w:rPr>
              <w:t>Mediatek</w:t>
            </w:r>
            <w:proofErr w:type="spellEnd"/>
            <w:r>
              <w:rPr>
                <w:sz w:val="20"/>
                <w:lang w:eastAsia="zh-CN"/>
              </w:rPr>
              <w:t xml:space="preserve">.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 xml:space="preserve">We would prefer that the UE capability with parameters that are to indicate some level of predictability for the UE processing and limit the number of unexpected </w:t>
            </w:r>
            <w:proofErr w:type="spellStart"/>
            <w:r>
              <w:rPr>
                <w:sz w:val="20"/>
                <w:lang w:eastAsia="zh-CN"/>
              </w:rPr>
              <w:t>MOs.</w:t>
            </w:r>
            <w:proofErr w:type="spellEnd"/>
            <w:r>
              <w:rPr>
                <w:sz w:val="20"/>
                <w:lang w:eastAsia="zh-CN"/>
              </w:rPr>
              <w:t xml:space="preserve">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proofErr w:type="spellStart"/>
            <w:r>
              <w:rPr>
                <w:sz w:val="20"/>
              </w:rPr>
              <w:t>InterDigital</w:t>
            </w:r>
            <w:proofErr w:type="spellEnd"/>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 xml:space="preserve">e don’t see the need to have Alt3 to handle the back-to-back </w:t>
            </w:r>
            <w:proofErr w:type="spellStart"/>
            <w:r>
              <w:rPr>
                <w:sz w:val="20"/>
                <w:lang w:eastAsia="zh-CN"/>
              </w:rPr>
              <w:t>MOs.</w:t>
            </w:r>
            <w:proofErr w:type="spellEnd"/>
            <w:r>
              <w:rPr>
                <w:sz w:val="20"/>
                <w:lang w:eastAsia="zh-CN"/>
              </w:rPr>
              <w:t xml:space="preserve">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proofErr w:type="spellStart"/>
            <w:r w:rsidRPr="00233D35">
              <w:rPr>
                <w:sz w:val="20"/>
                <w:szCs w:val="20"/>
                <w:lang w:val="en-GB" w:eastAsia="zh-CN"/>
              </w:rPr>
              <w:lastRenderedPageBreak/>
              <w:t>Spreadtrum</w:t>
            </w:r>
            <w:proofErr w:type="spellEnd"/>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 xml:space="preserve">Huawei, </w:t>
            </w:r>
            <w:proofErr w:type="spellStart"/>
            <w:r>
              <w:rPr>
                <w:rFonts w:hint="eastAsia"/>
                <w:sz w:val="20"/>
              </w:rPr>
              <w:t>HiSilicon</w:t>
            </w:r>
            <w:proofErr w:type="spellEnd"/>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Heading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ListParagraph"/>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ListParagraph"/>
              <w:widowControl/>
              <w:numPr>
                <w:ilvl w:val="1"/>
                <w:numId w:val="18"/>
              </w:numPr>
            </w:pPr>
            <w:r>
              <w:t>Each slot group consists of X slots</w:t>
            </w:r>
          </w:p>
          <w:p w14:paraId="7DAB6D54" w14:textId="77777777" w:rsidR="00637A29" w:rsidRDefault="00637A29" w:rsidP="00637A29">
            <w:pPr>
              <w:pStyle w:val="ListParagraph"/>
              <w:widowControl/>
              <w:numPr>
                <w:ilvl w:val="1"/>
                <w:numId w:val="18"/>
              </w:numPr>
            </w:pPr>
            <w:r>
              <w:t>Slot groups are consecutive and non-overlapping</w:t>
            </w:r>
          </w:p>
          <w:p w14:paraId="348E344A" w14:textId="77777777" w:rsidR="00637A29" w:rsidRDefault="00637A29" w:rsidP="00637A29">
            <w:pPr>
              <w:pStyle w:val="ListParagraph"/>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ListParagraph"/>
              <w:widowControl/>
              <w:numPr>
                <w:ilvl w:val="1"/>
                <w:numId w:val="18"/>
              </w:numPr>
            </w:pPr>
            <w:r>
              <w:t>FFS: Supported values/constraints of X and Y, e.g. Y&lt;=X, Y=X</w:t>
            </w:r>
          </w:p>
          <w:p w14:paraId="0BC217AD" w14:textId="77777777" w:rsidR="00637A29" w:rsidRDefault="00637A29" w:rsidP="00637A29">
            <w:pPr>
              <w:pStyle w:val="ListParagraph"/>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ListParagraph"/>
              <w:widowControl/>
              <w:numPr>
                <w:ilvl w:val="1"/>
                <w:numId w:val="18"/>
              </w:numPr>
            </w:pPr>
            <w:r>
              <w:t>FFS: Further definition of capabilities</w:t>
            </w:r>
          </w:p>
          <w:p w14:paraId="64EF9D6C" w14:textId="77777777" w:rsidR="00637A29" w:rsidRDefault="00637A29" w:rsidP="00637A29">
            <w:pPr>
              <w:pStyle w:val="ListParagraph"/>
              <w:widowControl/>
              <w:numPr>
                <w:ilvl w:val="0"/>
                <w:numId w:val="18"/>
              </w:numPr>
            </w:pPr>
            <w:r>
              <w:t>Alt 2: Use an (X, Y) span as the baseline to define the new capability</w:t>
            </w:r>
          </w:p>
          <w:p w14:paraId="577733A4" w14:textId="77777777" w:rsidR="00637A29" w:rsidRDefault="00637A29" w:rsidP="00637A29">
            <w:pPr>
              <w:pStyle w:val="ListParagraph"/>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ListParagraph"/>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ListParagraph"/>
              <w:widowControl/>
              <w:numPr>
                <w:ilvl w:val="1"/>
                <w:numId w:val="18"/>
              </w:numPr>
            </w:pPr>
            <w:r>
              <w:t>Y &lt;= X</w:t>
            </w:r>
          </w:p>
          <w:p w14:paraId="20D4C8D0" w14:textId="77777777" w:rsidR="00637A29" w:rsidRDefault="00637A29" w:rsidP="00637A29">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ListParagraph"/>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TableGrid"/>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However, Alt 1 can be updated as follows to take into account the back-to-back monitoring issue:</w:t>
            </w:r>
          </w:p>
          <w:p w14:paraId="234AE1E8" w14:textId="77777777" w:rsidR="0008012E" w:rsidRDefault="0008012E" w:rsidP="0008012E">
            <w:pPr>
              <w:pStyle w:val="ListParagraph"/>
              <w:numPr>
                <w:ilvl w:val="0"/>
                <w:numId w:val="66"/>
              </w:numPr>
            </w:pPr>
            <w:r>
              <w:t xml:space="preserve">Alt 1: Use a fixed pattern of slot groups as the baseline to define the new capability. </w:t>
            </w:r>
          </w:p>
          <w:p w14:paraId="0AC94372" w14:textId="77777777" w:rsidR="0008012E" w:rsidRDefault="0008012E" w:rsidP="0008012E">
            <w:pPr>
              <w:pStyle w:val="ListParagraph"/>
              <w:widowControl/>
              <w:numPr>
                <w:ilvl w:val="1"/>
                <w:numId w:val="65"/>
              </w:numPr>
            </w:pPr>
            <w:r>
              <w:t>Each slot group consists of X slots</w:t>
            </w:r>
          </w:p>
          <w:p w14:paraId="662D2ECC" w14:textId="77777777" w:rsidR="0008012E" w:rsidRDefault="0008012E" w:rsidP="0008012E">
            <w:pPr>
              <w:pStyle w:val="ListParagraph"/>
              <w:widowControl/>
              <w:numPr>
                <w:ilvl w:val="1"/>
                <w:numId w:val="65"/>
              </w:numPr>
            </w:pPr>
            <w:r>
              <w:t>Slot groups are consecutive and non-overlapping</w:t>
            </w:r>
          </w:p>
          <w:p w14:paraId="6E6945C3" w14:textId="77777777" w:rsidR="0008012E" w:rsidRDefault="0008012E" w:rsidP="0008012E">
            <w:pPr>
              <w:pStyle w:val="ListParagraph"/>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ListParagraph"/>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ListParagraph"/>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ListParagraph"/>
              <w:widowControl/>
              <w:numPr>
                <w:ilvl w:val="1"/>
                <w:numId w:val="65"/>
              </w:numPr>
            </w:pPr>
            <w:r>
              <w:t>FFS: Further definition of capabilities</w:t>
            </w:r>
          </w:p>
          <w:p w14:paraId="6E40A805" w14:textId="77777777" w:rsidR="008356E6" w:rsidRDefault="008356E6" w:rsidP="008356E6">
            <w:pPr>
              <w:pStyle w:val="ListParagraph"/>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bl>
    <w:p w14:paraId="5DA65659" w14:textId="77777777" w:rsidR="00637A29" w:rsidRPr="001C072F" w:rsidRDefault="00637A29">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proofErr w:type="spellStart"/>
            <w:r>
              <w:rPr>
                <w:lang w:eastAsia="zh-CN"/>
              </w:rPr>
              <w:t>InterDigital</w:t>
            </w:r>
            <w:proofErr w:type="spellEnd"/>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lastRenderedPageBreak/>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 xml:space="preserve">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w:t>
            </w:r>
            <w:r>
              <w:lastRenderedPageBreak/>
              <w:t>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lastRenderedPageBreak/>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 xml:space="preserve">Huawei, </w:t>
            </w:r>
            <w:proofErr w:type="spellStart"/>
            <w:r w:rsidRPr="00654ED4">
              <w:rPr>
                <w:rFonts w:hint="eastAsia"/>
                <w:sz w:val="20"/>
                <w:lang w:eastAsia="zh-CN"/>
              </w:rPr>
              <w:t>HiSilicon</w:t>
            </w:r>
            <w:proofErr w:type="spellEnd"/>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proofErr w:type="spellStart"/>
            <w:r>
              <w:rPr>
                <w:lang w:eastAsia="zh-CN"/>
              </w:rPr>
              <w:t>InterDigital</w:t>
            </w:r>
            <w:proofErr w:type="spellEnd"/>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lastRenderedPageBreak/>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proofErr w:type="spellStart"/>
            <w:r>
              <w:rPr>
                <w:lang w:eastAsia="zh-CN"/>
              </w:rPr>
              <w:t>InterDigital</w:t>
            </w:r>
            <w:proofErr w:type="spellEnd"/>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lastRenderedPageBreak/>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 xml:space="preserve">Based on our understanding of SSSG switching feature in Qualcomm’s Tdoc R1-2103158 and </w:t>
            </w:r>
            <w:proofErr w:type="spellStart"/>
            <w:r>
              <w:t>Sreadtrum’s</w:t>
            </w:r>
            <w:proofErr w:type="spellEnd"/>
            <w:r>
              <w:t xml:space="preserve">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t xml:space="preserve">Regarding the minimum value and configurable range of </w:t>
            </w:r>
            <w:proofErr w:type="spellStart"/>
            <w:r>
              <w:rPr>
                <w:i/>
                <w:iCs/>
              </w:rPr>
              <w:t>P</w:t>
            </w:r>
            <w:r>
              <w:rPr>
                <w:i/>
                <w:iCs/>
                <w:vertAlign w:val="subscript"/>
              </w:rPr>
              <w:t>switch</w:t>
            </w:r>
            <w:proofErr w:type="spellEnd"/>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 xml:space="preserve">In summary, we agree with </w:t>
            </w:r>
            <w:proofErr w:type="spellStart"/>
            <w:r>
              <w:rPr>
                <w:sz w:val="20"/>
              </w:rPr>
              <w:t>Mediatek’s</w:t>
            </w:r>
            <w:proofErr w:type="spellEnd"/>
            <w:r>
              <w:rPr>
                <w:sz w:val="20"/>
              </w:rPr>
              <w:t xml:space="preserve">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lastRenderedPageBreak/>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w:t>
            </w:r>
            <w:proofErr w:type="spellStart"/>
            <w:r>
              <w:rPr>
                <w:sz w:val="20"/>
              </w:rPr>
              <w:t>Pswitch</w:t>
            </w:r>
            <w:proofErr w:type="spellEnd"/>
            <w:r>
              <w:rPr>
                <w:sz w:val="20"/>
              </w:rPr>
              <w:t xml:space="preserve"> can be discussed after N1 is decided.  The parameter </w:t>
            </w:r>
            <w:proofErr w:type="spellStart"/>
            <w:r w:rsidRPr="00C57626">
              <w:rPr>
                <w:sz w:val="20"/>
              </w:rPr>
              <w:t>searchSpaceSwitchTimer</w:t>
            </w:r>
            <w:proofErr w:type="spellEnd"/>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proofErr w:type="spellStart"/>
            <w:r>
              <w:rPr>
                <w:lang w:eastAsia="zh-CN"/>
              </w:rPr>
              <w:t>InterDigital</w:t>
            </w:r>
            <w:proofErr w:type="spellEnd"/>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 xml:space="preserve">Huawei, </w:t>
            </w:r>
            <w:proofErr w:type="spellStart"/>
            <w:r>
              <w:rPr>
                <w:rFonts w:hint="eastAsia"/>
                <w:sz w:val="20"/>
                <w:szCs w:val="20"/>
                <w:lang w:val="en-GB" w:eastAsia="zh-CN"/>
              </w:rPr>
              <w:t>HiSilicon</w:t>
            </w:r>
            <w:proofErr w:type="spellEnd"/>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lastRenderedPageBreak/>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 xml:space="preserve">BD/CCE dropping for multi-slot monitoring is considered only in </w:t>
            </w:r>
            <w:proofErr w:type="spellStart"/>
            <w:r>
              <w:t>Pcell</w:t>
            </w:r>
            <w:proofErr w:type="spellEnd"/>
            <w:r>
              <w:t xml:space="preserve"> or </w:t>
            </w:r>
            <w:proofErr w:type="spellStart"/>
            <w:r>
              <w:t>PScell</w:t>
            </w:r>
            <w:proofErr w:type="spellEnd"/>
            <w:r>
              <w:t>.</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 xml:space="preserve">Overbooking not allowed for </w:t>
            </w:r>
            <w:proofErr w:type="spellStart"/>
            <w:r>
              <w:rPr>
                <w:sz w:val="20"/>
              </w:rPr>
              <w:t>SCells</w:t>
            </w:r>
            <w:proofErr w:type="spellEnd"/>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 xml:space="preserve">uawei, </w:t>
            </w:r>
            <w:proofErr w:type="spellStart"/>
            <w:r>
              <w:rPr>
                <w:sz w:val="20"/>
                <w:lang w:eastAsia="zh-CN"/>
              </w:rPr>
              <w:t>HiSilicon</w:t>
            </w:r>
            <w:proofErr w:type="spellEnd"/>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lastRenderedPageBreak/>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proofErr w:type="spellStart"/>
            <w:r>
              <w:rPr>
                <w:lang w:eastAsia="zh-CN"/>
              </w:rPr>
              <w:t>InterDigital</w:t>
            </w:r>
            <w:proofErr w:type="spellEnd"/>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proofErr w:type="spellStart"/>
            <w:r w:rsidRPr="00233D35">
              <w:rPr>
                <w:sz w:val="20"/>
                <w:szCs w:val="20"/>
                <w:lang w:val="en-GB" w:eastAsia="zh-CN"/>
              </w:rPr>
              <w:t>Spreadtrum</w:t>
            </w:r>
            <w:proofErr w:type="spellEnd"/>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lastRenderedPageBreak/>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proofErr w:type="spellStart"/>
            <w:r>
              <w:rPr>
                <w:lang w:eastAsia="zh-CN"/>
              </w:rPr>
              <w:t>Convida</w:t>
            </w:r>
            <w:proofErr w:type="spellEnd"/>
            <w:r>
              <w:rPr>
                <w:lang w:eastAsia="zh-CN"/>
              </w:rPr>
              <w:t xml:space="preserve">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proofErr w:type="spellStart"/>
            <w:r>
              <w:rPr>
                <w:lang w:eastAsia="zh-CN"/>
              </w:rPr>
              <w:t>InterDigital</w:t>
            </w:r>
            <w:proofErr w:type="spellEnd"/>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proofErr w:type="spellStart"/>
            <w:r w:rsidRPr="009E04BA">
              <w:rPr>
                <w:sz w:val="20"/>
                <w:szCs w:val="20"/>
                <w:lang w:val="en-GB" w:eastAsia="zh-CN"/>
              </w:rPr>
              <w:t>Spreadtrum</w:t>
            </w:r>
            <w:proofErr w:type="spellEnd"/>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lastRenderedPageBreak/>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E541292" w14:textId="77777777" w:rsidR="00BF303B" w:rsidRDefault="006222A6">
            <w:pPr>
              <w:rPr>
                <w:lang w:eastAsia="zh-CN"/>
              </w:rPr>
            </w:pPr>
            <w:r>
              <w:rPr>
                <w:rFonts w:hint="eastAsia"/>
                <w:lang w:eastAsia="zh-CN"/>
              </w:rPr>
              <w:t xml:space="preserve">We think it can be discussed later after each field in DCI format 2_0 are identified to be supported (e.g. SSSG switching is being discussed </w:t>
            </w:r>
            <w:r>
              <w:rPr>
                <w:rFonts w:hint="eastAsia"/>
                <w:lang w:eastAsia="zh-CN"/>
              </w:rPr>
              <w:lastRenderedPageBreak/>
              <w:t>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lastRenderedPageBreak/>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Lenovo, Motorola Mobility</w:t>
            </w:r>
          </w:p>
        </w:tc>
        <w:tc>
          <w:tcPr>
            <w:tcW w:w="12176" w:type="dxa"/>
          </w:tcPr>
          <w:p w14:paraId="4A4823F4" w14:textId="388CBE83" w:rsidR="00130D6A" w:rsidRDefault="0032305B" w:rsidP="00130D6A">
            <w:pPr>
              <w:rPr>
                <w:lang w:eastAsia="zh-CN"/>
              </w:rPr>
            </w:pPr>
            <w:r w:rsidRPr="0032305B">
              <w:rPr>
                <w:lang w:eastAsia="zh-CN"/>
              </w:rPr>
              <w:t>We are open to beam-specific enhancements carried in DCI format 2_0 as suggested in the FL proposal, but a decision om these could 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proofErr w:type="spellStart"/>
            <w:r>
              <w:rPr>
                <w:lang w:eastAsia="zh-CN"/>
              </w:rPr>
              <w:t>InterDigital</w:t>
            </w:r>
            <w:proofErr w:type="spellEnd"/>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proofErr w:type="spellStart"/>
            <w:r w:rsidRPr="006F65F0">
              <w:rPr>
                <w:lang w:eastAsia="zh-CN"/>
              </w:rPr>
              <w:t>Spreadtrum</w:t>
            </w:r>
            <w:proofErr w:type="spellEnd"/>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lastRenderedPageBreak/>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proofErr w:type="spellStart"/>
            <w:r>
              <w:rPr>
                <w:lang w:eastAsia="zh-CN"/>
              </w:rPr>
              <w:t>Convida</w:t>
            </w:r>
            <w:proofErr w:type="spellEnd"/>
            <w:r>
              <w:rPr>
                <w:lang w:eastAsia="zh-CN"/>
              </w:rPr>
              <w:t xml:space="preserve">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w:t>
      </w:r>
      <w:proofErr w:type="spellStart"/>
      <w:r>
        <w:t>Spreadtrum</w:t>
      </w:r>
      <w:proofErr w:type="spellEnd"/>
      <w:r>
        <w:t xml:space="preserve">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lastRenderedPageBreak/>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668AFB2D" w14:textId="618857DB" w:rsidR="001C072F" w:rsidRDefault="001C072F" w:rsidP="001C072F">
            <w:r>
              <w:rPr>
                <w:rFonts w:hint="eastAsia"/>
              </w:rPr>
              <w:t xml:space="preserve">Agree with </w:t>
            </w:r>
            <w:proofErr w:type="spellStart"/>
            <w:r>
              <w:rPr>
                <w:rFonts w:hint="eastAsia"/>
              </w:rPr>
              <w:t>Mediatek</w:t>
            </w:r>
            <w:proofErr w:type="spellEnd"/>
            <w:r>
              <w:rPr>
                <w:rFonts w:hint="eastAsia"/>
              </w:rPr>
              <w:t xml:space="preserve"> to prioritize the discussion on </w:t>
            </w:r>
            <w:proofErr w:type="spellStart"/>
            <w:r w:rsidRPr="00EB3268">
              <w:rPr>
                <w:i/>
                <w:color w:val="000000"/>
                <w:sz w:val="20"/>
                <w:szCs w:val="20"/>
              </w:rPr>
              <w:t>N</w:t>
            </w:r>
            <w:r w:rsidRPr="00EB3268">
              <w:rPr>
                <w:i/>
                <w:color w:val="000000"/>
                <w:sz w:val="20"/>
                <w:szCs w:val="20"/>
                <w:vertAlign w:val="subscript"/>
              </w:rPr>
              <w:t>pdsch</w:t>
            </w:r>
            <w:proofErr w:type="spellEnd"/>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proofErr w:type="spellStart"/>
            <w:r>
              <w:t>InterDigital</w:t>
            </w:r>
            <w:proofErr w:type="spellEnd"/>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w:t>
            </w:r>
            <w:r>
              <w:rPr>
                <w:lang w:eastAsia="zh-CN"/>
              </w:rPr>
              <w:lastRenderedPageBreak/>
              <w:t>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1" w:name="_Ref68012702"/>
            <w:r>
              <w:t xml:space="preserve">Figure </w:t>
            </w:r>
            <w:fldSimple w:instr=" SEQ Figure \* ARABIC ">
              <w:r>
                <w:t>1</w:t>
              </w:r>
            </w:fldSimple>
            <w:bookmarkEnd w:id="1"/>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w:t>
            </w:r>
            <w:r>
              <w:rPr>
                <w:i/>
                <w:color w:val="000000" w:themeColor="text1"/>
                <w:lang w:eastAsia="zh-CN"/>
              </w:rPr>
              <w:lastRenderedPageBreak/>
              <w:t>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w:t>
            </w:r>
            <w:r>
              <w:rPr>
                <w:rFonts w:eastAsia="SimSun"/>
                <w:lang w:val="en-GB" w:eastAsia="zh-CN"/>
              </w:rPr>
              <w:lastRenderedPageBreak/>
              <w:t xml:space="preserve">different time locations for USS monitoring, hence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3.75pt;mso-width-percent:0;mso-height-percent:0;mso-width-percent:0;mso-height-percent:0" o:ole="">
                  <v:imagedata r:id="rId15" o:title=""/>
                </v:shape>
                <o:OLEObject Type="Embed" ProgID="Visio.Drawing.15" ShapeID="_x0000_i1026" DrawAspect="Content" ObjectID="_1680370495"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w:t>
            </w:r>
            <w:r>
              <w:lastRenderedPageBreak/>
              <w:t xml:space="preserve">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per-slot and multi-slot span PDCCH monitoring capabilities for different SCSs. However, it needs further discussion how 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(i.e.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lastRenderedPageBreak/>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 xml:space="preserve">n RAN#90e, it is agreed that (120, 480, 960) </w:t>
            </w:r>
            <w:proofErr w:type="spellStart"/>
            <w:r>
              <w:rPr>
                <w:lang w:eastAsia="zh-CN"/>
              </w:rPr>
              <w:t>KHz</w:t>
            </w:r>
            <w:proofErr w:type="spellEnd"/>
            <w:r>
              <w:rPr>
                <w:lang w:eastAsia="zh-CN"/>
              </w:rPr>
              <w:t xml:space="preserve"> SCS are all supported for data/control, i.e. PDCCH SCS could be one of (120, 480, 960) </w:t>
            </w:r>
            <w:proofErr w:type="spellStart"/>
            <w:r>
              <w:rPr>
                <w:lang w:eastAsia="zh-CN"/>
              </w:rPr>
              <w:t>KHz</w:t>
            </w:r>
            <w:proofErr w:type="spellEnd"/>
            <w:r>
              <w:rPr>
                <w:lang w:eastAsia="zh-CN"/>
              </w:rPr>
              <w:t xml:space="preserve">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w:t>
            </w:r>
            <w:r>
              <w:rPr>
                <w:rStyle w:val="normaltextrun"/>
                <w:sz w:val="20"/>
                <w:szCs w:val="20"/>
                <w:lang w:val="en-US"/>
              </w:rPr>
              <w:lastRenderedPageBreak/>
              <w:t>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 xml:space="preserve">Consider search </w:t>
            </w:r>
            <w:proofErr w:type="spellStart"/>
            <w:r>
              <w:rPr>
                <w:i/>
                <w:iCs/>
              </w:rPr>
              <w:t>spece</w:t>
            </w:r>
            <w:proofErr w:type="spellEnd"/>
            <w:r>
              <w:rPr>
                <w:i/>
                <w:iCs/>
              </w:rPr>
              <w:t xml:space="preserv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proofErr w:type="spellStart"/>
            <w:r>
              <w:rPr>
                <w:rStyle w:val="normaltextrun"/>
                <w:b/>
                <w:bCs/>
                <w:sz w:val="20"/>
                <w:szCs w:val="20"/>
                <w:u w:val="single"/>
                <w:lang w:val="en-US"/>
              </w:rPr>
              <w:t>Comparision</w:t>
            </w:r>
            <w:proofErr w:type="spellEnd"/>
            <w:r>
              <w:rPr>
                <w:rStyle w:val="normaltextrun"/>
                <w:b/>
                <w:bCs/>
                <w:sz w:val="20"/>
                <w:szCs w:val="20"/>
                <w:u w:val="single"/>
                <w:lang w:val="en-US"/>
              </w:rPr>
              <w:t xml:space="preserve">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used to support multi-slot </w:t>
            </w:r>
            <w:proofErr w:type="spellStart"/>
            <w:r>
              <w:rPr>
                <w:rStyle w:val="normaltextrun"/>
                <w:sz w:val="20"/>
                <w:szCs w:val="20"/>
                <w:lang w:val="en-US"/>
              </w:rPr>
              <w:t>PxSCH</w:t>
            </w:r>
            <w:proofErr w:type="spellEnd"/>
            <w:r>
              <w:rPr>
                <w:rStyle w:val="normaltextrun"/>
                <w:sz w:val="20"/>
                <w:szCs w:val="20"/>
                <w:lang w:val="en-US"/>
              </w:rPr>
              <w:t xml:space="preserve">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lastRenderedPageBreak/>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Based on that, Alt1 provides </w:t>
            </w:r>
            <w:proofErr w:type="spellStart"/>
            <w:r>
              <w:rPr>
                <w:rStyle w:val="normaltextrun"/>
                <w:sz w:val="20"/>
                <w:szCs w:val="20"/>
                <w:lang w:val="en-US"/>
              </w:rPr>
              <w:t>opportunites</w:t>
            </w:r>
            <w:proofErr w:type="spellEnd"/>
            <w:r>
              <w:rPr>
                <w:rStyle w:val="normaltextrun"/>
                <w:sz w:val="20"/>
                <w:szCs w:val="20"/>
                <w:lang w:val="en-US"/>
              </w:rPr>
              <w:t xml:space="preserve">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 xml:space="preserve">Define X and Y in terms of symbols. It can be </w:t>
            </w:r>
            <w:proofErr w:type="spellStart"/>
            <w:r>
              <w:rPr>
                <w:i/>
                <w:iCs/>
              </w:rPr>
              <w:t>dedided</w:t>
            </w:r>
            <w:proofErr w:type="spellEnd"/>
            <w:r>
              <w:rPr>
                <w:i/>
                <w:iCs/>
              </w:rPr>
              <w:t xml:space="preserve">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t>
            </w:r>
            <w:proofErr w:type="spellStart"/>
            <w:r>
              <w:t>w.r.t.</w:t>
            </w:r>
            <w:proofErr w:type="spellEnd"/>
            <w:r>
              <w:t xml:space="preserve">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w:t>
            </w:r>
            <w:proofErr w:type="spellStart"/>
            <w:r>
              <w:rPr>
                <w:rStyle w:val="normaltextrun"/>
                <w:sz w:val="20"/>
                <w:szCs w:val="20"/>
              </w:rPr>
              <w:t>candidateds</w:t>
            </w:r>
            <w:proofErr w:type="spellEnd"/>
            <w:r>
              <w:rPr>
                <w:rStyle w:val="normaltextrun"/>
                <w:sz w:val="20"/>
                <w:szCs w:val="20"/>
              </w:rPr>
              <w:t xml:space="preserve">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w:t>
            </w:r>
            <w:proofErr w:type="spellStart"/>
            <w:r>
              <w:rPr>
                <w:rStyle w:val="normaltextrun"/>
                <w:i/>
                <w:iCs/>
                <w:sz w:val="20"/>
                <w:szCs w:val="20"/>
                <w:lang w:val="en-US"/>
              </w:rPr>
              <w:t>Consdier</w:t>
            </w:r>
            <w:proofErr w:type="spellEnd"/>
            <w:r>
              <w:rPr>
                <w:rStyle w:val="normaltextrun"/>
                <w:i/>
                <w:iCs/>
                <w:sz w:val="20"/>
                <w:szCs w:val="20"/>
                <w:lang w:val="en-US"/>
              </w:rPr>
              <w:t xml:space="preserve">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fldSimple w:instr=" SEQ Table \* ARABIC ">
              <w:r>
                <w:t>2</w:t>
              </w:r>
            </w:fldSimple>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8.75pt;height:129pt;mso-width-percent:0;mso-height-percent:0;mso-width-percent:0;mso-height-percent:0" o:ole="">
                  <v:imagedata r:id="rId17" o:title=""/>
                </v:shape>
                <o:OLEObject Type="Embed" ProgID="Visio.Drawing.11" ShapeID="_x0000_i1027" DrawAspect="Content" ObjectID="_1680370496" r:id="rId18"/>
              </w:object>
            </w:r>
          </w:p>
          <w:p w14:paraId="28BCF308" w14:textId="77777777" w:rsidR="00BF303B" w:rsidRDefault="006222A6">
            <w:pPr>
              <w:pStyle w:val="Caption"/>
              <w:rPr>
                <w:lang w:eastAsia="zh-CN"/>
              </w:rPr>
            </w:pPr>
            <w:bookmarkStart w:id="14" w:name="_Ref67683938"/>
            <w:r>
              <w:t xml:space="preserve">Figure </w:t>
            </w:r>
            <w:fldSimple w:instr=" SEQ Figure \* ARABIC ">
              <w:r>
                <w:t>1</w:t>
              </w:r>
            </w:fldSimple>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xml:space="preserve">, the main difference between Alt 1-1 and Alt 1-2 is the configured CORESET resource allocation as PDCCH </w:t>
            </w:r>
            <w:proofErr w:type="spellStart"/>
            <w:r>
              <w:rPr>
                <w:lang w:eastAsia="zh-CN"/>
              </w:rPr>
              <w:t>MOs.</w:t>
            </w:r>
            <w:proofErr w:type="spellEnd"/>
            <w:r>
              <w:rPr>
                <w:lang w:eastAsia="zh-CN"/>
              </w:rPr>
              <w:t xml:space="preserve">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0.25pt;height:102pt;mso-width-percent:0;mso-height-percent:0;mso-width-percent:0;mso-height-percent:0" o:ole="">
                  <v:imagedata r:id="rId10" o:title=""/>
                </v:shape>
                <o:OLEObject Type="Embed" ProgID="Visio.Drawing.11" ShapeID="_x0000_i1028" DrawAspect="Content" ObjectID="_1680370497" r:id="rId19"/>
              </w:object>
            </w:r>
          </w:p>
          <w:p w14:paraId="00E681AA" w14:textId="77777777" w:rsidR="00BF303B" w:rsidRDefault="006222A6">
            <w:pPr>
              <w:pStyle w:val="Caption"/>
              <w:rPr>
                <w:lang w:eastAsia="zh-CN"/>
              </w:rPr>
            </w:pPr>
            <w:bookmarkStart w:id="15" w:name="_Ref67870726"/>
            <w:r>
              <w:t xml:space="preserve">Figure </w:t>
            </w:r>
            <w:fldSimple w:instr=" SEQ Figure \* ARABIC ">
              <w:r>
                <w:t>2</w:t>
              </w:r>
            </w:fldSimple>
            <w:bookmarkEnd w:id="15"/>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8"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19"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Alt 2 may also require additional PDCCH processing load restriction/checking as Alt 1B. Further clarification from the proponent companies are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For Rel-17 UE with multi-slot PDCCH processing capabilities, overbooking and PDCCH dropping rules similar to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 xml:space="preserve">Overbooking is not allowed for </w:t>
            </w:r>
            <w:proofErr w:type="spellStart"/>
            <w:r>
              <w:t>SCells</w:t>
            </w:r>
            <w:proofErr w:type="spellEnd"/>
            <w:r>
              <w:t>.</w:t>
            </w:r>
            <w:bookmarkEnd w:id="31"/>
          </w:p>
          <w:p w14:paraId="77DA9939" w14:textId="77777777" w:rsidR="00BF303B" w:rsidRDefault="006222A6">
            <w:pPr>
              <w:pStyle w:val="Observation"/>
              <w:numPr>
                <w:ilvl w:val="1"/>
                <w:numId w:val="38"/>
              </w:numPr>
            </w:pPr>
            <w:bookmarkStart w:id="32" w:name="_Toc68610481"/>
            <w:r>
              <w:t xml:space="preserve">For the </w:t>
            </w:r>
            <w:proofErr w:type="spellStart"/>
            <w:r>
              <w:t>PCell</w:t>
            </w:r>
            <w:proofErr w:type="spellEnd"/>
            <w:r>
              <w:t>,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BodyText"/>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5" w:name="_Ref60921413"/>
            <w:bookmarkStart w:id="36" w:name="_Hlk61354178"/>
            <w:r>
              <w:t xml:space="preserve">Figure </w:t>
            </w:r>
            <w:fldSimple w:instr=" SEQ Figure \* ARABIC ">
              <w:r>
                <w:t>14</w:t>
              </w:r>
            </w:fldSimple>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6"/>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7" w:name="_Ref60824877"/>
            <w:r>
              <w:t xml:space="preserve"> Table </w:t>
            </w:r>
            <w:fldSimple w:instr=" SEQ Table \* ARABIC ">
              <w:r>
                <w:t>1</w:t>
              </w:r>
            </w:fldSimple>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08012E">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08012E">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08012E">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08012E">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proofErr w:type="spellStart"/>
            <w:r>
              <w:rPr>
                <w:rFonts w:cs="Calibri"/>
                <w:iCs/>
                <w:lang w:eastAsia="zh-CN"/>
              </w:rPr>
              <w:t>bursty</w:t>
            </w:r>
            <w:proofErr w:type="spellEnd"/>
            <w:r>
              <w:rPr>
                <w:rFonts w:cs="Calibri"/>
                <w:iCs/>
                <w:lang w:eastAsia="zh-CN"/>
              </w:rPr>
              <w:t xml:space="preserve">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75pt;height:102pt;mso-width-percent:0;mso-height-percent:0;mso-width-percent:0;mso-height-percent:0" o:ole="">
                  <v:imagedata r:id="rId22" o:title=""/>
                </v:shape>
                <o:OLEObject Type="Embed" ProgID="Visio.Drawing.15" ShapeID="_x0000_i1029" DrawAspect="Content" ObjectID="_1680370498"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 xml:space="preserve">Alt 1-1 or Alt 2 is used, it is expected that both X and Y are small values to still allow frequent MOs in the first SSSG. On the other hand, the second SSSG relies on a large gap between MOs for the power saving. Therefore, </w:t>
            </w:r>
            <w:proofErr w:type="spellStart"/>
            <w:r>
              <w:rPr>
                <w:lang w:val="en-GB" w:eastAsia="zh-CN"/>
              </w:rPr>
              <w:t>i</w:t>
            </w:r>
            <w:proofErr w:type="spellEnd"/>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75pt;height:2in;mso-width-percent:0;mso-height-percent:0;mso-width-percent:0;mso-height-percent:0" o:ole="">
                  <v:imagedata r:id="rId24" o:title=""/>
                </v:shape>
                <o:OLEObject Type="Embed" ProgID="Visio.Drawing.15" ShapeID="_x0000_i1030" DrawAspect="Content" ObjectID="_1680370499"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2" w:name="_Ref68540663"/>
            <w:r>
              <w:t xml:space="preserve">Figure </w:t>
            </w:r>
            <w:fldSimple w:instr=" SEQ Figure \* ARABIC ">
              <w:r>
                <w:t>1</w:t>
              </w:r>
            </w:fldSimple>
            <w:bookmarkEnd w:id="42"/>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fldSimple w:instr=" SEQ Proposal \* ARABIC ">
              <w:r>
                <w:t>1</w:t>
              </w:r>
            </w:fldSimple>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fldSimple w:instr=" SEQ Proposal \* ARABIC ">
              <w:r>
                <w:t>2</w:t>
              </w:r>
            </w:fldSimple>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Caption"/>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Caption"/>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Caption"/>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fldSimple w:instr=" SEQ Proposal \* ARABIC ">
              <w:r>
                <w:t>5</w:t>
              </w:r>
            </w:fldSimple>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proofErr w:type="spellStart"/>
            <w:r>
              <w:rPr>
                <w:i/>
                <w:lang w:eastAsia="zh-CN"/>
              </w:rPr>
              <w:t>pdcch-MonitoringAnyOccasionsWithSpanGap</w:t>
            </w:r>
            <w:proofErr w:type="spellEnd"/>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fldSimple w:instr=" SEQ Proposal \* ARABIC ">
              <w:r>
                <w:t>7</w:t>
              </w:r>
            </w:fldSimple>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 xml:space="preserve">neighboring sets of PDCCH </w:t>
            </w:r>
            <w:proofErr w:type="spellStart"/>
            <w:r>
              <w:rPr>
                <w:u w:val="single"/>
              </w:rPr>
              <w:t>MOs</w:t>
            </w:r>
            <w:r>
              <w:rPr>
                <w:rFonts w:cs="Arial"/>
                <w:bCs/>
                <w:kern w:val="2"/>
                <w:u w:val="single"/>
                <w:lang w:eastAsia="ja-JP"/>
              </w:rPr>
              <w:t>.</w:t>
            </w:r>
            <w:proofErr w:type="spellEnd"/>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w:t>
            </w:r>
            <w:proofErr w:type="spellStart"/>
            <w:r>
              <w:rPr>
                <w:rFonts w:eastAsia="MS Mincho" w:cs="Arial"/>
                <w:kern w:val="2"/>
                <w:szCs w:val="20"/>
                <w:lang w:eastAsia="ja-JP"/>
              </w:rPr>
              <w:t>lti</w:t>
            </w:r>
            <w:proofErr w:type="spellEnd"/>
            <w:r>
              <w:rPr>
                <w:rFonts w:eastAsia="MS Mincho" w:cs="Arial"/>
                <w:kern w:val="2"/>
                <w:szCs w:val="20"/>
                <w:lang w:eastAsia="ja-JP"/>
              </w:rPr>
              <w:t xml:space="preserve">-slot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w:t>
            </w:r>
            <w:proofErr w:type="spellStart"/>
            <w:r>
              <w:rPr>
                <w:rFonts w:eastAsia="Batang"/>
                <w:lang w:eastAsia="ko-KR"/>
              </w:rPr>
              <w:t>signalling</w:t>
            </w:r>
            <w:proofErr w:type="spellEnd"/>
            <w:r>
              <w:rPr>
                <w:rFonts w:eastAsia="Batang"/>
                <w:lang w:eastAsia="ko-KR"/>
              </w:rPr>
              <w:t xml:space="preserve">. A preferred reference length can be </w:t>
            </w:r>
            <w:proofErr w:type="spellStart"/>
            <w:r>
              <w:rPr>
                <w:rFonts w:eastAsia="Batang"/>
                <w:lang w:eastAsia="ko-KR"/>
              </w:rPr>
              <w:t>signalled</w:t>
            </w:r>
            <w:proofErr w:type="spellEnd"/>
            <w:r>
              <w:rPr>
                <w:rFonts w:eastAsia="Batang"/>
                <w:lang w:eastAsia="ko-KR"/>
              </w:rPr>
              <w:t xml:space="preserve">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w:t>
            </w:r>
            <w:proofErr w:type="spellStart"/>
            <w:r>
              <w:rPr>
                <w:rFonts w:eastAsia="Batang"/>
                <w:lang w:eastAsia="ko-KR"/>
              </w:rPr>
              <w:t>gNB’s</w:t>
            </w:r>
            <w:proofErr w:type="spellEnd"/>
            <w:r>
              <w:rPr>
                <w:rFonts w:eastAsia="Batang"/>
                <w:lang w:eastAsia="ko-KR"/>
              </w:rPr>
              <w:t xml:space="preserve">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w:t>
            </w:r>
            <w:proofErr w:type="spellStart"/>
            <w:r>
              <w:rPr>
                <w:rFonts w:eastAsia="Batang"/>
                <w:lang w:eastAsia="ko-KR"/>
              </w:rPr>
              <w:t>th</w:t>
            </w:r>
            <w:proofErr w:type="spellEnd"/>
            <w:r>
              <w:rPr>
                <w:rFonts w:eastAsia="Batang"/>
                <w:lang w:eastAsia="ko-KR"/>
              </w:rPr>
              <w:t xml:space="preserve"> sliding window may be dropped again in (n+1)-</w:t>
            </w:r>
            <w:proofErr w:type="spellStart"/>
            <w:r>
              <w:rPr>
                <w:rFonts w:eastAsia="Batang"/>
                <w:lang w:eastAsia="ko-KR"/>
              </w:rPr>
              <w:t>th</w:t>
            </w:r>
            <w:proofErr w:type="spellEnd"/>
            <w:r>
              <w:rPr>
                <w:rFonts w:eastAsia="Batang"/>
                <w:lang w:eastAsia="ko-KR"/>
              </w:rPr>
              <w:t xml:space="preserve">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pt;height:109.5pt;mso-width-percent:0;mso-height-percent:0;mso-width-percent:0;mso-height-percent:0" o:ole="">
                  <v:imagedata r:id="rId31" o:title=""/>
                </v:shape>
                <o:OLEObject Type="Embed" ProgID="Visio.Drawing.15" ShapeID="_x0000_i1031" DrawAspect="Content" ObjectID="_1680370500"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Heading3"/>
        <w:rPr>
          <w:lang w:val="en-GB" w:eastAsia="zh-CN"/>
        </w:rPr>
      </w:pPr>
      <w:r>
        <w:rPr>
          <w:lang w:val="en-GB" w:eastAsia="zh-CN"/>
        </w:rPr>
        <w:t>R1-2103449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w:t>
            </w:r>
            <w:proofErr w:type="spellStart"/>
            <w:r>
              <w:rPr>
                <w:rFonts w:ascii="Arial" w:eastAsia="Calibri" w:hAnsi="Arial" w:cs="Arial"/>
                <w:bCs/>
              </w:rPr>
              <w:t>eMBB</w:t>
            </w:r>
            <w:proofErr w:type="spellEnd"/>
            <w:r>
              <w:rPr>
                <w:rFonts w:ascii="Arial" w:eastAsia="Calibri" w:hAnsi="Arial" w:cs="Arial"/>
                <w:bCs/>
              </w:rPr>
              <w:t xml:space="preserve">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proofErr w:type="spellStart"/>
            <w:r>
              <w:rPr>
                <w:i/>
              </w:rPr>
              <w:t>monitoringSymbolsWithinSlot</w:t>
            </w:r>
            <w:proofErr w:type="spellEnd"/>
            <w:r>
              <w:rPr>
                <w:i/>
              </w:rPr>
              <w:t xml:space="preserve"> </w:t>
            </w:r>
            <w:r>
              <w:t>in</w:t>
            </w:r>
            <w:r>
              <w:rPr>
                <w:i/>
              </w:rPr>
              <w:t xml:space="preserve"> </w:t>
            </w:r>
            <w:proofErr w:type="spellStart"/>
            <w:r>
              <w:rPr>
                <w:i/>
              </w:rPr>
              <w:t>SearchSpace</w:t>
            </w:r>
            <w:proofErr w:type="spellEnd"/>
            <w:r>
              <w:rPr>
                <w:color w:val="000000" w:themeColor="text1"/>
                <w:lang w:eastAsia="zh-CN"/>
              </w:rPr>
              <w:t xml:space="preserve">. For example, the start symbol of PDCCH monitoring for UE </w:t>
            </w:r>
            <w:proofErr w:type="spellStart"/>
            <w:r>
              <w:rPr>
                <w:color w:val="000000" w:themeColor="text1"/>
                <w:lang w:eastAsia="zh-CN"/>
              </w:rPr>
              <w:t>i</w:t>
            </w:r>
            <w:proofErr w:type="spellEnd"/>
            <w:r>
              <w:rPr>
                <w:rFonts w:hint="eastAsia"/>
                <w:color w:val="000000" w:themeColor="text1"/>
                <w:lang w:eastAsia="zh-CN"/>
              </w:rPr>
              <w:t>(</w:t>
            </w:r>
            <w:proofErr w:type="spellStart"/>
            <w:r>
              <w:rPr>
                <w:color w:val="000000" w:themeColor="text1"/>
                <w:lang w:eastAsia="zh-CN"/>
              </w:rPr>
              <w:t>i</w:t>
            </w:r>
            <w:proofErr w:type="spellEnd"/>
            <w:r>
              <w:rPr>
                <w:color w:val="000000" w:themeColor="text1"/>
                <w:lang w:eastAsia="zh-CN"/>
              </w:rPr>
              <w:t>=0,1,2,3)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5" w:name="_Ref68018795"/>
            <w:r>
              <w:t xml:space="preserve">Figure </w:t>
            </w:r>
            <w:fldSimple w:instr=" SEQ Figure \* ARABIC ">
              <w:r>
                <w:t>2</w:t>
              </w:r>
            </w:fldSimple>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proofErr w:type="spellStart"/>
            <w:r>
              <w:rPr>
                <w:rFonts w:ascii="Times New Roman" w:hAnsi="Times New Roman"/>
                <w:i/>
                <w:sz w:val="21"/>
                <w:lang w:eastAsia="zh-CN"/>
              </w:rPr>
              <w:t>SearchSpace</w:t>
            </w:r>
            <w:proofErr w:type="spellEnd"/>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proofErr w:type="spellStart"/>
            <w:r>
              <w:rPr>
                <w:i/>
                <w:lang w:eastAsia="zh-CN"/>
              </w:rPr>
              <w:t>searchspace</w:t>
            </w:r>
            <w:proofErr w:type="spellEnd"/>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2.75pt;height:87pt;mso-width-percent:0;mso-height-percent:0;mso-width-percent:0;mso-height-percent:0" o:ole="">
                  <v:imagedata r:id="rId34" o:title=""/>
                </v:shape>
                <o:OLEObject Type="Embed" ProgID="Visio.Drawing.11" ShapeID="_x0000_i1032" DrawAspect="Content" ObjectID="_1680370501" r:id="rId35"/>
              </w:object>
            </w:r>
          </w:p>
          <w:p w14:paraId="02DADE7B" w14:textId="77777777" w:rsidR="00BF303B" w:rsidRDefault="006222A6">
            <w:pPr>
              <w:pStyle w:val="Caption"/>
              <w:rPr>
                <w:lang w:eastAsia="zh-CN"/>
              </w:rPr>
            </w:pPr>
            <w:bookmarkStart w:id="178" w:name="_Ref67922454"/>
            <w:bookmarkStart w:id="179" w:name="_Ref68631385"/>
            <w:r>
              <w:t xml:space="preserve">Figure </w:t>
            </w:r>
            <w:fldSimple w:instr=" SEQ Figure \* ARABIC ">
              <w:r>
                <w:t>3</w:t>
              </w:r>
            </w:fldSimple>
            <w:bookmarkEnd w:id="178"/>
            <w:r>
              <w:rPr>
                <w:lang w:eastAsia="zh-CN"/>
              </w:rPr>
              <w:t>: Example for MO configuration (</w:t>
            </w:r>
            <w:proofErr w:type="spellStart"/>
            <w:r>
              <w:rPr>
                <w:lang w:eastAsia="zh-CN"/>
              </w:rPr>
              <w:t>T_periodicity</w:t>
            </w:r>
            <w:proofErr w:type="spellEnd"/>
            <w:r>
              <w:rPr>
                <w:lang w:eastAsia="zh-CN"/>
              </w:rPr>
              <w:t>=</w:t>
            </w:r>
            <w:r>
              <w:rPr>
                <w:rFonts w:hint="eastAsia"/>
                <w:lang w:eastAsia="zh-CN"/>
              </w:rPr>
              <w:t>12 slots</w:t>
            </w:r>
            <w:r>
              <w:rPr>
                <w:lang w:eastAsia="zh-CN"/>
              </w:rPr>
              <w:t xml:space="preserve">, </w:t>
            </w:r>
            <w:proofErr w:type="spellStart"/>
            <w:r>
              <w:rPr>
                <w:lang w:eastAsia="zh-CN"/>
              </w:rPr>
              <w:t>k_offset</w:t>
            </w:r>
            <w:proofErr w:type="spellEnd"/>
            <w:r>
              <w:rPr>
                <w:lang w:eastAsia="zh-CN"/>
              </w:rPr>
              <w:t>=0)</w:t>
            </w:r>
            <w:bookmarkEnd w:id="179"/>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proofErr w:type="spellStart"/>
            <w:r>
              <w:rPr>
                <w:b/>
                <w:i/>
                <w:lang w:eastAsia="zh-CN"/>
              </w:rPr>
              <w:t>searchspace</w:t>
            </w:r>
            <w:proofErr w:type="spellEnd"/>
            <w:r>
              <w:rPr>
                <w:b/>
                <w:i/>
                <w:lang w:eastAsia="zh-CN"/>
              </w:rPr>
              <w:t xml:space="preserv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1" w:name="_Ref68624864"/>
            <w:r>
              <w:t xml:space="preserve">Figure </w:t>
            </w:r>
            <w:fldSimple w:instr=" SEQ Figure \* ARABIC ">
              <w:r>
                <w:t>2</w:t>
              </w:r>
            </w:fldSimple>
            <w:bookmarkEnd w:id="181"/>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where the USS MOs are configured per (X, Y) = (56, 3), UE1’s CSS and USS MOs coincide in the same span and it can monitor both the CSS and USS. However, UE2, UE3, and UE4 cannot monitor both CSS and USS MOs since the minimum separation of X = 56 symbols is not satisfied between CSS and USS </w:t>
            </w:r>
            <w:proofErr w:type="spellStart"/>
            <w:r>
              <w:rPr>
                <w:lang w:eastAsia="zh-CN"/>
              </w:rPr>
              <w:t>MOs.</w:t>
            </w:r>
            <w:proofErr w:type="spellEnd"/>
          </w:p>
          <w:p w14:paraId="1A3F5418" w14:textId="77777777" w:rsidR="00BF303B" w:rsidRDefault="004E38AF">
            <w:pPr>
              <w:jc w:val="center"/>
            </w:pPr>
            <w:r>
              <w:rPr>
                <w:noProof/>
              </w:rPr>
              <w:object w:dxaOrig="9327" w:dyaOrig="4015" w14:anchorId="7025CBBB">
                <v:shape id="_x0000_i1033" type="#_x0000_t75" alt="" style="width:468.75pt;height:201pt;mso-width-percent:0;mso-height-percent:0;mso-width-percent:0;mso-height-percent:0" o:ole="">
                  <v:imagedata r:id="rId37" o:title=""/>
                </v:shape>
                <o:OLEObject Type="Embed" ProgID="Visio.Drawing.15" ShapeID="_x0000_i1033" DrawAspect="Content" ObjectID="_1680370502" r:id="rId38"/>
              </w:object>
            </w:r>
          </w:p>
          <w:p w14:paraId="0A89E913" w14:textId="77777777" w:rsidR="00BF303B" w:rsidRDefault="006222A6">
            <w:pPr>
              <w:pStyle w:val="Caption"/>
            </w:pPr>
            <w:bookmarkStart w:id="182" w:name="_Ref68206910"/>
            <w:r>
              <w:t xml:space="preserve">Figure </w:t>
            </w:r>
            <w:fldSimple w:instr=" SEQ Figure \* ARABIC ">
              <w:r>
                <w:t>1</w:t>
              </w:r>
            </w:fldSimple>
            <w:bookmarkEnd w:id="182"/>
            <w:r>
              <w:t xml:space="preserve">: Configuration example of USS and CSS </w:t>
            </w:r>
            <w:proofErr w:type="spellStart"/>
            <w:r>
              <w:t>MOs.</w:t>
            </w:r>
            <w:proofErr w:type="spellEnd"/>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 xml:space="preserve">are only for </w:t>
            </w:r>
            <w:proofErr w:type="spellStart"/>
            <w:r>
              <w:rPr>
                <w:b/>
              </w:rPr>
              <w:t>SCells</w:t>
            </w:r>
            <w:proofErr w:type="spellEnd"/>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w:t>
            </w:r>
            <w:proofErr w:type="spellStart"/>
            <w:r>
              <w:rPr>
                <w:lang w:eastAsia="zh-CN"/>
              </w:rPr>
              <w:t>SCells</w:t>
            </w:r>
            <w:proofErr w:type="spellEnd"/>
            <w:r>
              <w:rPr>
                <w:lang w:eastAsia="zh-CN"/>
              </w:rPr>
              <w:t xml:space="preserve">.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 xml:space="preserve">Case 2) 480 kHz and 960 kHz SCSs are also for </w:t>
            </w:r>
            <w:proofErr w:type="spellStart"/>
            <w:r>
              <w:rPr>
                <w:b/>
                <w:bCs/>
                <w:lang w:eastAsia="zh-CN"/>
              </w:rPr>
              <w:t>PCell</w:t>
            </w:r>
            <w:proofErr w:type="spellEnd"/>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which is not compliant with multi-slot PDCCH monitoring. T</w:t>
            </w:r>
            <w:proofErr w:type="spellStart"/>
            <w:r>
              <w:t>hus</w:t>
            </w:r>
            <w:proofErr w:type="spellEnd"/>
            <w:r>
              <w:t xml:space="preserve">,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w:t>
            </w:r>
            <w:proofErr w:type="spellStart"/>
            <w:r>
              <w:t>naling</w:t>
            </w:r>
            <w:proofErr w:type="spellEnd"/>
            <w:r>
              <w:t>,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fldSimple w:instr=" SEQ Proposal \* ARABIC ">
              <w:r>
                <w:t>8</w:t>
              </w:r>
            </w:fldSimple>
            <w:r>
              <w:t xml:space="preserve">: If 480 kHz or 960 kHz is supported for initial access in the </w:t>
            </w:r>
            <w:proofErr w:type="spellStart"/>
            <w:r>
              <w:t>SPCell</w:t>
            </w:r>
            <w:proofErr w:type="spellEnd"/>
            <w:r>
              <w:t>,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25pt;height:2in;mso-width-percent:0;mso-height-percent:0;mso-width-percent:0;mso-height-percent:0" o:ole="">
                  <v:imagedata r:id="rId39" o:title=""/>
                </v:shape>
                <o:OLEObject Type="Embed" ProgID="Visio.Drawing.15" ShapeID="_x0000_i1034" DrawAspect="Content" ObjectID="_1680370503"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proofErr w:type="spellStart"/>
            <w:r>
              <w:rPr>
                <w:i/>
                <w:lang w:eastAsia="zh-CN"/>
              </w:rPr>
              <w:t>i</w:t>
            </w:r>
            <w:proofErr w:type="spellEnd"/>
            <w:r>
              <w:rPr>
                <w:i/>
                <w:lang w:eastAsia="zh-CN"/>
              </w:rPr>
              <w:t xml:space="preserve">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proofErr w:type="spellStart"/>
            <w:r>
              <w:rPr>
                <w:i/>
                <w:lang w:eastAsia="zh-CN"/>
              </w:rPr>
              <w:t>i</w:t>
            </w:r>
            <w:proofErr w:type="spellEnd"/>
            <w:r>
              <w:rPr>
                <w:i/>
                <w:lang w:eastAsia="zh-CN"/>
              </w:rPr>
              <w:t xml:space="preserve">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proofErr w:type="spellStart"/>
            <w:r>
              <w:rPr>
                <w:i/>
                <w:lang w:eastAsia="zh-CN"/>
              </w:rPr>
              <w:t>i</w:t>
            </w:r>
            <w:proofErr w:type="spellEnd"/>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w:t>
            </w:r>
            <w:proofErr w:type="spellStart"/>
            <w:r>
              <w:rPr>
                <w:rFonts w:eastAsia="SimSun" w:hint="eastAsia"/>
                <w:bCs/>
                <w:lang w:eastAsia="zh-CN"/>
              </w:rPr>
              <w:t>a</w:t>
            </w:r>
            <w:proofErr w:type="spellEnd"/>
            <w:r>
              <w:rPr>
                <w:rFonts w:eastAsia="SimSun" w:hint="eastAsia"/>
                <w:bCs/>
                <w:lang w:eastAsia="zh-CN"/>
              </w:rPr>
              <w:t xml:space="preserve"> integral multiple of X slots (X slots consists a slot group), or is </w:t>
            </w:r>
            <w:proofErr w:type="spellStart"/>
            <w:r>
              <w:rPr>
                <w:rFonts w:eastAsia="SimSun" w:hint="eastAsia"/>
                <w:bCs/>
                <w:lang w:eastAsia="zh-CN"/>
              </w:rPr>
              <w:t>a</w:t>
            </w:r>
            <w:proofErr w:type="spellEnd"/>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w:t>
            </w:r>
            <w:proofErr w:type="spellStart"/>
            <w:r>
              <w:rPr>
                <w:sz w:val="22"/>
                <w:szCs w:val="22"/>
                <w:lang w:val="en-GB" w:eastAsia="zh-CN"/>
              </w:rPr>
              <w:t>PCell</w:t>
            </w:r>
            <w:proofErr w:type="spellEnd"/>
            <w:r>
              <w:rPr>
                <w:sz w:val="22"/>
                <w:szCs w:val="22"/>
                <w:lang w:val="en-GB" w:eastAsia="zh-CN"/>
              </w:rPr>
              <w:t xml:space="preserve"> or </w:t>
            </w:r>
            <w:proofErr w:type="spellStart"/>
            <w:r>
              <w:rPr>
                <w:sz w:val="22"/>
                <w:szCs w:val="22"/>
                <w:lang w:val="en-GB" w:eastAsia="zh-CN"/>
              </w:rPr>
              <w:t>PSCell</w:t>
            </w:r>
            <w:proofErr w:type="spellEnd"/>
            <w:r>
              <w:rPr>
                <w:sz w:val="22"/>
                <w:szCs w:val="22"/>
                <w:lang w:val="en-GB" w:eastAsia="zh-CN"/>
              </w:rPr>
              <w:t xml:space="preserve">,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w:t>
            </w:r>
            <w:proofErr w:type="spellStart"/>
            <w:r>
              <w:rPr>
                <w:sz w:val="22"/>
                <w:szCs w:val="22"/>
                <w:lang w:val="en-GB" w:eastAsia="zh-CN"/>
              </w:rPr>
              <w:t>SCell</w:t>
            </w:r>
            <w:proofErr w:type="spellEnd"/>
            <w:r>
              <w:rPr>
                <w:sz w:val="22"/>
                <w:szCs w:val="22"/>
                <w:lang w:val="en-GB" w:eastAsia="zh-CN"/>
              </w:rPr>
              <w:t xml:space="preserve">,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 xml:space="preserve">Proposal 3: It is expected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w:t>
            </w:r>
            <w:proofErr w:type="spellStart"/>
            <w:r>
              <w:rPr>
                <w:b/>
                <w:bCs/>
                <w:lang w:eastAsia="zh-CN"/>
              </w:rPr>
              <w:t>PCell</w:t>
            </w:r>
            <w:proofErr w:type="spellEnd"/>
            <w:r>
              <w:rPr>
                <w:b/>
                <w:bCs/>
                <w:lang w:eastAsia="zh-CN"/>
              </w:rPr>
              <w:t xml:space="preserve"> or </w:t>
            </w:r>
            <w:proofErr w:type="spellStart"/>
            <w:r>
              <w:rPr>
                <w:b/>
                <w:bCs/>
                <w:lang w:eastAsia="zh-CN"/>
              </w:rPr>
              <w:t>PSCell</w:t>
            </w:r>
            <w:proofErr w:type="spellEnd"/>
            <w:r>
              <w:rPr>
                <w:b/>
                <w:bCs/>
                <w:lang w:eastAsia="zh-CN"/>
              </w:rPr>
              <w:t xml:space="preserve"> </w:t>
            </w:r>
          </w:p>
          <w:p w14:paraId="1EA8B4F6" w14:textId="77777777" w:rsidR="00BF303B" w:rsidRDefault="006222A6">
            <w:pPr>
              <w:pStyle w:val="B1"/>
              <w:numPr>
                <w:ilvl w:val="0"/>
                <w:numId w:val="23"/>
              </w:numPr>
              <w:spacing w:after="120" w:line="240" w:lineRule="auto"/>
              <w:rPr>
                <w:b/>
                <w:bCs/>
                <w:lang w:eastAsia="zh-CN"/>
              </w:rPr>
            </w:pPr>
            <w:r>
              <w:rPr>
                <w:b/>
                <w:bCs/>
                <w:lang w:eastAsia="zh-CN"/>
              </w:rPr>
              <w:t xml:space="preserve">For a </w:t>
            </w:r>
            <w:proofErr w:type="spellStart"/>
            <w:r>
              <w:rPr>
                <w:b/>
                <w:bCs/>
                <w:lang w:eastAsia="zh-CN"/>
              </w:rPr>
              <w:t>SCell</w:t>
            </w:r>
            <w:proofErr w:type="spellEnd"/>
            <w:r>
              <w:rPr>
                <w:b/>
                <w:bCs/>
                <w:lang w:eastAsia="zh-CN"/>
              </w:rPr>
              <w:t>,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25pt;height:102pt;mso-width-percent:0;mso-height-percent:0;mso-width-percent:0;mso-height-percent:0" o:ole="">
                  <v:imagedata r:id="rId43" o:title=""/>
                </v:shape>
                <o:OLEObject Type="Embed" ProgID="Visio.Drawing.15" ShapeID="_x0000_i1035" DrawAspect="Content" ObjectID="_1680370504"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9.25pt;height:366pt;mso-width-percent:0;mso-height-percent:0;mso-width-percent:0;mso-height-percent:0" o:ole="">
                  <v:imagedata r:id="rId45" o:title=""/>
                </v:shape>
                <o:OLEObject Type="Embed" ProgID="Visio.Drawing.15" ShapeID="_x0000_i1036" DrawAspect="Content" ObjectID="_1680370505"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pt;height:2in;mso-width-percent:0;mso-height-percent:0;mso-width-percent:0;mso-height-percent:0" o:ole="">
                  <v:imagedata r:id="rId48" o:title=""/>
                </v:shape>
                <o:OLEObject Type="Embed" ProgID="Visio.Drawing.15" ShapeID="_x0000_i1037" DrawAspect="Content" ObjectID="_1680370506"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w:t>
            </w:r>
            <w:proofErr w:type="spellStart"/>
            <w:r>
              <w:rPr>
                <w:kern w:val="2"/>
                <w:lang w:eastAsia="zh-CN"/>
              </w:rPr>
              <w:t>signalling</w:t>
            </w:r>
            <w:proofErr w:type="spellEnd"/>
            <w:r>
              <w:rPr>
                <w:kern w:val="2"/>
                <w:lang w:eastAsia="zh-CN"/>
              </w:rPr>
              <w:t xml:space="preserve">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proofErr w:type="spellStart"/>
            <w:r>
              <w:rPr>
                <w:i/>
                <w:color w:val="000000"/>
                <w:sz w:val="20"/>
                <w:szCs w:val="20"/>
              </w:rPr>
              <w:t>N</w:t>
            </w:r>
            <w:r>
              <w:rPr>
                <w:i/>
                <w:color w:val="000000"/>
                <w:sz w:val="20"/>
                <w:szCs w:val="20"/>
                <w:vertAlign w:val="subscript"/>
              </w:rPr>
              <w:t>pdsch</w:t>
            </w:r>
            <w:proofErr w:type="spellEnd"/>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proofErr w:type="spellStart"/>
            <w:r>
              <w:rPr>
                <w:b/>
                <w:i/>
                <w:color w:val="000000"/>
                <w:sz w:val="20"/>
                <w:szCs w:val="20"/>
              </w:rPr>
              <w:t>N</w:t>
            </w:r>
            <w:r>
              <w:rPr>
                <w:b/>
                <w:i/>
                <w:color w:val="000000"/>
                <w:sz w:val="20"/>
                <w:szCs w:val="20"/>
                <w:vertAlign w:val="subscript"/>
              </w:rPr>
              <w:t>pdsch</w:t>
            </w:r>
            <w:proofErr w:type="spellEnd"/>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w:t>
            </w:r>
            <w:proofErr w:type="spellStart"/>
            <w:r>
              <w:rPr>
                <w:lang w:val="en-AU"/>
              </w:rPr>
              <w:t>i.e</w:t>
            </w:r>
            <w:proofErr w:type="spellEnd"/>
            <w:r>
              <w:rPr>
                <w:lang w:val="en-AU"/>
              </w:rPr>
              <w:t xml:space="preserv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spellStart"/>
            <w:r>
              <w:rPr>
                <w:i/>
                <w:iCs/>
                <w:lang w:val="en-AU"/>
              </w:rPr>
              <w:t>i.e</w:t>
            </w:r>
            <w:proofErr w:type="spellEnd"/>
            <w:r>
              <w:rPr>
                <w:i/>
                <w:iCs/>
                <w:lang w:val="en-AU"/>
              </w:rPr>
              <w:t xml:space="preserv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w:t>
            </w:r>
            <w:proofErr w:type="spellStart"/>
            <w:r>
              <w:rPr>
                <w:lang w:val="en-GB"/>
              </w:rPr>
              <w:t>MOs.</w:t>
            </w:r>
            <w:proofErr w:type="spellEnd"/>
            <w:r>
              <w:rPr>
                <w:lang w:val="en-GB"/>
              </w:rPr>
              <w:t xml:space="preserve"> Although this alleviates the overhead of PDCCH processing for high SCSs with short slot lengths, the flexibility and latency of scheduling would be adversely affected by the sparsity of the </w:t>
            </w:r>
            <w:proofErr w:type="spellStart"/>
            <w:r>
              <w:rPr>
                <w:lang w:val="en-GB"/>
              </w:rPr>
              <w:t>MOs.</w:t>
            </w:r>
            <w:proofErr w:type="spellEnd"/>
            <w:r>
              <w:rPr>
                <w:lang w:val="en-GB"/>
              </w:rPr>
              <w:t xml:space="preserve">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25pt;height:137.25pt;mso-width-percent:0;mso-height-percent:0;mso-width-percent:0;mso-height-percent:0" o:ole="">
                  <v:imagedata r:id="rId50" o:title=""/>
                </v:shape>
                <o:OLEObject Type="Embed" ProgID="Visio.Drawing.15" ShapeID="_x0000_i1038" DrawAspect="Content" ObjectID="_1680370507" r:id="rId51"/>
              </w:object>
            </w:r>
          </w:p>
          <w:p w14:paraId="4D3F37AC" w14:textId="77777777" w:rsidR="00BF303B" w:rsidRDefault="006222A6">
            <w:pPr>
              <w:pStyle w:val="Caption"/>
              <w:rPr>
                <w:lang w:val="en-GB"/>
              </w:rPr>
            </w:pPr>
            <w:bookmarkStart w:id="242" w:name="_Ref61547006"/>
            <w:r>
              <w:t xml:space="preserve">Figure </w:t>
            </w:r>
            <w:fldSimple w:instr=" SEQ Figure \* ARABIC ">
              <w:r>
                <w:t>3</w:t>
              </w:r>
            </w:fldSimple>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 xml:space="preserve">List of submitted </w:t>
      </w:r>
      <w:proofErr w:type="spellStart"/>
      <w:r>
        <w:t>TDocs</w:t>
      </w:r>
      <w:proofErr w:type="spellEnd"/>
    </w:p>
    <w:p w14:paraId="048D9D7F" w14:textId="77777777" w:rsidR="00BF303B" w:rsidRDefault="006222A6">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 xml:space="preserve">Huawei, </w:t>
      </w:r>
      <w:proofErr w:type="spellStart"/>
      <w:r>
        <w:rPr>
          <w:b/>
          <w:bCs/>
          <w:lang w:val="en-GB"/>
        </w:rPr>
        <w:t>HiSilicon</w:t>
      </w:r>
      <w:proofErr w:type="spellEnd"/>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r>
      <w:proofErr w:type="spellStart"/>
      <w:r>
        <w:rPr>
          <w:b/>
          <w:bCs/>
          <w:lang w:val="en-GB"/>
        </w:rPr>
        <w:t>Spreadtrum</w:t>
      </w:r>
      <w:proofErr w:type="spellEnd"/>
      <w:r>
        <w:rPr>
          <w:b/>
          <w:bCs/>
          <w:lang w:val="en-GB"/>
        </w:rPr>
        <w:t xml:space="preserve">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r>
      <w:proofErr w:type="spellStart"/>
      <w:r>
        <w:rPr>
          <w:b/>
          <w:bCs/>
          <w:lang w:val="en-GB"/>
        </w:rPr>
        <w:t>Convida</w:t>
      </w:r>
      <w:proofErr w:type="spellEnd"/>
      <w:r>
        <w:rPr>
          <w:b/>
          <w:bCs/>
          <w:lang w:val="en-GB"/>
        </w:rPr>
        <w:t xml:space="preserve">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E3716" w14:textId="77777777" w:rsidR="002E3E8F" w:rsidRDefault="002E3E8F" w:rsidP="006222A6">
      <w:pPr>
        <w:spacing w:after="0" w:line="240" w:lineRule="auto"/>
      </w:pPr>
      <w:r>
        <w:separator/>
      </w:r>
    </w:p>
  </w:endnote>
  <w:endnote w:type="continuationSeparator" w:id="0">
    <w:p w14:paraId="3B69DA5A" w14:textId="77777777" w:rsidR="002E3E8F" w:rsidRDefault="002E3E8F"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236E9F" w14:textId="77777777" w:rsidR="002E3E8F" w:rsidRDefault="002E3E8F" w:rsidP="006222A6">
      <w:pPr>
        <w:spacing w:after="0" w:line="240" w:lineRule="auto"/>
      </w:pPr>
      <w:r>
        <w:separator/>
      </w:r>
    </w:p>
  </w:footnote>
  <w:footnote w:type="continuationSeparator" w:id="0">
    <w:p w14:paraId="5B09F530" w14:textId="77777777" w:rsidR="002E3E8F" w:rsidRDefault="002E3E8F"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2"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8"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1"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5"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5"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8"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2"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3"/>
  </w:num>
  <w:num w:numId="3">
    <w:abstractNumId w:val="62"/>
  </w:num>
  <w:num w:numId="4">
    <w:abstractNumId w:val="57"/>
  </w:num>
  <w:num w:numId="5">
    <w:abstractNumId w:val="45"/>
  </w:num>
  <w:num w:numId="6">
    <w:abstractNumId w:val="34"/>
  </w:num>
  <w:num w:numId="7">
    <w:abstractNumId w:val="37"/>
  </w:num>
  <w:num w:numId="8">
    <w:abstractNumId w:val="65"/>
  </w:num>
  <w:num w:numId="9">
    <w:abstractNumId w:val="38"/>
  </w:num>
  <w:num w:numId="10">
    <w:abstractNumId w:val="59"/>
  </w:num>
  <w:num w:numId="11">
    <w:abstractNumId w:val="28"/>
  </w:num>
  <w:num w:numId="12">
    <w:abstractNumId w:val="15"/>
  </w:num>
  <w:num w:numId="13">
    <w:abstractNumId w:val="24"/>
  </w:num>
  <w:num w:numId="14">
    <w:abstractNumId w:val="44"/>
  </w:num>
  <w:num w:numId="15">
    <w:abstractNumId w:val="20"/>
  </w:num>
  <w:num w:numId="16">
    <w:abstractNumId w:val="30"/>
  </w:num>
  <w:num w:numId="17">
    <w:abstractNumId w:val="36"/>
  </w:num>
  <w:num w:numId="18">
    <w:abstractNumId w:val="41"/>
  </w:num>
  <w:num w:numId="19">
    <w:abstractNumId w:val="53"/>
  </w:num>
  <w:num w:numId="20">
    <w:abstractNumId w:val="6"/>
  </w:num>
  <w:num w:numId="21">
    <w:abstractNumId w:val="19"/>
  </w:num>
  <w:num w:numId="22">
    <w:abstractNumId w:val="25"/>
  </w:num>
  <w:num w:numId="23">
    <w:abstractNumId w:val="42"/>
  </w:num>
  <w:num w:numId="24">
    <w:abstractNumId w:val="60"/>
  </w:num>
  <w:num w:numId="25">
    <w:abstractNumId w:val="14"/>
  </w:num>
  <w:num w:numId="26">
    <w:abstractNumId w:val="49"/>
  </w:num>
  <w:num w:numId="27">
    <w:abstractNumId w:val="18"/>
  </w:num>
  <w:num w:numId="28">
    <w:abstractNumId w:val="43"/>
  </w:num>
  <w:num w:numId="29">
    <w:abstractNumId w:val="46"/>
  </w:num>
  <w:num w:numId="30">
    <w:abstractNumId w:val="31"/>
  </w:num>
  <w:num w:numId="31">
    <w:abstractNumId w:val="56"/>
  </w:num>
  <w:num w:numId="32">
    <w:abstractNumId w:val="7"/>
  </w:num>
  <w:num w:numId="33">
    <w:abstractNumId w:val="4"/>
  </w:num>
  <w:num w:numId="34">
    <w:abstractNumId w:val="32"/>
  </w:num>
  <w:num w:numId="35">
    <w:abstractNumId w:val="21"/>
  </w:num>
  <w:num w:numId="36">
    <w:abstractNumId w:val="17"/>
  </w:num>
  <w:num w:numId="37">
    <w:abstractNumId w:val="63"/>
  </w:num>
  <w:num w:numId="38">
    <w:abstractNumId w:val="26"/>
  </w:num>
  <w:num w:numId="39">
    <w:abstractNumId w:val="48"/>
  </w:num>
  <w:num w:numId="40">
    <w:abstractNumId w:val="61"/>
  </w:num>
  <w:num w:numId="41">
    <w:abstractNumId w:val="27"/>
  </w:num>
  <w:num w:numId="42">
    <w:abstractNumId w:val="12"/>
  </w:num>
  <w:num w:numId="43">
    <w:abstractNumId w:val="5"/>
  </w:num>
  <w:num w:numId="44">
    <w:abstractNumId w:val="54"/>
  </w:num>
  <w:num w:numId="45">
    <w:abstractNumId w:val="29"/>
  </w:num>
  <w:num w:numId="46">
    <w:abstractNumId w:val="51"/>
  </w:num>
  <w:num w:numId="47">
    <w:abstractNumId w:val="55"/>
  </w:num>
  <w:num w:numId="48">
    <w:abstractNumId w:val="3"/>
  </w:num>
  <w:num w:numId="49">
    <w:abstractNumId w:val="39"/>
  </w:num>
  <w:num w:numId="50">
    <w:abstractNumId w:val="16"/>
  </w:num>
  <w:num w:numId="51">
    <w:abstractNumId w:val="1"/>
  </w:num>
  <w:num w:numId="52">
    <w:abstractNumId w:val="0"/>
  </w:num>
  <w:num w:numId="53">
    <w:abstractNumId w:val="11"/>
  </w:num>
  <w:num w:numId="54">
    <w:abstractNumId w:val="64"/>
  </w:num>
  <w:num w:numId="55">
    <w:abstractNumId w:val="40"/>
  </w:num>
  <w:num w:numId="56">
    <w:abstractNumId w:val="33"/>
  </w:num>
  <w:num w:numId="57">
    <w:abstractNumId w:val="50"/>
  </w:num>
  <w:num w:numId="58">
    <w:abstractNumId w:val="52"/>
  </w:num>
  <w:num w:numId="59">
    <w:abstractNumId w:val="13"/>
  </w:num>
  <w:num w:numId="60">
    <w:abstractNumId w:val="35"/>
  </w:num>
  <w:num w:numId="61">
    <w:abstractNumId w:val="58"/>
  </w:num>
  <w:num w:numId="62">
    <w:abstractNumId w:val="2"/>
  </w:num>
  <w:num w:numId="63">
    <w:abstractNumId w:val="10"/>
  </w:num>
  <w:num w:numId="64">
    <w:abstractNumId w:val="9"/>
  </w:num>
  <w:num w:numId="65">
    <w:abstractNumId w:val="22"/>
  </w:num>
  <w:num w:numId="66">
    <w:abstractNumId w:val="4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15.wmf"/><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34245DD-4A89-4BB0-BB31-AA4A259E740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28075</Words>
  <Characters>176878</Characters>
  <Application>Microsoft Office Word</Application>
  <DocSecurity>0</DocSecurity>
  <Lines>1473</Lines>
  <Paragraphs>409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204544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ANKIT BHAMRI</cp:lastModifiedBy>
  <cp:revision>9</cp:revision>
  <cp:lastPrinted>2016-08-13T07:06:00Z</cp:lastPrinted>
  <dcterms:created xsi:type="dcterms:W3CDTF">2021-04-19T13:36:00Z</dcterms:created>
  <dcterms:modified xsi:type="dcterms:W3CDTF">2021-04-19T18:47:00Z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