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41E38C3D"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AC5A0C">
        <w:rPr>
          <w:rFonts w:eastAsia="SimSun"/>
          <w:sz w:val="22"/>
          <w:lang w:eastAsia="zh-CN"/>
        </w:rPr>
        <w:t>4</w:t>
      </w:r>
      <w:r w:rsidR="00A95651">
        <w:rPr>
          <w:rFonts w:eastAsia="SimSun"/>
          <w:sz w:val="22"/>
          <w:lang w:eastAsia="zh-CN"/>
        </w:rPr>
        <w:t>b</w:t>
      </w:r>
      <w:r w:rsidR="00B369F1">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A95651">
        <w:rPr>
          <w:rFonts w:eastAsia="SimSun" w:hint="eastAsia"/>
          <w:sz w:val="22"/>
          <w:lang w:eastAsia="zh-CN"/>
        </w:rPr>
        <w:t>2</w:t>
      </w:r>
      <w:r w:rsidR="00A95651">
        <w:rPr>
          <w:rFonts w:eastAsia="SimSun"/>
          <w:sz w:val="22"/>
          <w:lang w:eastAsia="zh-CN"/>
        </w:rPr>
        <w:t>1</w:t>
      </w:r>
      <w:r w:rsidR="007C6C7A">
        <w:rPr>
          <w:rFonts w:eastAsia="SimSun"/>
          <w:sz w:val="22"/>
          <w:lang w:eastAsia="zh-CN"/>
        </w:rPr>
        <w:t>02479</w:t>
      </w:r>
    </w:p>
    <w:p w14:paraId="5274BA97" w14:textId="4315B211"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A95651">
        <w:rPr>
          <w:rFonts w:eastAsia="SimSun"/>
          <w:sz w:val="22"/>
          <w:lang w:eastAsia="zh-CN"/>
        </w:rPr>
        <w:t>April 12</w:t>
      </w:r>
      <w:r w:rsidR="00A95651" w:rsidRPr="0048279C">
        <w:rPr>
          <w:rFonts w:eastAsia="SimSun"/>
          <w:sz w:val="22"/>
          <w:vertAlign w:val="superscript"/>
          <w:lang w:eastAsia="zh-CN"/>
        </w:rPr>
        <w:t>th</w:t>
      </w:r>
      <w:r w:rsidR="00A95651">
        <w:rPr>
          <w:rFonts w:eastAsia="SimSun"/>
          <w:sz w:val="22"/>
          <w:lang w:eastAsia="zh-CN"/>
        </w:rPr>
        <w:t xml:space="preserve"> </w:t>
      </w:r>
      <w:r w:rsidR="002328B0" w:rsidRPr="00240590">
        <w:rPr>
          <w:rFonts w:eastAsia="SimSun"/>
          <w:sz w:val="22"/>
          <w:lang w:eastAsia="zh-CN"/>
        </w:rPr>
        <w:t xml:space="preserve">– </w:t>
      </w:r>
      <w:r w:rsidR="00A95651">
        <w:rPr>
          <w:rFonts w:eastAsia="SimSun"/>
          <w:sz w:val="22"/>
          <w:lang w:eastAsia="zh-CN"/>
        </w:rPr>
        <w:t>20</w:t>
      </w:r>
      <w:r w:rsidR="00A95651" w:rsidRPr="0058641F">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AC5A0C">
        <w:rPr>
          <w:rFonts w:eastAsia="SimSun"/>
          <w:sz w:val="22"/>
          <w:lang w:eastAsia="zh-CN"/>
        </w:rPr>
        <w:t>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FB1AD28"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C6C7A">
        <w:rPr>
          <w:sz w:val="22"/>
        </w:rPr>
        <w:t xml:space="preserve">Discussion on Further </w:t>
      </w:r>
      <w:r w:rsidR="00C8505E">
        <w:rPr>
          <w:rFonts w:eastAsia="SimSun"/>
          <w:sz w:val="22"/>
          <w:lang w:eastAsia="zh-CN"/>
        </w:rPr>
        <w:t xml:space="preserve">Enhancements </w:t>
      </w:r>
      <w:r w:rsidR="007C6C7A">
        <w:rPr>
          <w:rFonts w:eastAsia="SimSun"/>
          <w:sz w:val="22"/>
          <w:lang w:eastAsia="zh-CN"/>
        </w:rPr>
        <w:t>for</w:t>
      </w:r>
      <w:r w:rsidR="000F5BBA">
        <w:rPr>
          <w:rFonts w:eastAsia="SimSun"/>
          <w:sz w:val="22"/>
          <w:lang w:eastAsia="zh-CN"/>
        </w:rPr>
        <w:t xml:space="preserve"> Multi-Beam Operation</w:t>
      </w:r>
    </w:p>
    <w:p w14:paraId="4D626EB5" w14:textId="65C2ACA6"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Pr>
          <w:rFonts w:eastAsia="SimSun"/>
          <w:sz w:val="22"/>
          <w:lang w:eastAsia="zh-CN"/>
        </w:rPr>
        <w:t>.</w:t>
      </w:r>
      <w:r w:rsidR="007C6C7A">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3700539E" w:rsidR="003A33FE" w:rsidRDefault="003A33FE" w:rsidP="00497AFF">
      <w:pPr>
        <w:pStyle w:val="00Text"/>
      </w:pPr>
      <w:r>
        <w:t xml:space="preserve">NR system specify multi-beam operation since 3GPP release 15 mainly to support FR2 systems. New WID for further enhancing NR MIMO [1] includes the objectives </w:t>
      </w:r>
      <w:r w:rsidR="000146F7">
        <w:t xml:space="preserve">of enhancement on </w:t>
      </w:r>
      <w:r>
        <w:t>multi-beam operations</w:t>
      </w:r>
      <w:r w:rsidR="000146F7">
        <w:t>.</w:t>
      </w:r>
      <w:r w:rsidR="00FE750A">
        <w:t xml:space="preserve"> </w:t>
      </w:r>
      <w:r w:rsidR="002328B0" w:rsidRPr="00497AFF">
        <w:t xml:space="preserve">In this contribution, we present our views on </w:t>
      </w:r>
      <w:r w:rsidR="00552DF8">
        <w:t xml:space="preserve">further enhancement for </w:t>
      </w:r>
      <w:r>
        <w:t xml:space="preserve">NR multi-beam operation. In particular, we will present our views on </w:t>
      </w:r>
      <w:r w:rsidR="00552DF8">
        <w:t>UE-imitated beam switching and fast beam refinement</w:t>
      </w:r>
      <w:r>
        <w:t>.</w:t>
      </w:r>
    </w:p>
    <w:p w14:paraId="28F89C01" w14:textId="43BE2333" w:rsidR="00B57810" w:rsidRDefault="00B57810" w:rsidP="00B00EC3">
      <w:pPr>
        <w:pStyle w:val="Heading1"/>
        <w:rPr>
          <w:lang w:eastAsia="zh-CN"/>
        </w:rPr>
      </w:pPr>
      <w:r>
        <w:rPr>
          <w:lang w:eastAsia="zh-CN"/>
        </w:rPr>
        <w:t>UE-</w:t>
      </w:r>
      <w:r w:rsidR="00CF0BEC">
        <w:rPr>
          <w:lang w:eastAsia="zh-CN"/>
        </w:rPr>
        <w:t>initiated</w:t>
      </w:r>
      <w:r>
        <w:rPr>
          <w:lang w:eastAsia="zh-CN"/>
        </w:rPr>
        <w:t xml:space="preserve"> </w:t>
      </w:r>
      <w:r w:rsidR="00AE07A0">
        <w:rPr>
          <w:lang w:eastAsia="zh-CN"/>
        </w:rPr>
        <w:t>beam</w:t>
      </w:r>
      <w:r>
        <w:rPr>
          <w:lang w:eastAsia="zh-CN"/>
        </w:rPr>
        <w:t xml:space="preserve"> </w:t>
      </w:r>
      <w:r w:rsidR="00AE07A0">
        <w:rPr>
          <w:lang w:eastAsia="zh-CN"/>
        </w:rPr>
        <w:t>switching</w:t>
      </w:r>
    </w:p>
    <w:p w14:paraId="4414E3BC" w14:textId="535503FE" w:rsidR="00AE07A0" w:rsidRDefault="00AE07A0" w:rsidP="00B215B0">
      <w:pPr>
        <w:pStyle w:val="00Text"/>
      </w:pPr>
      <w:r>
        <w:t xml:space="preserve">In Rel.15 and Rel.16, the beam switching of PDCCH/PDSCH and PUSCH and PUCCH are </w:t>
      </w:r>
      <w:r w:rsidR="00B215B0">
        <w:t xml:space="preserve">always initiated by the gNB. As specified in Rel.15 and Rel.16, the gNB use MAC CE to switch the TCI state for PDCCH, and MAC CE/DCI to activate and switch the TCI state for PDSCH. Likewise, the gNB can use MAC CE to switch the spatial relation info for PUCCH and PUSCH and associated SRS resources for PUSCH transmission. For Rel.17 FeMIMO, the dynamic TCI state update is also initiated by the gNB. </w:t>
      </w:r>
    </w:p>
    <w:p w14:paraId="7F871052" w14:textId="63A2E2CA" w:rsidR="00B215B0" w:rsidRDefault="00B215B0" w:rsidP="00B215B0">
      <w:pPr>
        <w:pStyle w:val="00Text"/>
      </w:pPr>
      <w:r>
        <w:t xml:space="preserve">Figure 1 illustrates the procedure of NW-initiated </w:t>
      </w:r>
      <w:r w:rsidR="00210CEA">
        <w:t xml:space="preserve">beam switch that is specified in Rel.15 and Rel.16. </w:t>
      </w:r>
    </w:p>
    <w:p w14:paraId="09C79E96" w14:textId="51443BDB" w:rsidR="00B215B0" w:rsidRDefault="00B215B0" w:rsidP="00B215B0">
      <w:pPr>
        <w:pStyle w:val="00Text"/>
        <w:jc w:val="center"/>
      </w:pPr>
      <w:r>
        <w:rPr>
          <w:noProof/>
        </w:rPr>
        <w:drawing>
          <wp:inline distT="0" distB="0" distL="0" distR="0" wp14:anchorId="25589088" wp14:editId="67FFD238">
            <wp:extent cx="4572000" cy="28535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2853558"/>
                    </a:xfrm>
                    <a:prstGeom prst="rect">
                      <a:avLst/>
                    </a:prstGeom>
                    <a:noFill/>
                  </pic:spPr>
                </pic:pic>
              </a:graphicData>
            </a:graphic>
          </wp:inline>
        </w:drawing>
      </w:r>
    </w:p>
    <w:p w14:paraId="73D21CC3" w14:textId="298F4E73" w:rsidR="00210CEA" w:rsidRPr="00B215B0" w:rsidRDefault="00210CEA" w:rsidP="00210CEA">
      <w:pPr>
        <w:pStyle w:val="00Text"/>
        <w:jc w:val="center"/>
        <w:rPr>
          <w:b/>
          <w:bCs/>
        </w:rPr>
      </w:pPr>
      <w:r w:rsidRPr="00B215B0">
        <w:rPr>
          <w:b/>
          <w:bCs/>
        </w:rPr>
        <w:t>Figure 1: NW-initiated beam switch</w:t>
      </w:r>
    </w:p>
    <w:p w14:paraId="2363B74D" w14:textId="0742AF04" w:rsidR="00210CEA" w:rsidRDefault="00210CEA" w:rsidP="00210CEA">
      <w:pPr>
        <w:pStyle w:val="00Text"/>
      </w:pPr>
      <w:r>
        <w:t>As shown in the procedure in Fig 1, even though the UE knows which beam is the best beam for DL transmission and/or uplink transmission by measuring the CSI-RS resources for beam management, the UE still need to wait for the beam switch command (for instance MAC CE command that indicates or activates TCI state for PDCCH/PDSCH or MAC CE command that indicates spatial relation info for PUSCH or PUCCH). That introduces both extra signaling overhead and latency for beam switch.</w:t>
      </w:r>
    </w:p>
    <w:p w14:paraId="1B020034" w14:textId="67294726" w:rsidR="00210CEA" w:rsidRDefault="00210CEA" w:rsidP="00210CEA">
      <w:pPr>
        <w:pStyle w:val="00Text"/>
      </w:pPr>
      <w:r>
        <w:lastRenderedPageBreak/>
        <w:t xml:space="preserve">To resolve that issue, we propose to study UE-initiated beam switch. </w:t>
      </w:r>
      <w:r w:rsidR="0051236D">
        <w:t xml:space="preserve">A general procedure for UE-initiated beam switch is given in Figure 2. </w:t>
      </w:r>
    </w:p>
    <w:p w14:paraId="24E7010C" w14:textId="4F251E6E" w:rsidR="00210CEA" w:rsidRDefault="0051236D" w:rsidP="0051236D">
      <w:pPr>
        <w:pStyle w:val="00Text"/>
        <w:jc w:val="center"/>
      </w:pPr>
      <w:r>
        <w:rPr>
          <w:noProof/>
        </w:rPr>
        <w:drawing>
          <wp:inline distT="0" distB="0" distL="0" distR="0" wp14:anchorId="1723D5DB" wp14:editId="3E5E69E3">
            <wp:extent cx="4572000" cy="285356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2853562"/>
                    </a:xfrm>
                    <a:prstGeom prst="rect">
                      <a:avLst/>
                    </a:prstGeom>
                    <a:noFill/>
                  </pic:spPr>
                </pic:pic>
              </a:graphicData>
            </a:graphic>
          </wp:inline>
        </w:drawing>
      </w:r>
    </w:p>
    <w:p w14:paraId="74763AE2" w14:textId="27121EAE" w:rsidR="00210CEA" w:rsidRDefault="00210CEA" w:rsidP="00210CEA">
      <w:pPr>
        <w:pStyle w:val="00Text"/>
        <w:jc w:val="center"/>
        <w:rPr>
          <w:b/>
          <w:bCs/>
        </w:rPr>
      </w:pPr>
      <w:r w:rsidRPr="00210CEA">
        <w:rPr>
          <w:b/>
          <w:bCs/>
        </w:rPr>
        <w:t>Figure 2: UE-initiated beam switch</w:t>
      </w:r>
    </w:p>
    <w:p w14:paraId="14E0F31E" w14:textId="77777777" w:rsidR="000305B5" w:rsidRDefault="0051236D" w:rsidP="0051236D">
      <w:pPr>
        <w:pStyle w:val="00Text"/>
      </w:pPr>
      <w:r>
        <w:t>Similar to the multi-beam operation specified in Rel.15 and Rel.16, the gNB first configures the UE to measure a set of CSI-RS resources for beam management. According to the configuration information, the UE can measure the CSI-RS resources for BM and then select the ‘best’ beam for DL transmission and/or UL transmission according the metric for instance L1-RSRP or L1-SINR.  Then the UE can indicate the selected ‘best’ beam to the NW</w:t>
      </w:r>
      <w:r w:rsidR="000305B5">
        <w:t xml:space="preserve"> and both gNB and UE switch the beam starting from a given time point after that. Compared with NW-initiated beam switch, the UE-initiated beam switch does not need beam reporting and DL signaling for TCI switch. </w:t>
      </w:r>
    </w:p>
    <w:p w14:paraId="4489B580" w14:textId="33F7E02B" w:rsidR="000305B5" w:rsidRPr="00795ADD" w:rsidRDefault="000305B5" w:rsidP="000305B5">
      <w:pPr>
        <w:pStyle w:val="000proposals"/>
        <w:rPr>
          <w:i/>
          <w:iCs w:val="0"/>
        </w:rPr>
      </w:pPr>
      <w:r w:rsidRPr="00795ADD">
        <w:rPr>
          <w:i/>
          <w:iCs w:val="0"/>
        </w:rPr>
        <w:t xml:space="preserve">Proposal </w:t>
      </w:r>
      <w:r w:rsidR="00023889">
        <w:rPr>
          <w:i/>
          <w:iCs w:val="0"/>
        </w:rPr>
        <w:t>1</w:t>
      </w:r>
      <w:r w:rsidRPr="00795ADD">
        <w:rPr>
          <w:i/>
          <w:iCs w:val="0"/>
        </w:rPr>
        <w:t xml:space="preserve">: Study to support UE-initiated beam switch. </w:t>
      </w:r>
    </w:p>
    <w:p w14:paraId="4CFA17F7" w14:textId="7B03DA07" w:rsidR="00AE07A0" w:rsidRDefault="00A36E41" w:rsidP="00B00EC3">
      <w:pPr>
        <w:pStyle w:val="Heading1"/>
        <w:rPr>
          <w:lang w:eastAsia="zh-CN"/>
        </w:rPr>
      </w:pPr>
      <w:r>
        <w:rPr>
          <w:lang w:eastAsia="zh-CN"/>
        </w:rPr>
        <w:t>Fast beam refinement</w:t>
      </w:r>
      <w:r w:rsidR="00B21CE2">
        <w:rPr>
          <w:lang w:eastAsia="zh-CN"/>
        </w:rPr>
        <w:t xml:space="preserve"> </w:t>
      </w:r>
    </w:p>
    <w:p w14:paraId="5D7D5C45" w14:textId="7E9B44CC" w:rsidR="00A36E41" w:rsidRPr="00CF4457" w:rsidRDefault="00CF4457" w:rsidP="00CF4457">
      <w:pPr>
        <w:pStyle w:val="00Text"/>
      </w:pPr>
      <w:r w:rsidRPr="00CF4457">
        <w:t>The bottleneck for TCI switch is how fast a UE can track one beam and how fast the UE can determine the ‘best’ Rx beam for the indicated TCI.</w:t>
      </w:r>
      <w:r>
        <w:t xml:space="preserve"> In unified TCI framework, the gNB can indicate one TCI state to provide common QCL information for PDCCH and PDSCH and/or common spatial filter for PUSCH and PUCCH. To minimize the latency of </w:t>
      </w:r>
      <w:r w:rsidR="004F1C5C">
        <w:t>applying a newly indicated TCI state, the gNB shall provide assistance to the UE so that the UE is able to track the TCI state immediately after the TCI state is indicated.</w:t>
      </w:r>
    </w:p>
    <w:p w14:paraId="2B4F41DB" w14:textId="0827E18E" w:rsidR="00B21CE2" w:rsidRDefault="004F1C5C" w:rsidP="004F1C5C">
      <w:pPr>
        <w:pStyle w:val="00Text"/>
      </w:pPr>
      <w:r>
        <w:t xml:space="preserve">To support that, we can configure the association between a set of CSI-RS </w:t>
      </w:r>
      <w:r w:rsidR="006B77E7">
        <w:t xml:space="preserve">resources </w:t>
      </w:r>
      <w:r>
        <w:t xml:space="preserve">for beam management and the indicated TCI state providing common QCL and/or spatial filter. </w:t>
      </w:r>
      <w:r w:rsidR="006B77E7">
        <w:t>The latest indicated TCI is always applied to that set of CSI-RS resources. When a new TCI state is indicated, that set of CSI-RS resources can be triggered along with the TCI state indication so that the UE can refine Rx beam with respect to the latest TCI.</w:t>
      </w:r>
      <w:r w:rsidR="001D016C">
        <w:t xml:space="preserve"> A procedure for that is illustrated in Figure 3.  </w:t>
      </w:r>
    </w:p>
    <w:p w14:paraId="43CDF3ED" w14:textId="131DE94B" w:rsidR="00B21CE2" w:rsidRDefault="00B21CE2" w:rsidP="00E62029">
      <w:pPr>
        <w:pStyle w:val="BodyText"/>
        <w:jc w:val="center"/>
        <w:rPr>
          <w:lang w:eastAsia="zh-CN"/>
        </w:rPr>
      </w:pPr>
      <w:r>
        <w:rPr>
          <w:noProof/>
          <w:lang w:eastAsia="zh-CN"/>
        </w:rPr>
        <w:lastRenderedPageBreak/>
        <w:drawing>
          <wp:inline distT="0" distB="0" distL="0" distR="0" wp14:anchorId="4140AAA0" wp14:editId="434397A8">
            <wp:extent cx="4572000" cy="35538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553824"/>
                    </a:xfrm>
                    <a:prstGeom prst="rect">
                      <a:avLst/>
                    </a:prstGeom>
                    <a:noFill/>
                  </pic:spPr>
                </pic:pic>
              </a:graphicData>
            </a:graphic>
          </wp:inline>
        </w:drawing>
      </w:r>
    </w:p>
    <w:p w14:paraId="7D8B8CE0" w14:textId="3F911CB2" w:rsidR="00E62029" w:rsidRPr="00411817" w:rsidRDefault="00E62029" w:rsidP="00411817">
      <w:pPr>
        <w:pStyle w:val="00Text"/>
        <w:jc w:val="center"/>
        <w:rPr>
          <w:b/>
          <w:bCs/>
        </w:rPr>
      </w:pPr>
      <w:r w:rsidRPr="00411817">
        <w:rPr>
          <w:b/>
          <w:bCs/>
        </w:rPr>
        <w:t>Figure 3: Fast beam refinement in unified TCI framework</w:t>
      </w:r>
    </w:p>
    <w:p w14:paraId="2649FBAC" w14:textId="51BF73DF" w:rsidR="006A3087" w:rsidRDefault="006A3087" w:rsidP="00962DD7">
      <w:pPr>
        <w:pStyle w:val="00Text"/>
      </w:pPr>
    </w:p>
    <w:p w14:paraId="370E58E0" w14:textId="77777777" w:rsidR="004F1C5C" w:rsidRDefault="004F1C5C" w:rsidP="000223D1">
      <w:pPr>
        <w:pStyle w:val="000proposals"/>
      </w:pPr>
    </w:p>
    <w:p w14:paraId="2C6C45F5" w14:textId="68AE7F12" w:rsidR="000223D1" w:rsidRPr="00795ADD" w:rsidRDefault="000223D1" w:rsidP="000223D1">
      <w:pPr>
        <w:pStyle w:val="000proposals"/>
        <w:rPr>
          <w:i/>
          <w:iCs w:val="0"/>
        </w:rPr>
      </w:pPr>
      <w:r w:rsidRPr="00795ADD">
        <w:rPr>
          <w:i/>
          <w:iCs w:val="0"/>
        </w:rPr>
        <w:t xml:space="preserve">Proposal </w:t>
      </w:r>
      <w:r w:rsidR="00023889">
        <w:rPr>
          <w:i/>
          <w:iCs w:val="0"/>
        </w:rPr>
        <w:t>2</w:t>
      </w:r>
      <w:r w:rsidRPr="00795ADD">
        <w:rPr>
          <w:i/>
          <w:iCs w:val="0"/>
        </w:rPr>
        <w:t xml:space="preserve">: Support to associate a CSI-RS resource set </w:t>
      </w:r>
      <w:r w:rsidR="00A41396" w:rsidRPr="00795ADD">
        <w:rPr>
          <w:i/>
          <w:iCs w:val="0"/>
        </w:rPr>
        <w:t>with</w:t>
      </w:r>
      <w:r w:rsidRPr="00795ADD">
        <w:rPr>
          <w:i/>
          <w:iCs w:val="0"/>
        </w:rPr>
        <w:t xml:space="preserve"> </w:t>
      </w:r>
      <w:r w:rsidR="006B77E7" w:rsidRPr="00795ADD">
        <w:rPr>
          <w:i/>
          <w:iCs w:val="0"/>
        </w:rPr>
        <w:t>repetition = ‘On’</w:t>
      </w:r>
      <w:r w:rsidRPr="00795ADD">
        <w:rPr>
          <w:i/>
          <w:iCs w:val="0"/>
        </w:rPr>
        <w:t xml:space="preserve"> with the common QCL information </w:t>
      </w:r>
      <w:r w:rsidR="00E629A4" w:rsidRPr="00795ADD">
        <w:rPr>
          <w:i/>
          <w:iCs w:val="0"/>
        </w:rPr>
        <w:t xml:space="preserve">and common TCI update </w:t>
      </w:r>
      <w:r w:rsidRPr="00795ADD">
        <w:rPr>
          <w:i/>
          <w:iCs w:val="0"/>
        </w:rPr>
        <w:t xml:space="preserve">in unified TCI framework to reduce the latency of beam refinement. </w:t>
      </w:r>
    </w:p>
    <w:p w14:paraId="69A8645B" w14:textId="7731E88F" w:rsidR="00F65FEA" w:rsidRDefault="00F65FEA" w:rsidP="00F65FEA">
      <w:pPr>
        <w:pStyle w:val="01"/>
        <w:numPr>
          <w:ilvl w:val="0"/>
          <w:numId w:val="1"/>
        </w:numPr>
        <w:ind w:left="562" w:hanging="562"/>
      </w:pPr>
      <w:r>
        <w:t>Conclusion</w:t>
      </w:r>
    </w:p>
    <w:p w14:paraId="104C3E8B" w14:textId="1B77B2E2" w:rsidR="002328B0" w:rsidRDefault="002328B0" w:rsidP="002328B0">
      <w:pPr>
        <w:pStyle w:val="00Text"/>
      </w:pPr>
      <w:r w:rsidRPr="001B2F18">
        <w:t xml:space="preserve">In this contribution, we presented our views on </w:t>
      </w:r>
      <w:r w:rsidR="00294100">
        <w:t>enhancement for multi-beam operation</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w:t>
      </w:r>
      <w:r w:rsidR="00D51D31">
        <w:t xml:space="preserve"> and observations</w:t>
      </w:r>
      <w:r w:rsidRPr="001B2F18">
        <w:t xml:space="preserve"> are provided</w:t>
      </w:r>
      <w:r w:rsidRPr="001B2F18">
        <w:rPr>
          <w:rFonts w:hint="eastAsia"/>
        </w:rPr>
        <w:t>:</w:t>
      </w:r>
    </w:p>
    <w:p w14:paraId="3D1935D7" w14:textId="0E4ADCB6" w:rsidR="00B93B8A" w:rsidRDefault="00B93B8A" w:rsidP="00B93B8A">
      <w:pPr>
        <w:pStyle w:val="000proposals"/>
        <w:rPr>
          <w:i/>
          <w:iCs w:val="0"/>
        </w:rPr>
      </w:pPr>
      <w:r w:rsidRPr="00795ADD">
        <w:rPr>
          <w:i/>
          <w:iCs w:val="0"/>
        </w:rPr>
        <w:t xml:space="preserve">Proposal </w:t>
      </w:r>
      <w:r>
        <w:rPr>
          <w:i/>
          <w:iCs w:val="0"/>
        </w:rPr>
        <w:t>1</w:t>
      </w:r>
      <w:r w:rsidRPr="00795ADD">
        <w:rPr>
          <w:i/>
          <w:iCs w:val="0"/>
        </w:rPr>
        <w:t xml:space="preserve">: Study to support UE-initiated beam switch </w:t>
      </w:r>
    </w:p>
    <w:p w14:paraId="0ADCF25B" w14:textId="77777777" w:rsidR="00B93B8A" w:rsidRPr="00795ADD" w:rsidRDefault="00B93B8A" w:rsidP="00B93B8A">
      <w:pPr>
        <w:pStyle w:val="000proposals"/>
        <w:rPr>
          <w:i/>
          <w:iCs w:val="0"/>
        </w:rPr>
      </w:pPr>
      <w:r w:rsidRPr="00795ADD">
        <w:rPr>
          <w:i/>
          <w:iCs w:val="0"/>
        </w:rPr>
        <w:t xml:space="preserve">Proposal </w:t>
      </w:r>
      <w:r>
        <w:rPr>
          <w:i/>
          <w:iCs w:val="0"/>
        </w:rPr>
        <w:t>2</w:t>
      </w:r>
      <w:r w:rsidRPr="00795ADD">
        <w:rPr>
          <w:i/>
          <w:iCs w:val="0"/>
        </w:rPr>
        <w:t xml:space="preserve">: Support to associate a CSI-RS resource set with repetition = ‘On’ with the common QCL information and common TCI update in unified TCI framework to reduce the latency of beam refinement.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1B841DCA" w:rsidR="00C8505E" w:rsidRDefault="00C8505E" w:rsidP="002328B0">
      <w:pPr>
        <w:pStyle w:val="05reference"/>
        <w:rPr>
          <w:szCs w:val="20"/>
          <w:lang w:val="it-IT"/>
        </w:rPr>
      </w:pPr>
      <w:r>
        <w:rPr>
          <w:szCs w:val="20"/>
          <w:lang w:val="it-IT"/>
        </w:rPr>
        <w:t>RP-193133 New WID: Further ehancements on MIMO for NR</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E2C32" w14:textId="77777777" w:rsidR="00FC4F7C" w:rsidRDefault="00FC4F7C">
      <w:r>
        <w:separator/>
      </w:r>
    </w:p>
  </w:endnote>
  <w:endnote w:type="continuationSeparator" w:id="0">
    <w:p w14:paraId="0157D741" w14:textId="77777777" w:rsidR="00FC4F7C" w:rsidRDefault="00FC4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E60484" w14:textId="77777777" w:rsidR="00FC4F7C" w:rsidRDefault="00FC4F7C">
      <w:r>
        <w:separator/>
      </w:r>
    </w:p>
  </w:footnote>
  <w:footnote w:type="continuationSeparator" w:id="0">
    <w:p w14:paraId="36E9FE6F" w14:textId="77777777" w:rsidR="00FC4F7C" w:rsidRDefault="00FC4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57B94"/>
    <w:multiLevelType w:val="hybridMultilevel"/>
    <w:tmpl w:val="8578BBA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8F1E66"/>
    <w:multiLevelType w:val="hybridMultilevel"/>
    <w:tmpl w:val="64D22ED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24196"/>
    <w:multiLevelType w:val="hybridMultilevel"/>
    <w:tmpl w:val="C36C965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B3620"/>
    <w:multiLevelType w:val="hybridMultilevel"/>
    <w:tmpl w:val="4ECC5B9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B330F"/>
    <w:multiLevelType w:val="hybridMultilevel"/>
    <w:tmpl w:val="04882E8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9092C"/>
    <w:multiLevelType w:val="hybridMultilevel"/>
    <w:tmpl w:val="20D4CC6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77A5E"/>
    <w:multiLevelType w:val="hybridMultilevel"/>
    <w:tmpl w:val="59B2841C"/>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0" w15:restartNumberingAfterBreak="0">
    <w:nsid w:val="17EE3A42"/>
    <w:multiLevelType w:val="hybridMultilevel"/>
    <w:tmpl w:val="8E48012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E3991"/>
    <w:multiLevelType w:val="hybridMultilevel"/>
    <w:tmpl w:val="4102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9526416"/>
    <w:multiLevelType w:val="hybridMultilevel"/>
    <w:tmpl w:val="BCC0860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6F2BB0"/>
    <w:multiLevelType w:val="hybridMultilevel"/>
    <w:tmpl w:val="47CA9200"/>
    <w:lvl w:ilvl="0" w:tplc="4E768008">
      <w:start w:val="1"/>
      <w:numFmt w:val="bullet"/>
      <w:lvlText w:val="-"/>
      <w:lvlJc w:val="left"/>
      <w:pPr>
        <w:ind w:left="697" w:hanging="360"/>
      </w:pPr>
      <w:rPr>
        <w:rFonts w:ascii="Arial" w:eastAsia="Times New Roman" w:hAnsi="Arial" w:cs="Aria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1" w15:restartNumberingAfterBreak="0">
    <w:nsid w:val="482D2266"/>
    <w:multiLevelType w:val="hybridMultilevel"/>
    <w:tmpl w:val="94642542"/>
    <w:lvl w:ilvl="0" w:tplc="4E76800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E0CD7"/>
    <w:multiLevelType w:val="hybridMultilevel"/>
    <w:tmpl w:val="927C37DC"/>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F454B7B"/>
    <w:multiLevelType w:val="hybridMultilevel"/>
    <w:tmpl w:val="5704C16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E119D"/>
    <w:multiLevelType w:val="hybridMultilevel"/>
    <w:tmpl w:val="AD843EE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8300B2"/>
    <w:multiLevelType w:val="hybridMultilevel"/>
    <w:tmpl w:val="CCEABB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F4E81"/>
    <w:multiLevelType w:val="hybridMultilevel"/>
    <w:tmpl w:val="3418F242"/>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E484992"/>
    <w:multiLevelType w:val="hybridMultilevel"/>
    <w:tmpl w:val="46C2078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5F5F4D"/>
    <w:multiLevelType w:val="hybridMultilevel"/>
    <w:tmpl w:val="F9D2B73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24335B"/>
    <w:multiLevelType w:val="hybridMultilevel"/>
    <w:tmpl w:val="CD749400"/>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64957097"/>
    <w:multiLevelType w:val="hybridMultilevel"/>
    <w:tmpl w:val="2D56B4F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42A81"/>
    <w:multiLevelType w:val="hybridMultilevel"/>
    <w:tmpl w:val="94DC4C2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8" w15:restartNumberingAfterBreak="0">
    <w:nsid w:val="77733ED4"/>
    <w:multiLevelType w:val="hybridMultilevel"/>
    <w:tmpl w:val="37E4936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DE7938"/>
    <w:multiLevelType w:val="hybridMultilevel"/>
    <w:tmpl w:val="28FA7E4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2"/>
  </w:num>
  <w:num w:numId="2">
    <w:abstractNumId w:val="15"/>
  </w:num>
  <w:num w:numId="3">
    <w:abstractNumId w:val="30"/>
  </w:num>
  <w:num w:numId="4">
    <w:abstractNumId w:val="19"/>
  </w:num>
  <w:num w:numId="5">
    <w:abstractNumId w:val="27"/>
  </w:num>
  <w:num w:numId="6">
    <w:abstractNumId w:val="18"/>
  </w:num>
  <w:num w:numId="7">
    <w:abstractNumId w:val="11"/>
  </w:num>
  <w:num w:numId="8">
    <w:abstractNumId w:val="26"/>
  </w:num>
  <w:num w:numId="9">
    <w:abstractNumId w:val="6"/>
  </w:num>
  <w:num w:numId="10">
    <w:abstractNumId w:val="34"/>
  </w:num>
  <w:num w:numId="11">
    <w:abstractNumId w:val="24"/>
  </w:num>
  <w:num w:numId="12">
    <w:abstractNumId w:val="7"/>
  </w:num>
  <w:num w:numId="13">
    <w:abstractNumId w:val="3"/>
  </w:num>
  <w:num w:numId="14">
    <w:abstractNumId w:val="33"/>
  </w:num>
  <w:num w:numId="15">
    <w:abstractNumId w:val="0"/>
  </w:num>
  <w:num w:numId="16">
    <w:abstractNumId w:val="40"/>
  </w:num>
  <w:num w:numId="17">
    <w:abstractNumId w:val="4"/>
  </w:num>
  <w:num w:numId="18">
    <w:abstractNumId w:val="21"/>
  </w:num>
  <w:num w:numId="19">
    <w:abstractNumId w:val="39"/>
  </w:num>
  <w:num w:numId="20">
    <w:abstractNumId w:val="12"/>
  </w:num>
  <w:num w:numId="21">
    <w:abstractNumId w:val="16"/>
  </w:num>
  <w:num w:numId="22">
    <w:abstractNumId w:val="29"/>
  </w:num>
  <w:num w:numId="23">
    <w:abstractNumId w:val="10"/>
  </w:num>
  <w:num w:numId="24">
    <w:abstractNumId w:val="20"/>
  </w:num>
  <w:num w:numId="25">
    <w:abstractNumId w:val="25"/>
  </w:num>
  <w:num w:numId="26">
    <w:abstractNumId w:val="8"/>
  </w:num>
  <w:num w:numId="27">
    <w:abstractNumId w:val="5"/>
  </w:num>
  <w:num w:numId="28">
    <w:abstractNumId w:val="36"/>
  </w:num>
  <w:num w:numId="29">
    <w:abstractNumId w:val="41"/>
  </w:num>
  <w:num w:numId="30">
    <w:abstractNumId w:val="37"/>
  </w:num>
  <w:num w:numId="31">
    <w:abstractNumId w:val="39"/>
  </w:num>
  <w:num w:numId="32">
    <w:abstractNumId w:val="31"/>
  </w:num>
  <w:num w:numId="33">
    <w:abstractNumId w:val="2"/>
  </w:num>
  <w:num w:numId="34">
    <w:abstractNumId w:val="32"/>
  </w:num>
  <w:num w:numId="35">
    <w:abstractNumId w:val="38"/>
  </w:num>
  <w:num w:numId="36">
    <w:abstractNumId w:val="28"/>
  </w:num>
  <w:num w:numId="37">
    <w:abstractNumId w:val="14"/>
  </w:num>
  <w:num w:numId="38">
    <w:abstractNumId w:val="35"/>
  </w:num>
  <w:num w:numId="39">
    <w:abstractNumId w:val="1"/>
  </w:num>
  <w:num w:numId="40">
    <w:abstractNumId w:val="43"/>
  </w:num>
  <w:num w:numId="41">
    <w:abstractNumId w:val="23"/>
  </w:num>
  <w:num w:numId="42">
    <w:abstractNumId w:val="9"/>
  </w:num>
  <w:num w:numId="43">
    <w:abstractNumId w:val="39"/>
  </w:num>
  <w:num w:numId="44">
    <w:abstractNumId w:val="31"/>
  </w:num>
  <w:num w:numId="45">
    <w:abstractNumId w:val="17"/>
  </w:num>
  <w:num w:numId="46">
    <w:abstractNumId w:val="16"/>
  </w:num>
  <w:num w:numId="47">
    <w:abstractNumId w:val="13"/>
  </w:num>
  <w:num w:numId="48">
    <w:abstractNumId w:val="2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4B3"/>
    <w:rsid w:val="00002775"/>
    <w:rsid w:val="00005D12"/>
    <w:rsid w:val="00005D51"/>
    <w:rsid w:val="00007A3D"/>
    <w:rsid w:val="0001145F"/>
    <w:rsid w:val="00014144"/>
    <w:rsid w:val="000146F7"/>
    <w:rsid w:val="000223D1"/>
    <w:rsid w:val="00023889"/>
    <w:rsid w:val="00025836"/>
    <w:rsid w:val="0002753A"/>
    <w:rsid w:val="000305B5"/>
    <w:rsid w:val="00031B46"/>
    <w:rsid w:val="00032955"/>
    <w:rsid w:val="00036C04"/>
    <w:rsid w:val="000401F4"/>
    <w:rsid w:val="000432BE"/>
    <w:rsid w:val="00044738"/>
    <w:rsid w:val="0004722F"/>
    <w:rsid w:val="0005036D"/>
    <w:rsid w:val="00050EF6"/>
    <w:rsid w:val="000529AF"/>
    <w:rsid w:val="00052A3E"/>
    <w:rsid w:val="00054D5F"/>
    <w:rsid w:val="00055DAC"/>
    <w:rsid w:val="00064276"/>
    <w:rsid w:val="00065932"/>
    <w:rsid w:val="00066217"/>
    <w:rsid w:val="00067335"/>
    <w:rsid w:val="00072170"/>
    <w:rsid w:val="0007593E"/>
    <w:rsid w:val="00075E10"/>
    <w:rsid w:val="00075E63"/>
    <w:rsid w:val="0008231D"/>
    <w:rsid w:val="00085AAA"/>
    <w:rsid w:val="000939D7"/>
    <w:rsid w:val="00094E4E"/>
    <w:rsid w:val="000958D5"/>
    <w:rsid w:val="000971A4"/>
    <w:rsid w:val="000A4372"/>
    <w:rsid w:val="000A7AE5"/>
    <w:rsid w:val="000B07E4"/>
    <w:rsid w:val="000B5E34"/>
    <w:rsid w:val="000C0A7B"/>
    <w:rsid w:val="000C1ECC"/>
    <w:rsid w:val="000C215F"/>
    <w:rsid w:val="000C49CF"/>
    <w:rsid w:val="000C4C34"/>
    <w:rsid w:val="000D3AF4"/>
    <w:rsid w:val="000D4D1E"/>
    <w:rsid w:val="000D569A"/>
    <w:rsid w:val="000D5CFD"/>
    <w:rsid w:val="000D66CD"/>
    <w:rsid w:val="000D6C00"/>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43EA"/>
    <w:rsid w:val="00134E8E"/>
    <w:rsid w:val="0013638F"/>
    <w:rsid w:val="00136B37"/>
    <w:rsid w:val="00140F62"/>
    <w:rsid w:val="001422E9"/>
    <w:rsid w:val="00142A73"/>
    <w:rsid w:val="00145778"/>
    <w:rsid w:val="001466E5"/>
    <w:rsid w:val="00146785"/>
    <w:rsid w:val="0015020D"/>
    <w:rsid w:val="0015168E"/>
    <w:rsid w:val="001522BE"/>
    <w:rsid w:val="00153FD2"/>
    <w:rsid w:val="00155D90"/>
    <w:rsid w:val="00162411"/>
    <w:rsid w:val="00171FCE"/>
    <w:rsid w:val="00172393"/>
    <w:rsid w:val="00173DC8"/>
    <w:rsid w:val="00174DEF"/>
    <w:rsid w:val="00174EF0"/>
    <w:rsid w:val="0017679D"/>
    <w:rsid w:val="001809A9"/>
    <w:rsid w:val="001821C0"/>
    <w:rsid w:val="0018284E"/>
    <w:rsid w:val="001864AC"/>
    <w:rsid w:val="00187000"/>
    <w:rsid w:val="00192259"/>
    <w:rsid w:val="00193464"/>
    <w:rsid w:val="00194DDE"/>
    <w:rsid w:val="00195373"/>
    <w:rsid w:val="00197FFE"/>
    <w:rsid w:val="001A1C90"/>
    <w:rsid w:val="001A45FC"/>
    <w:rsid w:val="001A4BAA"/>
    <w:rsid w:val="001A5584"/>
    <w:rsid w:val="001B07EA"/>
    <w:rsid w:val="001B0AAA"/>
    <w:rsid w:val="001B0B07"/>
    <w:rsid w:val="001B524F"/>
    <w:rsid w:val="001C0EA0"/>
    <w:rsid w:val="001C2CCA"/>
    <w:rsid w:val="001C2E25"/>
    <w:rsid w:val="001C4F3E"/>
    <w:rsid w:val="001C5B0A"/>
    <w:rsid w:val="001C5D17"/>
    <w:rsid w:val="001D016C"/>
    <w:rsid w:val="001D0B4D"/>
    <w:rsid w:val="001D0B60"/>
    <w:rsid w:val="001D229C"/>
    <w:rsid w:val="001D2925"/>
    <w:rsid w:val="001D659F"/>
    <w:rsid w:val="001E34E2"/>
    <w:rsid w:val="001E59C5"/>
    <w:rsid w:val="001E70FE"/>
    <w:rsid w:val="001F3DF9"/>
    <w:rsid w:val="001F45D7"/>
    <w:rsid w:val="001F4B67"/>
    <w:rsid w:val="001F75D8"/>
    <w:rsid w:val="002021F5"/>
    <w:rsid w:val="002025C8"/>
    <w:rsid w:val="0020488B"/>
    <w:rsid w:val="00210CEA"/>
    <w:rsid w:val="00213C98"/>
    <w:rsid w:val="00216824"/>
    <w:rsid w:val="00216CDC"/>
    <w:rsid w:val="00217532"/>
    <w:rsid w:val="00224471"/>
    <w:rsid w:val="00224ADF"/>
    <w:rsid w:val="00226F02"/>
    <w:rsid w:val="002328B0"/>
    <w:rsid w:val="00235B6C"/>
    <w:rsid w:val="00235FC9"/>
    <w:rsid w:val="00246D26"/>
    <w:rsid w:val="00253D4B"/>
    <w:rsid w:val="00256423"/>
    <w:rsid w:val="00257516"/>
    <w:rsid w:val="00264572"/>
    <w:rsid w:val="00264704"/>
    <w:rsid w:val="002651AF"/>
    <w:rsid w:val="00265E0A"/>
    <w:rsid w:val="0027047C"/>
    <w:rsid w:val="00271EBE"/>
    <w:rsid w:val="00274CE7"/>
    <w:rsid w:val="00276093"/>
    <w:rsid w:val="0028085F"/>
    <w:rsid w:val="002825A9"/>
    <w:rsid w:val="00282C00"/>
    <w:rsid w:val="002854A6"/>
    <w:rsid w:val="002877FA"/>
    <w:rsid w:val="002914F6"/>
    <w:rsid w:val="00293D77"/>
    <w:rsid w:val="00294100"/>
    <w:rsid w:val="00294538"/>
    <w:rsid w:val="002A0D61"/>
    <w:rsid w:val="002A517E"/>
    <w:rsid w:val="002A6566"/>
    <w:rsid w:val="002B717D"/>
    <w:rsid w:val="002B71A4"/>
    <w:rsid w:val="002C4DCC"/>
    <w:rsid w:val="002C670F"/>
    <w:rsid w:val="002C75F3"/>
    <w:rsid w:val="002D1F8A"/>
    <w:rsid w:val="002D2AC8"/>
    <w:rsid w:val="002E0083"/>
    <w:rsid w:val="002E0E2D"/>
    <w:rsid w:val="002E1185"/>
    <w:rsid w:val="002F2899"/>
    <w:rsid w:val="002F5E03"/>
    <w:rsid w:val="003070DC"/>
    <w:rsid w:val="00312C9F"/>
    <w:rsid w:val="00316BC6"/>
    <w:rsid w:val="003218CE"/>
    <w:rsid w:val="0032198F"/>
    <w:rsid w:val="003229F0"/>
    <w:rsid w:val="00327ABE"/>
    <w:rsid w:val="00336739"/>
    <w:rsid w:val="00336752"/>
    <w:rsid w:val="003370C7"/>
    <w:rsid w:val="003417EF"/>
    <w:rsid w:val="00344E0F"/>
    <w:rsid w:val="00345366"/>
    <w:rsid w:val="0034546C"/>
    <w:rsid w:val="00346A10"/>
    <w:rsid w:val="00353831"/>
    <w:rsid w:val="00354578"/>
    <w:rsid w:val="003560AF"/>
    <w:rsid w:val="003560C0"/>
    <w:rsid w:val="003606FD"/>
    <w:rsid w:val="00362B55"/>
    <w:rsid w:val="00366F4B"/>
    <w:rsid w:val="003676B8"/>
    <w:rsid w:val="0037083B"/>
    <w:rsid w:val="00373E4B"/>
    <w:rsid w:val="00374F23"/>
    <w:rsid w:val="003845A5"/>
    <w:rsid w:val="00384EEB"/>
    <w:rsid w:val="00394634"/>
    <w:rsid w:val="0039536A"/>
    <w:rsid w:val="00395AFD"/>
    <w:rsid w:val="003A33FE"/>
    <w:rsid w:val="003A60CA"/>
    <w:rsid w:val="003B1605"/>
    <w:rsid w:val="003B33EB"/>
    <w:rsid w:val="003B522C"/>
    <w:rsid w:val="003C22BE"/>
    <w:rsid w:val="003C290B"/>
    <w:rsid w:val="003C2E5C"/>
    <w:rsid w:val="003C5D56"/>
    <w:rsid w:val="003C6F44"/>
    <w:rsid w:val="003D78A0"/>
    <w:rsid w:val="003E11C2"/>
    <w:rsid w:val="003E2598"/>
    <w:rsid w:val="003E59EF"/>
    <w:rsid w:val="003E7CC5"/>
    <w:rsid w:val="003F36B1"/>
    <w:rsid w:val="003F79FC"/>
    <w:rsid w:val="0040078E"/>
    <w:rsid w:val="00400DBE"/>
    <w:rsid w:val="00411817"/>
    <w:rsid w:val="004157F0"/>
    <w:rsid w:val="004167B4"/>
    <w:rsid w:val="00416940"/>
    <w:rsid w:val="0041757D"/>
    <w:rsid w:val="00424A04"/>
    <w:rsid w:val="004277EF"/>
    <w:rsid w:val="00430970"/>
    <w:rsid w:val="004359AF"/>
    <w:rsid w:val="004359DE"/>
    <w:rsid w:val="0043667B"/>
    <w:rsid w:val="004373B1"/>
    <w:rsid w:val="0044067E"/>
    <w:rsid w:val="0044100E"/>
    <w:rsid w:val="00441EC1"/>
    <w:rsid w:val="00441EF9"/>
    <w:rsid w:val="00444B00"/>
    <w:rsid w:val="00445B84"/>
    <w:rsid w:val="00447EA4"/>
    <w:rsid w:val="00450BBD"/>
    <w:rsid w:val="00450CEA"/>
    <w:rsid w:val="00452E65"/>
    <w:rsid w:val="004613B9"/>
    <w:rsid w:val="00461818"/>
    <w:rsid w:val="00462787"/>
    <w:rsid w:val="00463426"/>
    <w:rsid w:val="004724EA"/>
    <w:rsid w:val="00481805"/>
    <w:rsid w:val="00482190"/>
    <w:rsid w:val="00490E23"/>
    <w:rsid w:val="00492234"/>
    <w:rsid w:val="00495569"/>
    <w:rsid w:val="0049601E"/>
    <w:rsid w:val="00497AFF"/>
    <w:rsid w:val="004A71E8"/>
    <w:rsid w:val="004B1E6B"/>
    <w:rsid w:val="004B4018"/>
    <w:rsid w:val="004B78F8"/>
    <w:rsid w:val="004C02D2"/>
    <w:rsid w:val="004C5A8F"/>
    <w:rsid w:val="004C6D4A"/>
    <w:rsid w:val="004D0D0E"/>
    <w:rsid w:val="004D6FD7"/>
    <w:rsid w:val="004E5035"/>
    <w:rsid w:val="004E71B6"/>
    <w:rsid w:val="004F08BA"/>
    <w:rsid w:val="004F1C5C"/>
    <w:rsid w:val="004F5BE6"/>
    <w:rsid w:val="004F7DA9"/>
    <w:rsid w:val="005105AE"/>
    <w:rsid w:val="0051236D"/>
    <w:rsid w:val="005158C2"/>
    <w:rsid w:val="00524C09"/>
    <w:rsid w:val="00527D26"/>
    <w:rsid w:val="00532173"/>
    <w:rsid w:val="0053328A"/>
    <w:rsid w:val="005350B8"/>
    <w:rsid w:val="005372EB"/>
    <w:rsid w:val="0054041F"/>
    <w:rsid w:val="00540D9B"/>
    <w:rsid w:val="005429A1"/>
    <w:rsid w:val="00542DBB"/>
    <w:rsid w:val="0054622D"/>
    <w:rsid w:val="00547137"/>
    <w:rsid w:val="00547A6B"/>
    <w:rsid w:val="00552DF8"/>
    <w:rsid w:val="00553285"/>
    <w:rsid w:val="00556079"/>
    <w:rsid w:val="00556940"/>
    <w:rsid w:val="00556BB9"/>
    <w:rsid w:val="00557AAC"/>
    <w:rsid w:val="005675DA"/>
    <w:rsid w:val="005713E4"/>
    <w:rsid w:val="00575398"/>
    <w:rsid w:val="00575C84"/>
    <w:rsid w:val="00576532"/>
    <w:rsid w:val="0058641F"/>
    <w:rsid w:val="0059274C"/>
    <w:rsid w:val="005A09CE"/>
    <w:rsid w:val="005A2A02"/>
    <w:rsid w:val="005A2B2B"/>
    <w:rsid w:val="005A4F2A"/>
    <w:rsid w:val="005B2826"/>
    <w:rsid w:val="005B5682"/>
    <w:rsid w:val="005B6F08"/>
    <w:rsid w:val="005C3C00"/>
    <w:rsid w:val="005C4934"/>
    <w:rsid w:val="005D0FFD"/>
    <w:rsid w:val="005D1101"/>
    <w:rsid w:val="005D2437"/>
    <w:rsid w:val="005D3B1F"/>
    <w:rsid w:val="005D3DB5"/>
    <w:rsid w:val="005D5DDE"/>
    <w:rsid w:val="005E190D"/>
    <w:rsid w:val="005F1D23"/>
    <w:rsid w:val="005F3783"/>
    <w:rsid w:val="005F3EE3"/>
    <w:rsid w:val="005F4A5A"/>
    <w:rsid w:val="005F649D"/>
    <w:rsid w:val="00600475"/>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CD2"/>
    <w:rsid w:val="00640DF0"/>
    <w:rsid w:val="00640F13"/>
    <w:rsid w:val="006448B4"/>
    <w:rsid w:val="00646B40"/>
    <w:rsid w:val="00654F2B"/>
    <w:rsid w:val="00660578"/>
    <w:rsid w:val="00661180"/>
    <w:rsid w:val="006614CF"/>
    <w:rsid w:val="00662B6F"/>
    <w:rsid w:val="00663F2F"/>
    <w:rsid w:val="00664D78"/>
    <w:rsid w:val="00674191"/>
    <w:rsid w:val="0067427A"/>
    <w:rsid w:val="00674937"/>
    <w:rsid w:val="0068568A"/>
    <w:rsid w:val="00691773"/>
    <w:rsid w:val="00694194"/>
    <w:rsid w:val="0069493E"/>
    <w:rsid w:val="0069644B"/>
    <w:rsid w:val="006A297F"/>
    <w:rsid w:val="006A3087"/>
    <w:rsid w:val="006A5C1B"/>
    <w:rsid w:val="006B0921"/>
    <w:rsid w:val="006B0E04"/>
    <w:rsid w:val="006B55C7"/>
    <w:rsid w:val="006B6981"/>
    <w:rsid w:val="006B72A2"/>
    <w:rsid w:val="006B77E7"/>
    <w:rsid w:val="006C120F"/>
    <w:rsid w:val="006C15F8"/>
    <w:rsid w:val="006C1DEE"/>
    <w:rsid w:val="006C3AEC"/>
    <w:rsid w:val="006D44F3"/>
    <w:rsid w:val="006D5AEF"/>
    <w:rsid w:val="006D7C0A"/>
    <w:rsid w:val="006E0D5F"/>
    <w:rsid w:val="006F05A0"/>
    <w:rsid w:val="006F2513"/>
    <w:rsid w:val="006F28B6"/>
    <w:rsid w:val="006F6BA7"/>
    <w:rsid w:val="006F6D28"/>
    <w:rsid w:val="00701B0E"/>
    <w:rsid w:val="007102CF"/>
    <w:rsid w:val="0071034F"/>
    <w:rsid w:val="00712835"/>
    <w:rsid w:val="00716AC8"/>
    <w:rsid w:val="007207DE"/>
    <w:rsid w:val="007232C8"/>
    <w:rsid w:val="00723DE9"/>
    <w:rsid w:val="0072462A"/>
    <w:rsid w:val="007265DC"/>
    <w:rsid w:val="00732DF0"/>
    <w:rsid w:val="00742C3A"/>
    <w:rsid w:val="00744683"/>
    <w:rsid w:val="0074521E"/>
    <w:rsid w:val="00746CF3"/>
    <w:rsid w:val="00747D5C"/>
    <w:rsid w:val="00752231"/>
    <w:rsid w:val="00754921"/>
    <w:rsid w:val="00756550"/>
    <w:rsid w:val="007704E0"/>
    <w:rsid w:val="00774122"/>
    <w:rsid w:val="00774356"/>
    <w:rsid w:val="0078189D"/>
    <w:rsid w:val="0078463D"/>
    <w:rsid w:val="00787E52"/>
    <w:rsid w:val="00795ADD"/>
    <w:rsid w:val="007A2AD5"/>
    <w:rsid w:val="007A4CB7"/>
    <w:rsid w:val="007B1A8A"/>
    <w:rsid w:val="007B5C54"/>
    <w:rsid w:val="007B5F8B"/>
    <w:rsid w:val="007B63DC"/>
    <w:rsid w:val="007B70A7"/>
    <w:rsid w:val="007C1686"/>
    <w:rsid w:val="007C4536"/>
    <w:rsid w:val="007C6C7A"/>
    <w:rsid w:val="007C7102"/>
    <w:rsid w:val="007D52C2"/>
    <w:rsid w:val="007D62AC"/>
    <w:rsid w:val="007D7CF3"/>
    <w:rsid w:val="007E0349"/>
    <w:rsid w:val="007E3F24"/>
    <w:rsid w:val="007E47EE"/>
    <w:rsid w:val="007E4943"/>
    <w:rsid w:val="007E5D1D"/>
    <w:rsid w:val="007E7A18"/>
    <w:rsid w:val="007F024B"/>
    <w:rsid w:val="007F0B12"/>
    <w:rsid w:val="007F3AD5"/>
    <w:rsid w:val="00801370"/>
    <w:rsid w:val="00807FDB"/>
    <w:rsid w:val="008119EF"/>
    <w:rsid w:val="00812585"/>
    <w:rsid w:val="00812A1F"/>
    <w:rsid w:val="00820AEF"/>
    <w:rsid w:val="008220EC"/>
    <w:rsid w:val="00822546"/>
    <w:rsid w:val="00824D23"/>
    <w:rsid w:val="0082790F"/>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75115"/>
    <w:rsid w:val="0087786D"/>
    <w:rsid w:val="0087797C"/>
    <w:rsid w:val="00882742"/>
    <w:rsid w:val="008831B4"/>
    <w:rsid w:val="00894320"/>
    <w:rsid w:val="008A24AB"/>
    <w:rsid w:val="008A2EB2"/>
    <w:rsid w:val="008A60EC"/>
    <w:rsid w:val="008A79F9"/>
    <w:rsid w:val="008A7C56"/>
    <w:rsid w:val="008B661C"/>
    <w:rsid w:val="008C144B"/>
    <w:rsid w:val="008C15D7"/>
    <w:rsid w:val="008C5CAD"/>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13122"/>
    <w:rsid w:val="00913B68"/>
    <w:rsid w:val="0092127B"/>
    <w:rsid w:val="0092378B"/>
    <w:rsid w:val="0092519C"/>
    <w:rsid w:val="00925672"/>
    <w:rsid w:val="00926EF1"/>
    <w:rsid w:val="009323F7"/>
    <w:rsid w:val="009355ED"/>
    <w:rsid w:val="0094294A"/>
    <w:rsid w:val="00943C69"/>
    <w:rsid w:val="00943F65"/>
    <w:rsid w:val="0094516A"/>
    <w:rsid w:val="00950287"/>
    <w:rsid w:val="00953386"/>
    <w:rsid w:val="009539EF"/>
    <w:rsid w:val="00954BE2"/>
    <w:rsid w:val="00957EFC"/>
    <w:rsid w:val="00960EF3"/>
    <w:rsid w:val="00961F39"/>
    <w:rsid w:val="00962DD7"/>
    <w:rsid w:val="00963678"/>
    <w:rsid w:val="009678A0"/>
    <w:rsid w:val="00967F0A"/>
    <w:rsid w:val="009719B6"/>
    <w:rsid w:val="00973293"/>
    <w:rsid w:val="0097575D"/>
    <w:rsid w:val="00976068"/>
    <w:rsid w:val="0097752D"/>
    <w:rsid w:val="009826AB"/>
    <w:rsid w:val="009861B8"/>
    <w:rsid w:val="009917A1"/>
    <w:rsid w:val="009940A0"/>
    <w:rsid w:val="00994211"/>
    <w:rsid w:val="009A5B4B"/>
    <w:rsid w:val="009A6097"/>
    <w:rsid w:val="009B0EF0"/>
    <w:rsid w:val="009B2043"/>
    <w:rsid w:val="009B3C49"/>
    <w:rsid w:val="009C0237"/>
    <w:rsid w:val="009C1AC4"/>
    <w:rsid w:val="009C5100"/>
    <w:rsid w:val="009E240D"/>
    <w:rsid w:val="009E5BDD"/>
    <w:rsid w:val="009E7068"/>
    <w:rsid w:val="009E7757"/>
    <w:rsid w:val="009F3E9B"/>
    <w:rsid w:val="009F68A1"/>
    <w:rsid w:val="00A00090"/>
    <w:rsid w:val="00A017B8"/>
    <w:rsid w:val="00A11E17"/>
    <w:rsid w:val="00A11FC0"/>
    <w:rsid w:val="00A16EB4"/>
    <w:rsid w:val="00A21818"/>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4700"/>
    <w:rsid w:val="00A72987"/>
    <w:rsid w:val="00A72B75"/>
    <w:rsid w:val="00A77025"/>
    <w:rsid w:val="00A80106"/>
    <w:rsid w:val="00A81411"/>
    <w:rsid w:val="00A816F5"/>
    <w:rsid w:val="00A822B5"/>
    <w:rsid w:val="00A82349"/>
    <w:rsid w:val="00A91EA7"/>
    <w:rsid w:val="00A92CCB"/>
    <w:rsid w:val="00A92E59"/>
    <w:rsid w:val="00A955B0"/>
    <w:rsid w:val="00A95651"/>
    <w:rsid w:val="00A96017"/>
    <w:rsid w:val="00A964CD"/>
    <w:rsid w:val="00A979F1"/>
    <w:rsid w:val="00AA2497"/>
    <w:rsid w:val="00AA53EF"/>
    <w:rsid w:val="00AA6CB5"/>
    <w:rsid w:val="00AA724C"/>
    <w:rsid w:val="00AB13FB"/>
    <w:rsid w:val="00AB163E"/>
    <w:rsid w:val="00AB6FDF"/>
    <w:rsid w:val="00AC1A70"/>
    <w:rsid w:val="00AC5286"/>
    <w:rsid w:val="00AC5A0C"/>
    <w:rsid w:val="00AC6794"/>
    <w:rsid w:val="00AC7794"/>
    <w:rsid w:val="00AD0C84"/>
    <w:rsid w:val="00AD516E"/>
    <w:rsid w:val="00AD57A5"/>
    <w:rsid w:val="00AD693F"/>
    <w:rsid w:val="00AD7A83"/>
    <w:rsid w:val="00AE07A0"/>
    <w:rsid w:val="00AE0E19"/>
    <w:rsid w:val="00AE23A6"/>
    <w:rsid w:val="00AE2DA0"/>
    <w:rsid w:val="00AE300B"/>
    <w:rsid w:val="00AF36D4"/>
    <w:rsid w:val="00AF545D"/>
    <w:rsid w:val="00AF61BE"/>
    <w:rsid w:val="00B00B5B"/>
    <w:rsid w:val="00B00EC3"/>
    <w:rsid w:val="00B02981"/>
    <w:rsid w:val="00B02D29"/>
    <w:rsid w:val="00B06AB6"/>
    <w:rsid w:val="00B1003A"/>
    <w:rsid w:val="00B1447C"/>
    <w:rsid w:val="00B2117B"/>
    <w:rsid w:val="00B215B0"/>
    <w:rsid w:val="00B21CE2"/>
    <w:rsid w:val="00B2371A"/>
    <w:rsid w:val="00B242AB"/>
    <w:rsid w:val="00B2685F"/>
    <w:rsid w:val="00B33BF4"/>
    <w:rsid w:val="00B3617B"/>
    <w:rsid w:val="00B369F1"/>
    <w:rsid w:val="00B37B2F"/>
    <w:rsid w:val="00B37EEC"/>
    <w:rsid w:val="00B44A82"/>
    <w:rsid w:val="00B47418"/>
    <w:rsid w:val="00B50BD8"/>
    <w:rsid w:val="00B52602"/>
    <w:rsid w:val="00B57810"/>
    <w:rsid w:val="00B60400"/>
    <w:rsid w:val="00B60F85"/>
    <w:rsid w:val="00B645FD"/>
    <w:rsid w:val="00B70D0D"/>
    <w:rsid w:val="00B71542"/>
    <w:rsid w:val="00B774DC"/>
    <w:rsid w:val="00B77761"/>
    <w:rsid w:val="00B81822"/>
    <w:rsid w:val="00B820EF"/>
    <w:rsid w:val="00B8297C"/>
    <w:rsid w:val="00B84A75"/>
    <w:rsid w:val="00B9067F"/>
    <w:rsid w:val="00B9181D"/>
    <w:rsid w:val="00B93B8A"/>
    <w:rsid w:val="00BB1AFB"/>
    <w:rsid w:val="00BB376B"/>
    <w:rsid w:val="00BC3FED"/>
    <w:rsid w:val="00BC61B5"/>
    <w:rsid w:val="00BD0689"/>
    <w:rsid w:val="00BD20F2"/>
    <w:rsid w:val="00BE3467"/>
    <w:rsid w:val="00BE7A93"/>
    <w:rsid w:val="00BF3168"/>
    <w:rsid w:val="00C013B0"/>
    <w:rsid w:val="00C01943"/>
    <w:rsid w:val="00C02368"/>
    <w:rsid w:val="00C02C30"/>
    <w:rsid w:val="00C02E04"/>
    <w:rsid w:val="00C0490C"/>
    <w:rsid w:val="00C067FC"/>
    <w:rsid w:val="00C14EE0"/>
    <w:rsid w:val="00C17CE4"/>
    <w:rsid w:val="00C20FCE"/>
    <w:rsid w:val="00C214DE"/>
    <w:rsid w:val="00C40635"/>
    <w:rsid w:val="00C47BC8"/>
    <w:rsid w:val="00C47E0E"/>
    <w:rsid w:val="00C50951"/>
    <w:rsid w:val="00C5235A"/>
    <w:rsid w:val="00C53CFE"/>
    <w:rsid w:val="00C558CD"/>
    <w:rsid w:val="00C55B7E"/>
    <w:rsid w:val="00C5701A"/>
    <w:rsid w:val="00C60FB5"/>
    <w:rsid w:val="00C644F8"/>
    <w:rsid w:val="00C73573"/>
    <w:rsid w:val="00C744C8"/>
    <w:rsid w:val="00C75F20"/>
    <w:rsid w:val="00C76C6D"/>
    <w:rsid w:val="00C77171"/>
    <w:rsid w:val="00C77B31"/>
    <w:rsid w:val="00C82759"/>
    <w:rsid w:val="00C8505E"/>
    <w:rsid w:val="00C858B7"/>
    <w:rsid w:val="00C878A6"/>
    <w:rsid w:val="00C90CBF"/>
    <w:rsid w:val="00C93E54"/>
    <w:rsid w:val="00C93ED6"/>
    <w:rsid w:val="00C9409C"/>
    <w:rsid w:val="00C97A8E"/>
    <w:rsid w:val="00CA18E7"/>
    <w:rsid w:val="00CA1FB4"/>
    <w:rsid w:val="00CA4000"/>
    <w:rsid w:val="00CA56FB"/>
    <w:rsid w:val="00CA5A43"/>
    <w:rsid w:val="00CA6C69"/>
    <w:rsid w:val="00CB7679"/>
    <w:rsid w:val="00CC6044"/>
    <w:rsid w:val="00CD171E"/>
    <w:rsid w:val="00CD3381"/>
    <w:rsid w:val="00CE01DB"/>
    <w:rsid w:val="00CE12AB"/>
    <w:rsid w:val="00CE1CBA"/>
    <w:rsid w:val="00CF0607"/>
    <w:rsid w:val="00CF0BEC"/>
    <w:rsid w:val="00CF1473"/>
    <w:rsid w:val="00CF3C99"/>
    <w:rsid w:val="00CF4457"/>
    <w:rsid w:val="00CF4DC1"/>
    <w:rsid w:val="00CF688E"/>
    <w:rsid w:val="00CF6AC8"/>
    <w:rsid w:val="00D02709"/>
    <w:rsid w:val="00D03EB9"/>
    <w:rsid w:val="00D05C35"/>
    <w:rsid w:val="00D0658E"/>
    <w:rsid w:val="00D1006B"/>
    <w:rsid w:val="00D148C9"/>
    <w:rsid w:val="00D17102"/>
    <w:rsid w:val="00D24BAA"/>
    <w:rsid w:val="00D329C5"/>
    <w:rsid w:val="00D336A3"/>
    <w:rsid w:val="00D33BAB"/>
    <w:rsid w:val="00D345E8"/>
    <w:rsid w:val="00D42AEA"/>
    <w:rsid w:val="00D43A1F"/>
    <w:rsid w:val="00D44D84"/>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76A2"/>
    <w:rsid w:val="00D72C80"/>
    <w:rsid w:val="00D740A6"/>
    <w:rsid w:val="00D758FB"/>
    <w:rsid w:val="00D821CF"/>
    <w:rsid w:val="00D84CE3"/>
    <w:rsid w:val="00D85D12"/>
    <w:rsid w:val="00D8674A"/>
    <w:rsid w:val="00D867D7"/>
    <w:rsid w:val="00D91E7C"/>
    <w:rsid w:val="00D95C9D"/>
    <w:rsid w:val="00D9632B"/>
    <w:rsid w:val="00DA47AB"/>
    <w:rsid w:val="00DB3826"/>
    <w:rsid w:val="00DB7A6C"/>
    <w:rsid w:val="00DC46F3"/>
    <w:rsid w:val="00DC47D0"/>
    <w:rsid w:val="00DC5485"/>
    <w:rsid w:val="00DC5BF4"/>
    <w:rsid w:val="00DD0624"/>
    <w:rsid w:val="00DD28EF"/>
    <w:rsid w:val="00DD3E2E"/>
    <w:rsid w:val="00DD5F89"/>
    <w:rsid w:val="00DE09A4"/>
    <w:rsid w:val="00DE107B"/>
    <w:rsid w:val="00DE609D"/>
    <w:rsid w:val="00DE7BE6"/>
    <w:rsid w:val="00DF1CCA"/>
    <w:rsid w:val="00DF4DA3"/>
    <w:rsid w:val="00DF4F8F"/>
    <w:rsid w:val="00DF72BA"/>
    <w:rsid w:val="00E01A4F"/>
    <w:rsid w:val="00E02BFE"/>
    <w:rsid w:val="00E03449"/>
    <w:rsid w:val="00E0571D"/>
    <w:rsid w:val="00E11CEE"/>
    <w:rsid w:val="00E131D1"/>
    <w:rsid w:val="00E1683D"/>
    <w:rsid w:val="00E17EB8"/>
    <w:rsid w:val="00E200FA"/>
    <w:rsid w:val="00E2321F"/>
    <w:rsid w:val="00E237B2"/>
    <w:rsid w:val="00E250FE"/>
    <w:rsid w:val="00E26758"/>
    <w:rsid w:val="00E26E66"/>
    <w:rsid w:val="00E318C6"/>
    <w:rsid w:val="00E374CE"/>
    <w:rsid w:val="00E42FE8"/>
    <w:rsid w:val="00E43DB0"/>
    <w:rsid w:val="00E4484B"/>
    <w:rsid w:val="00E457EE"/>
    <w:rsid w:val="00E46293"/>
    <w:rsid w:val="00E52385"/>
    <w:rsid w:val="00E52423"/>
    <w:rsid w:val="00E61BDD"/>
    <w:rsid w:val="00E62029"/>
    <w:rsid w:val="00E629A4"/>
    <w:rsid w:val="00E66BC4"/>
    <w:rsid w:val="00E712D1"/>
    <w:rsid w:val="00E81D14"/>
    <w:rsid w:val="00E828DE"/>
    <w:rsid w:val="00E9008E"/>
    <w:rsid w:val="00E92A0D"/>
    <w:rsid w:val="00E9321E"/>
    <w:rsid w:val="00E94059"/>
    <w:rsid w:val="00E952D2"/>
    <w:rsid w:val="00EA50D3"/>
    <w:rsid w:val="00EB378D"/>
    <w:rsid w:val="00EB3FD4"/>
    <w:rsid w:val="00EB5DD1"/>
    <w:rsid w:val="00EB7EAB"/>
    <w:rsid w:val="00EC09F5"/>
    <w:rsid w:val="00EC3EA4"/>
    <w:rsid w:val="00EC57EC"/>
    <w:rsid w:val="00EC700E"/>
    <w:rsid w:val="00EC7574"/>
    <w:rsid w:val="00ED2D09"/>
    <w:rsid w:val="00ED542F"/>
    <w:rsid w:val="00ED553D"/>
    <w:rsid w:val="00ED67A1"/>
    <w:rsid w:val="00EE55B6"/>
    <w:rsid w:val="00EE6A34"/>
    <w:rsid w:val="00EF3BEF"/>
    <w:rsid w:val="00EF4E6F"/>
    <w:rsid w:val="00EF5DAB"/>
    <w:rsid w:val="00F00586"/>
    <w:rsid w:val="00F01C02"/>
    <w:rsid w:val="00F05422"/>
    <w:rsid w:val="00F107E2"/>
    <w:rsid w:val="00F10E43"/>
    <w:rsid w:val="00F12921"/>
    <w:rsid w:val="00F12AA3"/>
    <w:rsid w:val="00F1508F"/>
    <w:rsid w:val="00F15C2D"/>
    <w:rsid w:val="00F172D7"/>
    <w:rsid w:val="00F21B33"/>
    <w:rsid w:val="00F25A73"/>
    <w:rsid w:val="00F27140"/>
    <w:rsid w:val="00F275F4"/>
    <w:rsid w:val="00F30D21"/>
    <w:rsid w:val="00F316D9"/>
    <w:rsid w:val="00F31B7A"/>
    <w:rsid w:val="00F32214"/>
    <w:rsid w:val="00F42E04"/>
    <w:rsid w:val="00F437EA"/>
    <w:rsid w:val="00F535D6"/>
    <w:rsid w:val="00F538F8"/>
    <w:rsid w:val="00F55AA2"/>
    <w:rsid w:val="00F61F07"/>
    <w:rsid w:val="00F62827"/>
    <w:rsid w:val="00F63E54"/>
    <w:rsid w:val="00F65FEA"/>
    <w:rsid w:val="00F70BD0"/>
    <w:rsid w:val="00F72100"/>
    <w:rsid w:val="00F75389"/>
    <w:rsid w:val="00F755A4"/>
    <w:rsid w:val="00F818B3"/>
    <w:rsid w:val="00F83C57"/>
    <w:rsid w:val="00F8466C"/>
    <w:rsid w:val="00F86E1D"/>
    <w:rsid w:val="00F903F2"/>
    <w:rsid w:val="00F907EA"/>
    <w:rsid w:val="00F9498B"/>
    <w:rsid w:val="00F97FC2"/>
    <w:rsid w:val="00FA3B9B"/>
    <w:rsid w:val="00FA7F1C"/>
    <w:rsid w:val="00FB1E82"/>
    <w:rsid w:val="00FB22DC"/>
    <w:rsid w:val="00FB550F"/>
    <w:rsid w:val="00FB57D6"/>
    <w:rsid w:val="00FB64D2"/>
    <w:rsid w:val="00FC2153"/>
    <w:rsid w:val="00FC4F7C"/>
    <w:rsid w:val="00FC72D0"/>
    <w:rsid w:val="00FD5020"/>
    <w:rsid w:val="00FD5FD5"/>
    <w:rsid w:val="00FE195E"/>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FF91-B188-4D1E-A894-FCF46024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657</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2021-04-06T15:05:00Z</dcterms:modified>
</cp:coreProperties>
</file>