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52886931" w:rsidR="00ED093F" w:rsidRPr="00FD7D0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 xml:space="preserve">seems already agreed now according to RAN2 decision quoted </w:t>
            </w:r>
            <w:r w:rsidR="00215CF8" w:rsidRPr="00215CF8">
              <w:rPr>
                <w:rFonts w:eastAsiaTheme="minorEastAsia"/>
                <w:color w:val="00B0F0"/>
              </w:rPr>
              <w:lastRenderedPageBreak/>
              <w:t>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 xml:space="preserve">is not critical to the </w:t>
      </w:r>
      <w:r w:rsidR="00EB2548">
        <w:lastRenderedPageBreak/>
        <w:t>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696A08E8" w:rsidR="00576FFF" w:rsidRPr="00D449BA" w:rsidRDefault="00576FFF" w:rsidP="00576FFF">
      <w:pPr>
        <w:pStyle w:val="Heading2"/>
      </w:pPr>
      <w:r w:rsidRPr="001B5E8A">
        <w:rPr>
          <w:highlight w:val="yellow"/>
        </w:rPr>
        <w:t>FL Proposal 1</w:t>
      </w:r>
      <w:r w:rsidR="00184D13" w:rsidRPr="001B5E8A">
        <w:rPr>
          <w:highlight w:val="yellow"/>
        </w:rPr>
        <w:t>A</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w:t>
      </w:r>
      <w:r w:rsidR="003A439C" w:rsidRPr="008D38E8">
        <w:rPr>
          <w:i/>
          <w:iCs/>
        </w:rPr>
        <w:lastRenderedPageBreak/>
        <w:t xml:space="preserve">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lastRenderedPageBreak/>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lastRenderedPageBreak/>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Heading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w:t>
            </w:r>
            <w:r>
              <w:rPr>
                <w:rFonts w:eastAsia="MS Mincho"/>
                <w:lang w:eastAsia="ja-JP"/>
              </w:rPr>
              <w:lastRenderedPageBreak/>
              <w:t xml:space="preserve">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438DC">
        <w:rPr>
          <w:highlight w:val="yellow"/>
        </w:rPr>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7009FAD2" w14:textId="7930EC96"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821F13">
        <w:tc>
          <w:tcPr>
            <w:tcW w:w="1388" w:type="dxa"/>
          </w:tcPr>
          <w:p w14:paraId="1D2925F4" w14:textId="77777777" w:rsidR="00573EB7" w:rsidRDefault="00573EB7" w:rsidP="00821F13">
            <w:pPr>
              <w:rPr>
                <w:rFonts w:eastAsiaTheme="minorEastAsia"/>
              </w:rPr>
            </w:pPr>
            <w:r>
              <w:rPr>
                <w:rFonts w:eastAsiaTheme="minorEastAsia"/>
              </w:rPr>
              <w:t>Convida</w:t>
            </w:r>
          </w:p>
        </w:tc>
        <w:tc>
          <w:tcPr>
            <w:tcW w:w="1272" w:type="dxa"/>
          </w:tcPr>
          <w:p w14:paraId="4EA1D675" w14:textId="77777777" w:rsidR="00573EB7" w:rsidRDefault="00573EB7" w:rsidP="00821F13">
            <w:pPr>
              <w:rPr>
                <w:rFonts w:eastAsiaTheme="minorEastAsia"/>
              </w:rPr>
            </w:pPr>
            <w:r>
              <w:rPr>
                <w:rFonts w:eastAsiaTheme="minorEastAsia"/>
              </w:rPr>
              <w:t>Y</w:t>
            </w:r>
          </w:p>
        </w:tc>
        <w:tc>
          <w:tcPr>
            <w:tcW w:w="6971" w:type="dxa"/>
          </w:tcPr>
          <w:p w14:paraId="31AD3805" w14:textId="77777777" w:rsidR="00573EB7" w:rsidRDefault="00573EB7" w:rsidP="00821F13">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9C690D">
            <w:pPr>
              <w:rPr>
                <w:rFonts w:eastAsiaTheme="minorEastAsia"/>
              </w:rPr>
            </w:pPr>
            <w:r>
              <w:rPr>
                <w:rFonts w:eastAsiaTheme="minorEastAsia"/>
              </w:rPr>
              <w:t>Lenovo, Motorola Mobility</w:t>
            </w:r>
          </w:p>
        </w:tc>
        <w:tc>
          <w:tcPr>
            <w:tcW w:w="1272" w:type="dxa"/>
          </w:tcPr>
          <w:p w14:paraId="576F03BD" w14:textId="77777777" w:rsidR="009423DD" w:rsidRDefault="009423DD" w:rsidP="009C690D">
            <w:pPr>
              <w:rPr>
                <w:rFonts w:eastAsiaTheme="minorEastAsia"/>
              </w:rPr>
            </w:pPr>
            <w:r>
              <w:rPr>
                <w:rFonts w:eastAsiaTheme="minorEastAsia"/>
              </w:rPr>
              <w:t>Y</w:t>
            </w:r>
          </w:p>
        </w:tc>
        <w:tc>
          <w:tcPr>
            <w:tcW w:w="6971" w:type="dxa"/>
          </w:tcPr>
          <w:p w14:paraId="58EF5063" w14:textId="77777777" w:rsidR="009423DD" w:rsidRDefault="009423DD" w:rsidP="009C690D">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9C690D">
            <w:pPr>
              <w:rPr>
                <w:rFonts w:eastAsiaTheme="minorEastAsia"/>
              </w:rPr>
            </w:pPr>
            <w:r>
              <w:rPr>
                <w:rFonts w:eastAsiaTheme="minorEastAsia"/>
              </w:rPr>
              <w:t>Following wording for consideration,</w:t>
            </w:r>
          </w:p>
          <w:p w14:paraId="42553191" w14:textId="77777777" w:rsidR="009423DD" w:rsidRPr="00D16E24" w:rsidRDefault="009423DD" w:rsidP="009C690D">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9C690D">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9C690D">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9C690D">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9C690D">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9C690D">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1718ED">
            <w:pPr>
              <w:rPr>
                <w:rFonts w:eastAsiaTheme="minorEastAsia"/>
              </w:rPr>
            </w:pPr>
            <w:r>
              <w:rPr>
                <w:rFonts w:eastAsiaTheme="minorEastAsia"/>
              </w:rPr>
              <w:t>Samsung</w:t>
            </w:r>
          </w:p>
        </w:tc>
        <w:tc>
          <w:tcPr>
            <w:tcW w:w="1272" w:type="dxa"/>
          </w:tcPr>
          <w:p w14:paraId="6EB62E4B" w14:textId="77777777" w:rsidR="00EE208E" w:rsidRDefault="00EE208E" w:rsidP="001718ED">
            <w:pPr>
              <w:rPr>
                <w:rFonts w:eastAsiaTheme="minorEastAsia"/>
              </w:rPr>
            </w:pPr>
          </w:p>
        </w:tc>
        <w:tc>
          <w:tcPr>
            <w:tcW w:w="6971" w:type="dxa"/>
          </w:tcPr>
          <w:p w14:paraId="5E1AE463" w14:textId="77777777" w:rsidR="00EE208E" w:rsidRDefault="00EE208E" w:rsidP="001718ED">
            <w:pPr>
              <w:rPr>
                <w:rFonts w:eastAsiaTheme="minorEastAsia"/>
              </w:rPr>
            </w:pPr>
            <w:r>
              <w:rPr>
                <w:rFonts w:eastAsiaTheme="minorEastAsia"/>
              </w:rPr>
              <w:t xml:space="preserve">Agree in principle. First bullet is fine. The second bullet needs to be clarified. </w:t>
            </w:r>
          </w:p>
        </w:tc>
      </w:tr>
    </w:tbl>
    <w:p w14:paraId="18ACA660" w14:textId="77777777" w:rsidR="00EE208E" w:rsidRDefault="00EE208E"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lastRenderedPageBreak/>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37DBAA78" w:rsidR="0048016A"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597A8DB2" w14:textId="0C476E0E" w:rsidR="00B67464" w:rsidRPr="00B67464"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lastRenderedPageBreak/>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7777777" w:rsidR="00E141F4" w:rsidRDefault="00E141F4" w:rsidP="00E141F4">
            <w:pPr>
              <w:rPr>
                <w:rFonts w:eastAsiaTheme="minorEastAsia"/>
              </w:rPr>
            </w:pP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691E2915" w14:textId="77777777" w:rsidR="00460A3D" w:rsidRDefault="00460A3D" w:rsidP="00086867">
            <w:pPr>
              <w:rPr>
                <w:rFonts w:eastAsiaTheme="minorEastAsia"/>
              </w:rPr>
            </w:pPr>
            <w:r>
              <w:rPr>
                <w:rFonts w:eastAsiaTheme="minorEastAsia"/>
              </w:rPr>
              <w:t>What is the plan for the sub-sub-bullets?</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lastRenderedPageBreak/>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77777777" w:rsidR="00871746" w:rsidRDefault="00871746" w:rsidP="00871746">
            <w:pPr>
              <w:spacing w:before="120" w:afterLines="50" w:line="276" w:lineRule="auto"/>
              <w:rPr>
                <w:rFonts w:eastAsiaTheme="minorEastAsia"/>
                <w:bCs/>
              </w:rPr>
            </w:pP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lastRenderedPageBreak/>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3F493B5C" w14:textId="2D8439C4" w:rsidR="00EC7C1A" w:rsidRPr="005261BC"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821F13">
        <w:tc>
          <w:tcPr>
            <w:tcW w:w="1388" w:type="dxa"/>
          </w:tcPr>
          <w:p w14:paraId="283ABF1E" w14:textId="77777777" w:rsidR="00573EB7" w:rsidRDefault="00573EB7" w:rsidP="00821F13">
            <w:pPr>
              <w:rPr>
                <w:rFonts w:eastAsiaTheme="minorEastAsia"/>
              </w:rPr>
            </w:pPr>
            <w:r>
              <w:rPr>
                <w:rFonts w:eastAsiaTheme="minorEastAsia"/>
              </w:rPr>
              <w:t>Convida</w:t>
            </w:r>
          </w:p>
        </w:tc>
        <w:tc>
          <w:tcPr>
            <w:tcW w:w="1272" w:type="dxa"/>
          </w:tcPr>
          <w:p w14:paraId="70C29E37" w14:textId="77777777" w:rsidR="00573EB7" w:rsidRDefault="00573EB7" w:rsidP="00821F13">
            <w:pPr>
              <w:rPr>
                <w:rFonts w:eastAsiaTheme="minorEastAsia"/>
              </w:rPr>
            </w:pPr>
          </w:p>
        </w:tc>
        <w:tc>
          <w:tcPr>
            <w:tcW w:w="6971" w:type="dxa"/>
          </w:tcPr>
          <w:p w14:paraId="753C8649" w14:textId="77777777" w:rsidR="00573EB7" w:rsidRDefault="00573EB7" w:rsidP="00821F13">
            <w:pPr>
              <w:spacing w:before="120" w:afterLines="50" w:line="276" w:lineRule="auto"/>
              <w:rPr>
                <w:rFonts w:eastAsiaTheme="minorEastAsia"/>
                <w:bCs/>
              </w:rPr>
            </w:pPr>
            <w:r>
              <w:rPr>
                <w:rFonts w:eastAsiaTheme="minorEastAsia"/>
                <w:bCs/>
              </w:rPr>
              <w:t xml:space="preserve">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w:t>
            </w:r>
            <w:r>
              <w:rPr>
                <w:rFonts w:eastAsiaTheme="minorEastAsia"/>
                <w:bCs/>
              </w:rPr>
              <w:lastRenderedPageBreak/>
              <w:t>conservative scheduling is acceptable could be questionable. At a certain point, it may become strictly necessary to identify the RedCap UEs in Msg1.</w:t>
            </w:r>
          </w:p>
          <w:p w14:paraId="2DF88459" w14:textId="77777777" w:rsidR="00573EB7" w:rsidRDefault="00573EB7" w:rsidP="00821F13">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821F13">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821F13">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D85ACE">
            <w:pPr>
              <w:rPr>
                <w:rFonts w:eastAsiaTheme="minorEastAsia"/>
              </w:rPr>
            </w:pPr>
            <w:r>
              <w:rPr>
                <w:rFonts w:eastAsiaTheme="minorEastAsia"/>
              </w:rPr>
              <w:lastRenderedPageBreak/>
              <w:t>Ericsson</w:t>
            </w:r>
          </w:p>
        </w:tc>
        <w:tc>
          <w:tcPr>
            <w:tcW w:w="1272" w:type="dxa"/>
          </w:tcPr>
          <w:p w14:paraId="36964B0E" w14:textId="77777777" w:rsidR="007A09AD" w:rsidRDefault="007A09AD" w:rsidP="00D85ACE">
            <w:pPr>
              <w:rPr>
                <w:rFonts w:eastAsiaTheme="minorEastAsia"/>
              </w:rPr>
            </w:pPr>
          </w:p>
        </w:tc>
        <w:tc>
          <w:tcPr>
            <w:tcW w:w="6971" w:type="dxa"/>
          </w:tcPr>
          <w:p w14:paraId="3ECA2437" w14:textId="77777777" w:rsidR="007A09AD" w:rsidRPr="00F6621E" w:rsidRDefault="007A09AD" w:rsidP="00D85ACE">
            <w:r>
              <w:t>Regarding the first bullet, i.e.:</w:t>
            </w:r>
          </w:p>
          <w:p w14:paraId="6BDC1A6F" w14:textId="77777777" w:rsidR="007A09AD" w:rsidRDefault="007A09AD" w:rsidP="00D85ACE">
            <w:pPr>
              <w:pStyle w:val="ListParagraph"/>
              <w:numPr>
                <w:ilvl w:val="0"/>
                <w:numId w:val="38"/>
              </w:numPr>
            </w:pPr>
            <w:r>
              <w:t>Relaxation of UE minimum processing times for PDSCH processing and PUSCH preparation</w:t>
            </w:r>
          </w:p>
          <w:p w14:paraId="75EF06F6" w14:textId="77777777" w:rsidR="007A09AD" w:rsidRPr="00CC57FD" w:rsidRDefault="007A09AD" w:rsidP="00D85ACE">
            <w:pPr>
              <w:pStyle w:val="ListParagraph"/>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D85ACE">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D85ACE">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9C690D">
            <w:pPr>
              <w:rPr>
                <w:rFonts w:eastAsiaTheme="minorEastAsia"/>
              </w:rPr>
            </w:pPr>
            <w:r>
              <w:rPr>
                <w:rFonts w:eastAsiaTheme="minorEastAsia"/>
              </w:rPr>
              <w:t>Lenovo, Motorola Mobility</w:t>
            </w:r>
          </w:p>
        </w:tc>
        <w:tc>
          <w:tcPr>
            <w:tcW w:w="1272" w:type="dxa"/>
          </w:tcPr>
          <w:p w14:paraId="5853F4A1" w14:textId="77777777" w:rsidR="00D8678A" w:rsidRDefault="00D8678A" w:rsidP="009C690D">
            <w:pPr>
              <w:rPr>
                <w:rFonts w:eastAsiaTheme="minorEastAsia"/>
              </w:rPr>
            </w:pPr>
            <w:r>
              <w:rPr>
                <w:rFonts w:eastAsiaTheme="minorEastAsia"/>
              </w:rPr>
              <w:t>Y</w:t>
            </w:r>
          </w:p>
        </w:tc>
        <w:tc>
          <w:tcPr>
            <w:tcW w:w="6971" w:type="dxa"/>
          </w:tcPr>
          <w:p w14:paraId="27DCACCA" w14:textId="41B0174A" w:rsidR="00D8678A" w:rsidRDefault="00D8678A" w:rsidP="009C690D">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1718ED">
            <w:pPr>
              <w:rPr>
                <w:rFonts w:eastAsiaTheme="minorEastAsia"/>
              </w:rPr>
            </w:pPr>
            <w:r>
              <w:rPr>
                <w:rFonts w:eastAsiaTheme="minorEastAsia"/>
              </w:rPr>
              <w:t>Samsung</w:t>
            </w:r>
          </w:p>
        </w:tc>
        <w:tc>
          <w:tcPr>
            <w:tcW w:w="1272" w:type="dxa"/>
          </w:tcPr>
          <w:p w14:paraId="217600C6" w14:textId="77777777" w:rsidR="00EE208E" w:rsidRPr="005261BC" w:rsidRDefault="00EE208E" w:rsidP="001718ED">
            <w:pPr>
              <w:rPr>
                <w:rFonts w:eastAsia="Malgun Gothic"/>
                <w:lang w:eastAsia="ko-KR"/>
              </w:rPr>
            </w:pPr>
          </w:p>
        </w:tc>
        <w:tc>
          <w:tcPr>
            <w:tcW w:w="6971" w:type="dxa"/>
          </w:tcPr>
          <w:p w14:paraId="47086BB2" w14:textId="77777777" w:rsidR="00EE208E" w:rsidRDefault="00EE208E" w:rsidP="001718ED">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1718ED">
            <w:pPr>
              <w:pStyle w:val="ListParagraph"/>
              <w:numPr>
                <w:ilvl w:val="0"/>
                <w:numId w:val="47"/>
              </w:numPr>
              <w:autoSpaceDE/>
              <w:autoSpaceDN/>
              <w:adjustRightInd/>
              <w:snapToGrid/>
              <w:spacing w:after="0"/>
              <w:contextualSpacing w:val="0"/>
              <w:jc w:val="left"/>
            </w:pPr>
            <w:r>
              <w:t>Wait for agreement on coverage recovery.</w:t>
            </w:r>
          </w:p>
        </w:tc>
      </w:tr>
    </w:tbl>
    <w:p w14:paraId="6664805F" w14:textId="64670FD7" w:rsidR="005E01F7" w:rsidRDefault="005E01F7"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w:t>
            </w:r>
            <w:r>
              <w:rPr>
                <w:b w:val="0"/>
                <w:bCs w:val="0"/>
              </w:rPr>
              <w:lastRenderedPageBreak/>
              <w:t xml:space="preserve">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ED236EF"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72B79D30" w14:textId="5910AC55" w:rsidR="009034CB" w:rsidRPr="00C51E34"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r w:rsidRPr="0075181C">
              <w:rPr>
                <w:b/>
              </w:rPr>
              <w:lastRenderedPageBreak/>
              <w:t>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6C4FD81E" w14:textId="77777777" w:rsidR="00460A3D" w:rsidRPr="00C51E34" w:rsidRDefault="00460A3D" w:rsidP="00086867">
            <w:pPr>
              <w:rPr>
                <w:rFonts w:eastAsiaTheme="minorEastAsia"/>
              </w:rPr>
            </w:pPr>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4375499C" w14:textId="4FD07869" w:rsidR="00B134D8" w:rsidRDefault="000C3D55" w:rsidP="00871746">
            <w:pPr>
              <w:rPr>
                <w:rFonts w:eastAsiaTheme="minorEastAsia"/>
              </w:rPr>
            </w:pPr>
            <w:r>
              <w:rPr>
                <w:rFonts w:eastAsiaTheme="minorEastAsia"/>
              </w:rPr>
              <w:t xml:space="preserve">In our view, there is still an FFS regarding the use of msg1 and msg3 identification together, i.e. where Msg1 gives generic REDCAP differentiation and msg3 (subject </w:t>
            </w:r>
            <w:r>
              <w:rPr>
                <w:rFonts w:eastAsiaTheme="minorEastAsia"/>
              </w:rPr>
              <w:lastRenderedPageBreak/>
              <w:t>to available bits) provides more detailed “sub-category” capability style information.</w:t>
            </w:r>
            <w:r w:rsidR="00F96513">
              <w:rPr>
                <w:rFonts w:eastAsiaTheme="minorEastAsia"/>
              </w:rPr>
              <w:t xml:space="preserve">  Using a combination of techniques, may and may not, help alleviate some of the cons.</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lastRenderedPageBreak/>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4C1EB508" w14:textId="339B82C4" w:rsidR="005261BC" w:rsidRP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821F13">
        <w:tc>
          <w:tcPr>
            <w:tcW w:w="1388" w:type="dxa"/>
          </w:tcPr>
          <w:p w14:paraId="178B3F4D" w14:textId="77777777" w:rsidR="00573EB7" w:rsidRDefault="00573EB7" w:rsidP="00821F13">
            <w:pPr>
              <w:rPr>
                <w:rFonts w:eastAsiaTheme="minorEastAsia"/>
              </w:rPr>
            </w:pPr>
            <w:r>
              <w:rPr>
                <w:rFonts w:eastAsiaTheme="minorEastAsia"/>
              </w:rPr>
              <w:t>Convida</w:t>
            </w:r>
          </w:p>
        </w:tc>
        <w:tc>
          <w:tcPr>
            <w:tcW w:w="1272" w:type="dxa"/>
          </w:tcPr>
          <w:p w14:paraId="5408307B" w14:textId="77777777" w:rsidR="00573EB7" w:rsidRPr="00C51E34" w:rsidRDefault="00573EB7" w:rsidP="00821F13">
            <w:pPr>
              <w:rPr>
                <w:rFonts w:eastAsiaTheme="minorEastAsia"/>
              </w:rPr>
            </w:pPr>
          </w:p>
        </w:tc>
        <w:tc>
          <w:tcPr>
            <w:tcW w:w="6971" w:type="dxa"/>
          </w:tcPr>
          <w:p w14:paraId="5938D1C6" w14:textId="77777777" w:rsidR="00573EB7" w:rsidRDefault="00573EB7" w:rsidP="00821F13">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RedCap UE indication but also Rel-17 Small Data feature related indication and perhaps even indications for combinations of these two </w:t>
            </w:r>
            <w:r>
              <w:rPr>
                <w:rFonts w:eastAsiaTheme="minorEastAsia"/>
              </w:rPr>
              <w:lastRenderedPageBreak/>
              <w:t>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9C690D">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9C690D">
            <w:pPr>
              <w:rPr>
                <w:rFonts w:eastAsiaTheme="minorEastAsia"/>
              </w:rPr>
            </w:pPr>
          </w:p>
        </w:tc>
        <w:tc>
          <w:tcPr>
            <w:tcW w:w="6971" w:type="dxa"/>
          </w:tcPr>
          <w:p w14:paraId="30109937" w14:textId="77777777" w:rsidR="00D31E0A" w:rsidRDefault="00D31E0A" w:rsidP="009C690D">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1718ED">
            <w:pPr>
              <w:rPr>
                <w:rFonts w:eastAsiaTheme="minorEastAsia"/>
              </w:rPr>
            </w:pPr>
            <w:r>
              <w:rPr>
                <w:rFonts w:eastAsiaTheme="minorEastAsia"/>
              </w:rPr>
              <w:t>Samsung</w:t>
            </w:r>
          </w:p>
        </w:tc>
        <w:tc>
          <w:tcPr>
            <w:tcW w:w="1272" w:type="dxa"/>
          </w:tcPr>
          <w:p w14:paraId="55548F7D" w14:textId="77777777" w:rsidR="00EE208E" w:rsidRPr="005261BC" w:rsidRDefault="00EE208E" w:rsidP="001718ED">
            <w:pPr>
              <w:rPr>
                <w:rFonts w:eastAsiaTheme="minorEastAsia"/>
              </w:rPr>
            </w:pPr>
          </w:p>
        </w:tc>
        <w:tc>
          <w:tcPr>
            <w:tcW w:w="6971" w:type="dxa"/>
          </w:tcPr>
          <w:p w14:paraId="281189D4" w14:textId="77777777" w:rsidR="00EE208E" w:rsidRPr="005261BC" w:rsidRDefault="00EE208E" w:rsidP="001718ED">
            <w:pPr>
              <w:rPr>
                <w:rFonts w:eastAsiaTheme="minorEastAsia"/>
              </w:rPr>
            </w:pPr>
            <w:r>
              <w:rPr>
                <w:rFonts w:eastAsiaTheme="minorEastAsia"/>
              </w:rPr>
              <w:t>In the cons, “scales poorly” can be removed unless it is given an example of features for which this early identification might be a drawback.</w:t>
            </w:r>
          </w:p>
        </w:tc>
      </w:tr>
    </w:tbl>
    <w:p w14:paraId="4192472A" w14:textId="77777777" w:rsidR="00A244BD" w:rsidRPr="0070054B" w:rsidRDefault="00A244BD"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253B3E59" w14:textId="6CDB79E3" w:rsidR="000A6E4D" w:rsidRPr="00C51E34"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lastRenderedPageBreak/>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A1CD23B" w14:textId="5FBFE54C" w:rsidR="00E94D64" w:rsidRP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821F13">
        <w:tc>
          <w:tcPr>
            <w:tcW w:w="1388" w:type="dxa"/>
          </w:tcPr>
          <w:p w14:paraId="40367C46" w14:textId="77777777" w:rsidR="00573EB7" w:rsidRDefault="00573EB7" w:rsidP="00821F13">
            <w:pPr>
              <w:rPr>
                <w:rFonts w:eastAsiaTheme="minorEastAsia"/>
              </w:rPr>
            </w:pPr>
            <w:r>
              <w:rPr>
                <w:rFonts w:eastAsiaTheme="minorEastAsia"/>
              </w:rPr>
              <w:t>Convida</w:t>
            </w:r>
          </w:p>
        </w:tc>
        <w:tc>
          <w:tcPr>
            <w:tcW w:w="1272" w:type="dxa"/>
          </w:tcPr>
          <w:p w14:paraId="054A5483" w14:textId="77777777" w:rsidR="00573EB7" w:rsidRDefault="00573EB7" w:rsidP="00821F13">
            <w:pPr>
              <w:rPr>
                <w:rFonts w:eastAsiaTheme="minorEastAsia"/>
              </w:rPr>
            </w:pPr>
          </w:p>
        </w:tc>
        <w:tc>
          <w:tcPr>
            <w:tcW w:w="6971" w:type="dxa"/>
          </w:tcPr>
          <w:p w14:paraId="0F98D938" w14:textId="77777777" w:rsidR="00573EB7" w:rsidRDefault="00573EB7" w:rsidP="00821F13">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9C690D">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9C690D">
            <w:pPr>
              <w:rPr>
                <w:rFonts w:eastAsia="Malgun Gothic"/>
                <w:lang w:eastAsia="ko-KR"/>
              </w:rPr>
            </w:pPr>
          </w:p>
        </w:tc>
        <w:tc>
          <w:tcPr>
            <w:tcW w:w="6971" w:type="dxa"/>
          </w:tcPr>
          <w:p w14:paraId="4CCBD32F" w14:textId="77777777" w:rsidR="00126CAE" w:rsidRDefault="00126CAE" w:rsidP="009C690D">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1718ED">
            <w:pPr>
              <w:rPr>
                <w:rFonts w:eastAsiaTheme="minorEastAsia"/>
              </w:rPr>
            </w:pPr>
            <w:r>
              <w:rPr>
                <w:rFonts w:eastAsiaTheme="minorEastAsia"/>
              </w:rPr>
              <w:t>Samsung</w:t>
            </w:r>
          </w:p>
        </w:tc>
        <w:tc>
          <w:tcPr>
            <w:tcW w:w="1272" w:type="dxa"/>
          </w:tcPr>
          <w:p w14:paraId="5B403E05" w14:textId="77777777" w:rsidR="00EE208E" w:rsidRPr="005261BC" w:rsidRDefault="00EE208E" w:rsidP="001718ED">
            <w:pPr>
              <w:rPr>
                <w:rFonts w:eastAsia="Malgun Gothic"/>
                <w:lang w:eastAsia="ko-KR"/>
              </w:rPr>
            </w:pPr>
          </w:p>
        </w:tc>
        <w:tc>
          <w:tcPr>
            <w:tcW w:w="6971" w:type="dxa"/>
          </w:tcPr>
          <w:p w14:paraId="4A983336" w14:textId="77777777" w:rsidR="00EE208E" w:rsidRDefault="00EE208E" w:rsidP="001718ED">
            <w:pPr>
              <w:rPr>
                <w:rFonts w:eastAsiaTheme="minorEastAsia"/>
              </w:rPr>
            </w:pPr>
            <w:r>
              <w:rPr>
                <w:rFonts w:eastAsiaTheme="minorEastAsia"/>
              </w:rPr>
              <w:t>No specific comments on the options, but perhaps no need to agree anything on feasibility here.</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39C722CC" w14:textId="77777777"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056DE363" w:rsidR="00035D4E" w:rsidRDefault="00035D4E" w:rsidP="00035D4E">
      <w:pPr>
        <w:pStyle w:val="ListParagraph"/>
        <w:numPr>
          <w:ilvl w:val="0"/>
          <w:numId w:val="38"/>
        </w:numPr>
      </w:pPr>
      <w:r>
        <w:t xml:space="preserve">Coverage recovery for one or more of Msg4 </w:t>
      </w:r>
      <w:r w:rsidR="0044578D">
        <w:t>PDSCH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Appropriate link adaptation for Msg2/Msg4 PDSCH or Msg3 PUSCH, and associated PDCCH</w:t>
      </w:r>
    </w:p>
    <w:p w14:paraId="0EE8C242" w14:textId="58A6948D" w:rsidR="00D35ABA" w:rsidRPr="00D872BE" w:rsidRDefault="00035D4E" w:rsidP="00D872BE">
      <w:pPr>
        <w:pStyle w:val="ListParagraph"/>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lastRenderedPageBreak/>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39F96FD3" w14:textId="1BE83F93" w:rsidR="00AC2D34" w:rsidRPr="00C51E34" w:rsidRDefault="00AC2D34" w:rsidP="00AC2D34">
            <w:pPr>
              <w:rPr>
                <w:rFonts w:eastAsiaTheme="minorEastAsia"/>
              </w:rPr>
            </w:pPr>
            <w:r w:rsidRPr="00C51E34">
              <w:rPr>
                <w:rFonts w:eastAsiaTheme="minorEastAsia"/>
              </w:rPr>
              <w:t>Regarding link adaptation, it is unclear whether gNB can always schedule conservatively assuming RedCap UEs.</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6576C70B" w14:textId="38C151BD" w:rsidR="00276424" w:rsidRP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821F13">
        <w:tc>
          <w:tcPr>
            <w:tcW w:w="1388" w:type="dxa"/>
            <w:shd w:val="clear" w:color="auto" w:fill="auto"/>
          </w:tcPr>
          <w:p w14:paraId="529F86ED"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821F13">
            <w:pPr>
              <w:rPr>
                <w:rFonts w:eastAsiaTheme="minorEastAsia"/>
              </w:rPr>
            </w:pPr>
          </w:p>
        </w:tc>
        <w:tc>
          <w:tcPr>
            <w:tcW w:w="6971" w:type="dxa"/>
            <w:shd w:val="clear" w:color="auto" w:fill="auto"/>
          </w:tcPr>
          <w:p w14:paraId="1950E47F" w14:textId="0264DE4E" w:rsidR="00573EB7" w:rsidRDefault="00573EB7" w:rsidP="00821F13">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821F13">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14B7EF75" w14:textId="47821040"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tc>
      </w:tr>
      <w:tr w:rsidR="00126CAE" w14:paraId="6974B74F" w14:textId="77777777" w:rsidTr="00126CAE">
        <w:tc>
          <w:tcPr>
            <w:tcW w:w="1388" w:type="dxa"/>
          </w:tcPr>
          <w:p w14:paraId="0A547963" w14:textId="77777777" w:rsidR="00126CAE" w:rsidRDefault="00126CAE" w:rsidP="009C690D">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9C690D">
            <w:pPr>
              <w:rPr>
                <w:rFonts w:eastAsiaTheme="minorEastAsia"/>
              </w:rPr>
            </w:pPr>
            <w:r>
              <w:rPr>
                <w:rFonts w:eastAsiaTheme="minorEastAsia"/>
              </w:rPr>
              <w:t>Y</w:t>
            </w:r>
          </w:p>
        </w:tc>
        <w:tc>
          <w:tcPr>
            <w:tcW w:w="6971" w:type="dxa"/>
          </w:tcPr>
          <w:p w14:paraId="4A02D365" w14:textId="77777777" w:rsidR="00126CAE" w:rsidRDefault="00126CAE" w:rsidP="009C690D">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lastRenderedPageBreak/>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1718ED">
            <w:pPr>
              <w:rPr>
                <w:rFonts w:eastAsiaTheme="minorEastAsia"/>
              </w:rPr>
            </w:pPr>
            <w:r>
              <w:rPr>
                <w:rFonts w:eastAsiaTheme="minorEastAsia"/>
              </w:rPr>
              <w:t>Samsung</w:t>
            </w:r>
          </w:p>
        </w:tc>
        <w:tc>
          <w:tcPr>
            <w:tcW w:w="1272" w:type="dxa"/>
          </w:tcPr>
          <w:p w14:paraId="1EA11A6E" w14:textId="77777777" w:rsidR="00EE208E" w:rsidRDefault="00EE208E" w:rsidP="001718ED">
            <w:pPr>
              <w:rPr>
                <w:rFonts w:eastAsiaTheme="minorEastAsia"/>
              </w:rPr>
            </w:pPr>
          </w:p>
        </w:tc>
        <w:tc>
          <w:tcPr>
            <w:tcW w:w="6971" w:type="dxa"/>
          </w:tcPr>
          <w:p w14:paraId="257FAAE1" w14:textId="77777777" w:rsidR="00EE208E" w:rsidRDefault="00EE208E" w:rsidP="001718ED">
            <w:pPr>
              <w:rPr>
                <w:rFonts w:eastAsiaTheme="minorEastAsia"/>
              </w:rPr>
            </w:pPr>
            <w:r>
              <w:rPr>
                <w:rFonts w:eastAsiaTheme="minorEastAsia"/>
              </w:rPr>
              <w:t>The motivation would be the first bullet, not the second.</w:t>
            </w:r>
          </w:p>
        </w:tc>
      </w:tr>
    </w:tbl>
    <w:p w14:paraId="7E723152" w14:textId="0C5EF577" w:rsidR="00951785" w:rsidRDefault="00951785"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lastRenderedPageBreak/>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040E0D10" w14:textId="612C7746" w:rsidR="005927E9" w:rsidRPr="00C51E34"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821F13">
        <w:tc>
          <w:tcPr>
            <w:tcW w:w="1388" w:type="dxa"/>
            <w:shd w:val="clear" w:color="auto" w:fill="auto"/>
          </w:tcPr>
          <w:p w14:paraId="23DA2899"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821F13">
            <w:pPr>
              <w:rPr>
                <w:rFonts w:eastAsiaTheme="minorEastAsia"/>
              </w:rPr>
            </w:pPr>
          </w:p>
        </w:tc>
        <w:tc>
          <w:tcPr>
            <w:tcW w:w="6971" w:type="dxa"/>
            <w:shd w:val="clear" w:color="auto" w:fill="auto"/>
          </w:tcPr>
          <w:p w14:paraId="50F3FC62" w14:textId="77777777" w:rsidR="00573EB7" w:rsidRDefault="00573EB7" w:rsidP="00821F13">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9C690D">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9C690D">
            <w:pPr>
              <w:rPr>
                <w:rFonts w:eastAsiaTheme="minorEastAsia"/>
              </w:rPr>
            </w:pPr>
          </w:p>
        </w:tc>
        <w:tc>
          <w:tcPr>
            <w:tcW w:w="6971" w:type="dxa"/>
          </w:tcPr>
          <w:p w14:paraId="0670BE6C" w14:textId="77777777" w:rsidR="0073057D" w:rsidRDefault="0073057D" w:rsidP="009C690D">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1718ED">
            <w:pPr>
              <w:rPr>
                <w:rFonts w:eastAsiaTheme="minorEastAsia"/>
              </w:rPr>
            </w:pPr>
            <w:r>
              <w:rPr>
                <w:rFonts w:eastAsiaTheme="minorEastAsia"/>
              </w:rPr>
              <w:t>Samsung</w:t>
            </w:r>
          </w:p>
        </w:tc>
        <w:tc>
          <w:tcPr>
            <w:tcW w:w="1272" w:type="dxa"/>
          </w:tcPr>
          <w:p w14:paraId="57DA2477" w14:textId="77777777" w:rsidR="00EE208E" w:rsidRPr="003E60DF" w:rsidRDefault="00EE208E" w:rsidP="001718ED">
            <w:pPr>
              <w:rPr>
                <w:rFonts w:eastAsiaTheme="minorEastAsia"/>
              </w:rPr>
            </w:pPr>
          </w:p>
        </w:tc>
        <w:tc>
          <w:tcPr>
            <w:tcW w:w="6971" w:type="dxa"/>
          </w:tcPr>
          <w:p w14:paraId="66B5BFFF" w14:textId="77777777" w:rsidR="00EE208E" w:rsidRPr="003E60DF" w:rsidRDefault="00EE208E" w:rsidP="001718ED">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bl>
    <w:p w14:paraId="46A59759" w14:textId="31845261" w:rsidR="005927E9" w:rsidRDefault="005927E9" w:rsidP="009976AF"/>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465FC06" w14:textId="473EA380" w:rsidR="008F2456" w:rsidRPr="003E60DF"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821F13">
        <w:tc>
          <w:tcPr>
            <w:tcW w:w="1388" w:type="dxa"/>
            <w:shd w:val="clear" w:color="auto" w:fill="auto"/>
          </w:tcPr>
          <w:p w14:paraId="11F6B682"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821F13">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821F13">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1718ED">
            <w:pPr>
              <w:rPr>
                <w:rFonts w:eastAsiaTheme="minorEastAsia"/>
              </w:rPr>
            </w:pPr>
            <w:r>
              <w:rPr>
                <w:rFonts w:eastAsiaTheme="minorEastAsia"/>
              </w:rPr>
              <w:t>Samsung</w:t>
            </w:r>
          </w:p>
        </w:tc>
        <w:tc>
          <w:tcPr>
            <w:tcW w:w="1272" w:type="dxa"/>
          </w:tcPr>
          <w:p w14:paraId="062158F4" w14:textId="77777777" w:rsidR="00EE208E" w:rsidRDefault="00EE208E" w:rsidP="001718ED">
            <w:pPr>
              <w:rPr>
                <w:rFonts w:eastAsiaTheme="minorEastAsia"/>
              </w:rPr>
            </w:pPr>
            <w:r>
              <w:rPr>
                <w:rFonts w:eastAsiaTheme="minorEastAsia"/>
              </w:rPr>
              <w:t>Y</w:t>
            </w:r>
          </w:p>
        </w:tc>
        <w:tc>
          <w:tcPr>
            <w:tcW w:w="6971" w:type="dxa"/>
          </w:tcPr>
          <w:p w14:paraId="485E2F61" w14:textId="77777777" w:rsidR="00EE208E" w:rsidRDefault="00EE208E" w:rsidP="001718ED">
            <w:pPr>
              <w:rPr>
                <w:rFonts w:eastAsiaTheme="minorEastAsia"/>
              </w:rPr>
            </w:pPr>
          </w:p>
        </w:tc>
      </w:tr>
    </w:tbl>
    <w:p w14:paraId="66E7393A" w14:textId="77777777" w:rsidR="000A6E4D" w:rsidRPr="000A6E4D" w:rsidRDefault="000A6E4D" w:rsidP="000A6E4D">
      <w:pPr>
        <w:rPr>
          <w:i/>
          <w:iCs/>
        </w:rPr>
      </w:pPr>
    </w:p>
    <w:p w14:paraId="60DC69E2" w14:textId="77777777" w:rsidR="000A6E4D" w:rsidRDefault="000A6E4D" w:rsidP="009976AF">
      <w:pPr>
        <w:rPr>
          <w:b/>
          <w:bCs/>
          <w:u w:val="single"/>
        </w:rPr>
      </w:pPr>
    </w:p>
    <w:p w14:paraId="13115D68" w14:textId="53F966A3"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lastRenderedPageBreak/>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D85ACE">
            <w:pPr>
              <w:rPr>
                <w:rFonts w:eastAsiaTheme="minorEastAsia"/>
              </w:rPr>
            </w:pPr>
            <w:r>
              <w:rPr>
                <w:rFonts w:eastAsiaTheme="minorEastAsia"/>
              </w:rPr>
              <w:t>Ericsson</w:t>
            </w:r>
          </w:p>
        </w:tc>
        <w:tc>
          <w:tcPr>
            <w:tcW w:w="1272" w:type="dxa"/>
          </w:tcPr>
          <w:p w14:paraId="280F2CAC" w14:textId="77777777" w:rsidR="007A09AD" w:rsidRDefault="007A09AD" w:rsidP="00D85ACE">
            <w:pPr>
              <w:rPr>
                <w:rFonts w:eastAsiaTheme="minorEastAsia"/>
              </w:rPr>
            </w:pPr>
          </w:p>
        </w:tc>
        <w:tc>
          <w:tcPr>
            <w:tcW w:w="6971" w:type="dxa"/>
          </w:tcPr>
          <w:p w14:paraId="6931817F" w14:textId="77777777" w:rsidR="007A09AD" w:rsidRDefault="007A09AD" w:rsidP="00D85ACE">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1718ED">
            <w:pPr>
              <w:rPr>
                <w:rFonts w:eastAsiaTheme="minorEastAsia"/>
              </w:rPr>
            </w:pPr>
            <w:r>
              <w:rPr>
                <w:rFonts w:eastAsiaTheme="minorEastAsia"/>
              </w:rPr>
              <w:t>Samsung</w:t>
            </w:r>
          </w:p>
        </w:tc>
        <w:tc>
          <w:tcPr>
            <w:tcW w:w="1272" w:type="dxa"/>
          </w:tcPr>
          <w:p w14:paraId="2054A8DF" w14:textId="77777777" w:rsidR="00EE208E" w:rsidRDefault="00EE208E" w:rsidP="001718ED">
            <w:pPr>
              <w:rPr>
                <w:rFonts w:eastAsiaTheme="minorEastAsia"/>
              </w:rPr>
            </w:pPr>
          </w:p>
        </w:tc>
        <w:tc>
          <w:tcPr>
            <w:tcW w:w="6971" w:type="dxa"/>
          </w:tcPr>
          <w:p w14:paraId="6ADF35C5" w14:textId="77777777" w:rsidR="00EE208E" w:rsidRDefault="00EE208E" w:rsidP="001718ED">
            <w:pPr>
              <w:rPr>
                <w:rFonts w:eastAsiaTheme="minorEastAsia"/>
              </w:rPr>
            </w:pPr>
            <w:r>
              <w:rPr>
                <w:rFonts w:eastAsiaTheme="minorEastAsia"/>
              </w:rPr>
              <w:t>Agree with above comments – RAN2 can discuss this.</w:t>
            </w:r>
          </w:p>
        </w:tc>
      </w:tr>
    </w:tbl>
    <w:p w14:paraId="3BCA68DD" w14:textId="77777777" w:rsidR="00DE129A" w:rsidRDefault="00DE129A"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lastRenderedPageBreak/>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042190DF"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AFAC06C" w14:textId="2B61B9E0"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1E0B342F" w14:textId="2270B3FC" w:rsidR="003E60DF" w:rsidRPr="003E60DF" w:rsidRDefault="003E60DF" w:rsidP="003E60DF">
            <w:pPr>
              <w:rPr>
                <w:rFonts w:eastAsiaTheme="minorEastAsia"/>
              </w:rPr>
            </w:pPr>
            <w:r w:rsidRPr="003E60DF">
              <w:rPr>
                <w:rFonts w:eastAsiaTheme="minorEastAsia"/>
              </w:rPr>
              <w:t>We suggest to use the wording  “RedCap UE type/capabilities” instead of RedCap UE types</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D85ACE">
            <w:pPr>
              <w:rPr>
                <w:rFonts w:eastAsiaTheme="minorEastAsia"/>
              </w:rPr>
            </w:pPr>
            <w:r>
              <w:rPr>
                <w:rFonts w:eastAsiaTheme="minorEastAsia"/>
              </w:rPr>
              <w:t>Ericsson</w:t>
            </w:r>
          </w:p>
        </w:tc>
        <w:tc>
          <w:tcPr>
            <w:tcW w:w="1272" w:type="dxa"/>
          </w:tcPr>
          <w:p w14:paraId="14FBDAA4" w14:textId="77777777" w:rsidR="007A09AD" w:rsidRDefault="007A09AD" w:rsidP="00D85ACE">
            <w:pPr>
              <w:rPr>
                <w:rFonts w:eastAsiaTheme="minorEastAsia"/>
              </w:rPr>
            </w:pPr>
          </w:p>
        </w:tc>
        <w:tc>
          <w:tcPr>
            <w:tcW w:w="6971" w:type="dxa"/>
          </w:tcPr>
          <w:p w14:paraId="1CFF8E43" w14:textId="77777777" w:rsidR="007A09AD" w:rsidRDefault="007A09AD" w:rsidP="00D85ACE">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D85ACE">
            <w:pPr>
              <w:rPr>
                <w:rFonts w:eastAsiaTheme="minorEastAsia"/>
              </w:rPr>
            </w:pPr>
            <w:r>
              <w:rPr>
                <w:rFonts w:eastAsiaTheme="minorEastAsia"/>
              </w:rPr>
              <w:lastRenderedPageBreak/>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D85ACE">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lastRenderedPageBreak/>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1718ED">
            <w:pPr>
              <w:rPr>
                <w:rFonts w:eastAsiaTheme="minorEastAsia"/>
              </w:rPr>
            </w:pPr>
            <w:r>
              <w:rPr>
                <w:rFonts w:eastAsiaTheme="minorEastAsia"/>
              </w:rPr>
              <w:t>Samsung</w:t>
            </w:r>
          </w:p>
        </w:tc>
        <w:tc>
          <w:tcPr>
            <w:tcW w:w="1272" w:type="dxa"/>
          </w:tcPr>
          <w:p w14:paraId="07BA0AED" w14:textId="77777777" w:rsidR="00EE208E" w:rsidRDefault="00EE208E" w:rsidP="001718ED">
            <w:pPr>
              <w:rPr>
                <w:rFonts w:eastAsiaTheme="minorEastAsia"/>
              </w:rPr>
            </w:pPr>
            <w:r>
              <w:rPr>
                <w:rFonts w:eastAsiaTheme="minorEastAsia"/>
              </w:rPr>
              <w:t>Y</w:t>
            </w:r>
          </w:p>
        </w:tc>
        <w:tc>
          <w:tcPr>
            <w:tcW w:w="6971" w:type="dxa"/>
          </w:tcPr>
          <w:p w14:paraId="0741E0EC" w14:textId="77777777" w:rsidR="00EE208E" w:rsidRDefault="00EE208E" w:rsidP="001718ED">
            <w:pPr>
              <w:rPr>
                <w:rFonts w:eastAsiaTheme="minorEastAsia"/>
              </w:rPr>
            </w:pPr>
          </w:p>
        </w:tc>
      </w:tr>
    </w:tbl>
    <w:p w14:paraId="16A97993" w14:textId="77777777" w:rsidR="000A3E71" w:rsidRPr="001A1FD8" w:rsidRDefault="000A3E71" w:rsidP="001A1FD8"/>
    <w:p w14:paraId="69603444" w14:textId="425C41FE" w:rsidR="00756774" w:rsidRDefault="00756774" w:rsidP="00756774">
      <w:pPr>
        <w:pStyle w:val="Heading3"/>
      </w:pPr>
      <w:bookmarkStart w:id="7" w:name="_Ref55253871"/>
      <w:r>
        <w:t>During MsgA transmission</w:t>
      </w:r>
      <w:r w:rsidR="00B974BD">
        <w:t xml:space="preserve"> (Opt. 4)</w:t>
      </w:r>
      <w:bookmarkEnd w:id="7"/>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9C690D">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9C690D">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1718ED">
            <w:pPr>
              <w:rPr>
                <w:rFonts w:eastAsiaTheme="minorEastAsia"/>
              </w:rPr>
            </w:pPr>
            <w:r>
              <w:rPr>
                <w:rFonts w:eastAsiaTheme="minorEastAsia"/>
              </w:rPr>
              <w:t>Samsung</w:t>
            </w:r>
          </w:p>
        </w:tc>
        <w:tc>
          <w:tcPr>
            <w:tcW w:w="6971" w:type="dxa"/>
          </w:tcPr>
          <w:p w14:paraId="08CEE9CC" w14:textId="77777777" w:rsidR="00EE208E" w:rsidRDefault="00EE208E" w:rsidP="001718ED">
            <w:pPr>
              <w:rPr>
                <w:rFonts w:eastAsiaTheme="minorEastAsia"/>
              </w:rPr>
            </w:pPr>
            <w:r>
              <w:rPr>
                <w:rFonts w:eastAsiaTheme="minorEastAsia"/>
              </w:rPr>
              <w:t>OK to postpone after option 1 is concluded.</w:t>
            </w:r>
          </w:p>
        </w:tc>
      </w:tr>
    </w:tbl>
    <w:p w14:paraId="2C394918" w14:textId="77777777" w:rsidR="00840F5C" w:rsidRPr="001A1FD8" w:rsidRDefault="00840F5C" w:rsidP="00756774">
      <w:bookmarkStart w:id="8" w:name="_GoBack"/>
      <w:bookmarkEnd w:id="8"/>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9" w:name="_Ref54576496"/>
    <w:bookmarkStart w:id="10"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9"/>
    </w:p>
    <w:p w14:paraId="0DC2639B" w14:textId="70EA838A" w:rsidR="005A2C28" w:rsidRDefault="00902E96"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1"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1"/>
    </w:p>
    <w:bookmarkStart w:id="12"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2"/>
    </w:p>
    <w:bookmarkStart w:id="13"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3"/>
    </w:p>
    <w:p w14:paraId="06374106" w14:textId="7F2A49A3" w:rsidR="005A2C28" w:rsidRDefault="00902E96"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902E96"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4"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4"/>
    </w:p>
    <w:bookmarkStart w:id="15"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5"/>
    </w:p>
    <w:p w14:paraId="22B03FED" w14:textId="64CCF00B" w:rsidR="005A2C28" w:rsidRDefault="00902E96"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902E96"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6"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6"/>
    </w:p>
    <w:p w14:paraId="571620F8" w14:textId="140B2787" w:rsidR="005A2C28" w:rsidRDefault="00902E96"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902E96"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902E96"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7"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7"/>
    </w:p>
    <w:p w14:paraId="23A8AE42" w14:textId="3DF662EB" w:rsidR="005A2C28" w:rsidRDefault="00902E96"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8"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8"/>
    </w:p>
    <w:p w14:paraId="2A0AA5A1" w14:textId="3DFDCCB2" w:rsidR="005A2C28" w:rsidRDefault="00902E96"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902E96"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902E96"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902E96"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0"/>
      <w:r w:rsidR="00757188">
        <w:t xml:space="preserve"> </w:t>
      </w:r>
    </w:p>
    <w:p w14:paraId="3B66EB6C" w14:textId="189946E8" w:rsidR="00020F81" w:rsidRDefault="00902E96"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902E96"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902E96"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902E96"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902E96"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9"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9"/>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0" w:name="_Ref48645182"/>
      <w:r>
        <w:rPr>
          <w:rFonts w:ascii="Arial" w:hAnsi="Arial"/>
          <w:b w:val="0"/>
          <w:bCs w:val="0"/>
          <w:sz w:val="36"/>
          <w:szCs w:val="20"/>
        </w:rPr>
        <w:t>Appendix A</w:t>
      </w:r>
      <w:bookmarkEnd w:id="20"/>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902E96"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902E96"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902E96"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902E96"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w:t>
            </w:r>
            <w:r w:rsidRPr="00804F5B">
              <w:rPr>
                <w:rFonts w:hint="eastAsia"/>
                <w:bCs/>
              </w:rPr>
              <w:lastRenderedPageBreak/>
              <w:t xml:space="preserve">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902E96"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902E96"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902E96"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lastRenderedPageBreak/>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902E96"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lastRenderedPageBreak/>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902E96"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902E96"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902E96"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902E96"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902E96"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902E96"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gNB </w:t>
            </w:r>
            <w:r w:rsidRPr="00BC40B6">
              <w:lastRenderedPageBreak/>
              <w:t>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902E96"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902E96"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902E96"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lastRenderedPageBreak/>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902E96"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902E96"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902E96"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594"/>
      <w:r>
        <w:rPr>
          <w:rFonts w:ascii="Arial" w:hAnsi="Arial"/>
          <w:b w:val="0"/>
          <w:bCs w:val="0"/>
          <w:sz w:val="36"/>
          <w:szCs w:val="20"/>
        </w:rPr>
        <w:t>Appendix B</w:t>
      </w:r>
      <w:bookmarkEnd w:id="21"/>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 xml:space="preserve">Observation 2: 13.4% power saving gain in IDLE mode can be observed if serving cell RRM relaxation is </w:t>
            </w:r>
            <w:r w:rsidRPr="00F96481">
              <w:rPr>
                <w:bCs/>
              </w:rPr>
              <w:lastRenderedPageBreak/>
              <w:t>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2" w:name="OLE_LINK2"/>
            <w:bookmarkStart w:id="23"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2"/>
            <w:bookmarkEnd w:id="23"/>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9EA4" w14:textId="77777777" w:rsidR="00902E96" w:rsidRDefault="00902E96" w:rsidP="004C0876">
      <w:pPr>
        <w:spacing w:after="0"/>
      </w:pPr>
      <w:r>
        <w:separator/>
      </w:r>
    </w:p>
  </w:endnote>
  <w:endnote w:type="continuationSeparator" w:id="0">
    <w:p w14:paraId="5F324243" w14:textId="77777777" w:rsidR="00902E96" w:rsidRDefault="00902E9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C5EFEBC" w:rsidR="00086867" w:rsidRDefault="000868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208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08E">
              <w:rPr>
                <w:b/>
                <w:bCs/>
                <w:noProof/>
              </w:rPr>
              <w:t>38</w:t>
            </w:r>
            <w:r>
              <w:rPr>
                <w:b/>
                <w:bCs/>
                <w:sz w:val="24"/>
                <w:szCs w:val="24"/>
              </w:rPr>
              <w:fldChar w:fldCharType="end"/>
            </w:r>
          </w:p>
        </w:sdtContent>
      </w:sdt>
    </w:sdtContent>
  </w:sdt>
  <w:p w14:paraId="7586F307" w14:textId="77777777" w:rsidR="00086867" w:rsidRDefault="0008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FC75" w14:textId="77777777" w:rsidR="00902E96" w:rsidRDefault="00902E96" w:rsidP="004C0876">
      <w:pPr>
        <w:spacing w:after="0"/>
      </w:pPr>
      <w:r>
        <w:separator/>
      </w:r>
    </w:p>
  </w:footnote>
  <w:footnote w:type="continuationSeparator" w:id="0">
    <w:p w14:paraId="799AFD71" w14:textId="77777777" w:rsidR="00902E96" w:rsidRDefault="00902E96"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592"/>
    <w:rsid w:val="00026966"/>
    <w:rsid w:val="000272BA"/>
    <w:rsid w:val="00031D16"/>
    <w:rsid w:val="00031EE5"/>
    <w:rsid w:val="000321CA"/>
    <w:rsid w:val="000336F4"/>
    <w:rsid w:val="000337CA"/>
    <w:rsid w:val="000355C2"/>
    <w:rsid w:val="00035D4E"/>
    <w:rsid w:val="000368EC"/>
    <w:rsid w:val="00036925"/>
    <w:rsid w:val="0004518F"/>
    <w:rsid w:val="00045728"/>
    <w:rsid w:val="00046C7B"/>
    <w:rsid w:val="0005089C"/>
    <w:rsid w:val="00051C70"/>
    <w:rsid w:val="000523DC"/>
    <w:rsid w:val="00053150"/>
    <w:rsid w:val="00053B93"/>
    <w:rsid w:val="00056843"/>
    <w:rsid w:val="00057A3B"/>
    <w:rsid w:val="00057D50"/>
    <w:rsid w:val="00060126"/>
    <w:rsid w:val="00060BC7"/>
    <w:rsid w:val="00066263"/>
    <w:rsid w:val="00066338"/>
    <w:rsid w:val="00067254"/>
    <w:rsid w:val="00070CD1"/>
    <w:rsid w:val="00070FAF"/>
    <w:rsid w:val="0007115C"/>
    <w:rsid w:val="00071537"/>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3E71"/>
    <w:rsid w:val="000A5839"/>
    <w:rsid w:val="000A5B4F"/>
    <w:rsid w:val="000A6E4D"/>
    <w:rsid w:val="000A7E44"/>
    <w:rsid w:val="000A7F0C"/>
    <w:rsid w:val="000B01A0"/>
    <w:rsid w:val="000B08FF"/>
    <w:rsid w:val="000B2B9C"/>
    <w:rsid w:val="000B463D"/>
    <w:rsid w:val="000B6F3D"/>
    <w:rsid w:val="000B71D1"/>
    <w:rsid w:val="000C07CD"/>
    <w:rsid w:val="000C0A12"/>
    <w:rsid w:val="000C0ADD"/>
    <w:rsid w:val="000C120E"/>
    <w:rsid w:val="000C17DD"/>
    <w:rsid w:val="000C2085"/>
    <w:rsid w:val="000C3D55"/>
    <w:rsid w:val="000C45B5"/>
    <w:rsid w:val="000C5541"/>
    <w:rsid w:val="000C584F"/>
    <w:rsid w:val="000C63B1"/>
    <w:rsid w:val="000C71C2"/>
    <w:rsid w:val="000D08DA"/>
    <w:rsid w:val="000D0C2C"/>
    <w:rsid w:val="000D261B"/>
    <w:rsid w:val="000D3E51"/>
    <w:rsid w:val="000D504F"/>
    <w:rsid w:val="000D6144"/>
    <w:rsid w:val="000D69E4"/>
    <w:rsid w:val="000D7C24"/>
    <w:rsid w:val="000E007E"/>
    <w:rsid w:val="000E3AFE"/>
    <w:rsid w:val="000E3E22"/>
    <w:rsid w:val="000E453D"/>
    <w:rsid w:val="000E4CF3"/>
    <w:rsid w:val="000E4FA8"/>
    <w:rsid w:val="000E539A"/>
    <w:rsid w:val="000E5F47"/>
    <w:rsid w:val="000E651E"/>
    <w:rsid w:val="000E6F93"/>
    <w:rsid w:val="000E7322"/>
    <w:rsid w:val="000E78BA"/>
    <w:rsid w:val="000F0200"/>
    <w:rsid w:val="000F07A4"/>
    <w:rsid w:val="000F083F"/>
    <w:rsid w:val="000F0CB9"/>
    <w:rsid w:val="000F5C68"/>
    <w:rsid w:val="000F5D40"/>
    <w:rsid w:val="000F6703"/>
    <w:rsid w:val="000F6E5D"/>
    <w:rsid w:val="000F7D6D"/>
    <w:rsid w:val="000F7FFE"/>
    <w:rsid w:val="0010108F"/>
    <w:rsid w:val="00101523"/>
    <w:rsid w:val="0010210F"/>
    <w:rsid w:val="001022CF"/>
    <w:rsid w:val="00102613"/>
    <w:rsid w:val="001033FE"/>
    <w:rsid w:val="00104598"/>
    <w:rsid w:val="001046FB"/>
    <w:rsid w:val="00104E63"/>
    <w:rsid w:val="00105D40"/>
    <w:rsid w:val="00105E22"/>
    <w:rsid w:val="00106A90"/>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26CAE"/>
    <w:rsid w:val="00131566"/>
    <w:rsid w:val="001316EB"/>
    <w:rsid w:val="001326FA"/>
    <w:rsid w:val="00132CEA"/>
    <w:rsid w:val="0013301C"/>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49FF"/>
    <w:rsid w:val="00174D88"/>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41D"/>
    <w:rsid w:val="00200F8F"/>
    <w:rsid w:val="00201000"/>
    <w:rsid w:val="002018B8"/>
    <w:rsid w:val="00201D76"/>
    <w:rsid w:val="00202B61"/>
    <w:rsid w:val="00203100"/>
    <w:rsid w:val="00203443"/>
    <w:rsid w:val="002053F8"/>
    <w:rsid w:val="00205E91"/>
    <w:rsid w:val="002062E7"/>
    <w:rsid w:val="00206A2F"/>
    <w:rsid w:val="00206DCD"/>
    <w:rsid w:val="0020747E"/>
    <w:rsid w:val="00207532"/>
    <w:rsid w:val="00207BF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5EA"/>
    <w:rsid w:val="00256D45"/>
    <w:rsid w:val="0025700A"/>
    <w:rsid w:val="002570CB"/>
    <w:rsid w:val="002579A4"/>
    <w:rsid w:val="002605A8"/>
    <w:rsid w:val="002606DB"/>
    <w:rsid w:val="0026234E"/>
    <w:rsid w:val="00264094"/>
    <w:rsid w:val="0026628E"/>
    <w:rsid w:val="00267A7D"/>
    <w:rsid w:val="00270174"/>
    <w:rsid w:val="002703CA"/>
    <w:rsid w:val="00273359"/>
    <w:rsid w:val="0027336B"/>
    <w:rsid w:val="00273F56"/>
    <w:rsid w:val="00274972"/>
    <w:rsid w:val="0027523D"/>
    <w:rsid w:val="00276424"/>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7D0"/>
    <w:rsid w:val="002D0179"/>
    <w:rsid w:val="002D0444"/>
    <w:rsid w:val="002D103F"/>
    <w:rsid w:val="002D1F61"/>
    <w:rsid w:val="002D32DC"/>
    <w:rsid w:val="002D39F9"/>
    <w:rsid w:val="002D3CE5"/>
    <w:rsid w:val="002D5053"/>
    <w:rsid w:val="002D6854"/>
    <w:rsid w:val="002D7698"/>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444F"/>
    <w:rsid w:val="00324F04"/>
    <w:rsid w:val="00325424"/>
    <w:rsid w:val="00325D35"/>
    <w:rsid w:val="00326529"/>
    <w:rsid w:val="0032758F"/>
    <w:rsid w:val="00327E8D"/>
    <w:rsid w:val="0033248D"/>
    <w:rsid w:val="00332800"/>
    <w:rsid w:val="00332DAB"/>
    <w:rsid w:val="003346EF"/>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AC9"/>
    <w:rsid w:val="00360D81"/>
    <w:rsid w:val="00361449"/>
    <w:rsid w:val="003617AC"/>
    <w:rsid w:val="003625D8"/>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888"/>
    <w:rsid w:val="003C3F44"/>
    <w:rsid w:val="003C64C0"/>
    <w:rsid w:val="003C7404"/>
    <w:rsid w:val="003D090F"/>
    <w:rsid w:val="003D1F41"/>
    <w:rsid w:val="003D23E1"/>
    <w:rsid w:val="003D2439"/>
    <w:rsid w:val="003D5061"/>
    <w:rsid w:val="003D6508"/>
    <w:rsid w:val="003D6804"/>
    <w:rsid w:val="003D70B8"/>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6055"/>
    <w:rsid w:val="003F68D1"/>
    <w:rsid w:val="003F74EC"/>
    <w:rsid w:val="004000FD"/>
    <w:rsid w:val="00400445"/>
    <w:rsid w:val="00400F3F"/>
    <w:rsid w:val="00400F4B"/>
    <w:rsid w:val="00400F6B"/>
    <w:rsid w:val="004017BD"/>
    <w:rsid w:val="004033AC"/>
    <w:rsid w:val="00403808"/>
    <w:rsid w:val="00403F4B"/>
    <w:rsid w:val="00405B58"/>
    <w:rsid w:val="00406AC9"/>
    <w:rsid w:val="00411A32"/>
    <w:rsid w:val="00411D2F"/>
    <w:rsid w:val="00416430"/>
    <w:rsid w:val="00416D1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EFA"/>
    <w:rsid w:val="0044578D"/>
    <w:rsid w:val="00446A9A"/>
    <w:rsid w:val="004515E8"/>
    <w:rsid w:val="004525BB"/>
    <w:rsid w:val="004539CF"/>
    <w:rsid w:val="00453AE2"/>
    <w:rsid w:val="00453B10"/>
    <w:rsid w:val="004540FD"/>
    <w:rsid w:val="00455A38"/>
    <w:rsid w:val="00456445"/>
    <w:rsid w:val="004573D0"/>
    <w:rsid w:val="00457B09"/>
    <w:rsid w:val="00460A3D"/>
    <w:rsid w:val="00464B14"/>
    <w:rsid w:val="00464ECC"/>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B6D34"/>
    <w:rsid w:val="004B744C"/>
    <w:rsid w:val="004B7CF7"/>
    <w:rsid w:val="004C0876"/>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2EE"/>
    <w:rsid w:val="00510B9A"/>
    <w:rsid w:val="00511022"/>
    <w:rsid w:val="0051124C"/>
    <w:rsid w:val="00511B87"/>
    <w:rsid w:val="0051376D"/>
    <w:rsid w:val="00513CB6"/>
    <w:rsid w:val="0051481E"/>
    <w:rsid w:val="00515F30"/>
    <w:rsid w:val="00520EE0"/>
    <w:rsid w:val="005225B5"/>
    <w:rsid w:val="00522931"/>
    <w:rsid w:val="00523BF7"/>
    <w:rsid w:val="00523CC6"/>
    <w:rsid w:val="00526069"/>
    <w:rsid w:val="005261BC"/>
    <w:rsid w:val="00526711"/>
    <w:rsid w:val="00526C1A"/>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6A9"/>
    <w:rsid w:val="00567A07"/>
    <w:rsid w:val="005701AE"/>
    <w:rsid w:val="00570C00"/>
    <w:rsid w:val="00571085"/>
    <w:rsid w:val="005713D9"/>
    <w:rsid w:val="005717BB"/>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C0AAD"/>
    <w:rsid w:val="005C0AEE"/>
    <w:rsid w:val="005C2450"/>
    <w:rsid w:val="005C3365"/>
    <w:rsid w:val="005C47CE"/>
    <w:rsid w:val="005C65F3"/>
    <w:rsid w:val="005D0D8B"/>
    <w:rsid w:val="005D1F7C"/>
    <w:rsid w:val="005D4E5B"/>
    <w:rsid w:val="005D595D"/>
    <w:rsid w:val="005D6105"/>
    <w:rsid w:val="005D7A6F"/>
    <w:rsid w:val="005E00E8"/>
    <w:rsid w:val="005E01F7"/>
    <w:rsid w:val="005E02C3"/>
    <w:rsid w:val="005E04C0"/>
    <w:rsid w:val="005E11B7"/>
    <w:rsid w:val="005E12F7"/>
    <w:rsid w:val="005E150E"/>
    <w:rsid w:val="005E3AB8"/>
    <w:rsid w:val="005E3AFB"/>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76A2"/>
    <w:rsid w:val="00617BFF"/>
    <w:rsid w:val="0062048D"/>
    <w:rsid w:val="006208F9"/>
    <w:rsid w:val="0062142C"/>
    <w:rsid w:val="006235D4"/>
    <w:rsid w:val="00623805"/>
    <w:rsid w:val="006240A1"/>
    <w:rsid w:val="00624F23"/>
    <w:rsid w:val="00625D87"/>
    <w:rsid w:val="00630509"/>
    <w:rsid w:val="00631FEC"/>
    <w:rsid w:val="00632337"/>
    <w:rsid w:val="00632787"/>
    <w:rsid w:val="00633093"/>
    <w:rsid w:val="006333BB"/>
    <w:rsid w:val="00634018"/>
    <w:rsid w:val="00635D7E"/>
    <w:rsid w:val="00640534"/>
    <w:rsid w:val="00643905"/>
    <w:rsid w:val="00643CBE"/>
    <w:rsid w:val="00646D7C"/>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CA9"/>
    <w:rsid w:val="00685D47"/>
    <w:rsid w:val="00690BFF"/>
    <w:rsid w:val="006911BA"/>
    <w:rsid w:val="00691249"/>
    <w:rsid w:val="00691C30"/>
    <w:rsid w:val="006921F0"/>
    <w:rsid w:val="00692515"/>
    <w:rsid w:val="006935EB"/>
    <w:rsid w:val="00694E39"/>
    <w:rsid w:val="00695640"/>
    <w:rsid w:val="0069579C"/>
    <w:rsid w:val="00695B32"/>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5F98"/>
    <w:rsid w:val="006D6042"/>
    <w:rsid w:val="006D704D"/>
    <w:rsid w:val="006E07EE"/>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54B"/>
    <w:rsid w:val="00700C77"/>
    <w:rsid w:val="00701F73"/>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5A9F"/>
    <w:rsid w:val="0071780F"/>
    <w:rsid w:val="00720543"/>
    <w:rsid w:val="00722120"/>
    <w:rsid w:val="00723E11"/>
    <w:rsid w:val="0072434E"/>
    <w:rsid w:val="007248E3"/>
    <w:rsid w:val="00725060"/>
    <w:rsid w:val="00725DFE"/>
    <w:rsid w:val="007262AD"/>
    <w:rsid w:val="00726931"/>
    <w:rsid w:val="0073057D"/>
    <w:rsid w:val="0073169C"/>
    <w:rsid w:val="00731EBF"/>
    <w:rsid w:val="007349D4"/>
    <w:rsid w:val="00736201"/>
    <w:rsid w:val="0073621F"/>
    <w:rsid w:val="0073747C"/>
    <w:rsid w:val="00737B33"/>
    <w:rsid w:val="00737DC3"/>
    <w:rsid w:val="00740589"/>
    <w:rsid w:val="00740972"/>
    <w:rsid w:val="0074109D"/>
    <w:rsid w:val="0074121F"/>
    <w:rsid w:val="007438DC"/>
    <w:rsid w:val="0074487E"/>
    <w:rsid w:val="00746CBC"/>
    <w:rsid w:val="0075181C"/>
    <w:rsid w:val="00752539"/>
    <w:rsid w:val="007531D5"/>
    <w:rsid w:val="007552DE"/>
    <w:rsid w:val="00756774"/>
    <w:rsid w:val="00756B6B"/>
    <w:rsid w:val="0075717E"/>
    <w:rsid w:val="00757188"/>
    <w:rsid w:val="007571AC"/>
    <w:rsid w:val="00760FDA"/>
    <w:rsid w:val="007616F9"/>
    <w:rsid w:val="00761FCB"/>
    <w:rsid w:val="0076289E"/>
    <w:rsid w:val="0076374D"/>
    <w:rsid w:val="007639FD"/>
    <w:rsid w:val="00763FE7"/>
    <w:rsid w:val="0076552F"/>
    <w:rsid w:val="00765AC4"/>
    <w:rsid w:val="0076683F"/>
    <w:rsid w:val="00766952"/>
    <w:rsid w:val="00766957"/>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D84"/>
    <w:rsid w:val="00805EB8"/>
    <w:rsid w:val="00806954"/>
    <w:rsid w:val="00806C7A"/>
    <w:rsid w:val="00807FA6"/>
    <w:rsid w:val="0081019C"/>
    <w:rsid w:val="00810670"/>
    <w:rsid w:val="008109DF"/>
    <w:rsid w:val="00811276"/>
    <w:rsid w:val="00811ED4"/>
    <w:rsid w:val="008141CF"/>
    <w:rsid w:val="008142BD"/>
    <w:rsid w:val="0081591C"/>
    <w:rsid w:val="00820310"/>
    <w:rsid w:val="00820B5B"/>
    <w:rsid w:val="00822040"/>
    <w:rsid w:val="0082344B"/>
    <w:rsid w:val="0082385E"/>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B47"/>
    <w:rsid w:val="008B4C80"/>
    <w:rsid w:val="008B5759"/>
    <w:rsid w:val="008B58AE"/>
    <w:rsid w:val="008B5AC8"/>
    <w:rsid w:val="008B5C7E"/>
    <w:rsid w:val="008B5F2F"/>
    <w:rsid w:val="008B6BA6"/>
    <w:rsid w:val="008B6D8A"/>
    <w:rsid w:val="008B71C9"/>
    <w:rsid w:val="008B7F92"/>
    <w:rsid w:val="008C04F7"/>
    <w:rsid w:val="008C101A"/>
    <w:rsid w:val="008C12A8"/>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456"/>
    <w:rsid w:val="008F2A6C"/>
    <w:rsid w:val="008F3EE3"/>
    <w:rsid w:val="008F6324"/>
    <w:rsid w:val="008F6FD6"/>
    <w:rsid w:val="008F7C2D"/>
    <w:rsid w:val="00900207"/>
    <w:rsid w:val="00901114"/>
    <w:rsid w:val="00902E96"/>
    <w:rsid w:val="009034A8"/>
    <w:rsid w:val="009034CB"/>
    <w:rsid w:val="009042B3"/>
    <w:rsid w:val="00904CC1"/>
    <w:rsid w:val="00904F4A"/>
    <w:rsid w:val="00906BFB"/>
    <w:rsid w:val="00906EB9"/>
    <w:rsid w:val="0091021E"/>
    <w:rsid w:val="00910617"/>
    <w:rsid w:val="00910C9C"/>
    <w:rsid w:val="00911F7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4B1"/>
    <w:rsid w:val="00932D40"/>
    <w:rsid w:val="00932FAE"/>
    <w:rsid w:val="0093348D"/>
    <w:rsid w:val="009356FC"/>
    <w:rsid w:val="0093599F"/>
    <w:rsid w:val="009364DF"/>
    <w:rsid w:val="00936C0C"/>
    <w:rsid w:val="00941AA8"/>
    <w:rsid w:val="009423DD"/>
    <w:rsid w:val="00942737"/>
    <w:rsid w:val="0094288A"/>
    <w:rsid w:val="00942C61"/>
    <w:rsid w:val="00942C6A"/>
    <w:rsid w:val="009435B0"/>
    <w:rsid w:val="009440A5"/>
    <w:rsid w:val="0095087A"/>
    <w:rsid w:val="009509CC"/>
    <w:rsid w:val="0095116D"/>
    <w:rsid w:val="00951785"/>
    <w:rsid w:val="00951A41"/>
    <w:rsid w:val="0095353F"/>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82419"/>
    <w:rsid w:val="00984025"/>
    <w:rsid w:val="00984B70"/>
    <w:rsid w:val="00984D9F"/>
    <w:rsid w:val="00985631"/>
    <w:rsid w:val="00985897"/>
    <w:rsid w:val="009869A7"/>
    <w:rsid w:val="00986CCA"/>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8CA"/>
    <w:rsid w:val="00A176A6"/>
    <w:rsid w:val="00A17E11"/>
    <w:rsid w:val="00A206B2"/>
    <w:rsid w:val="00A20996"/>
    <w:rsid w:val="00A20A35"/>
    <w:rsid w:val="00A22597"/>
    <w:rsid w:val="00A226C0"/>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74F8"/>
    <w:rsid w:val="00A37FF5"/>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40CA"/>
    <w:rsid w:val="00A646E0"/>
    <w:rsid w:val="00A664B9"/>
    <w:rsid w:val="00A66BED"/>
    <w:rsid w:val="00A7142E"/>
    <w:rsid w:val="00A71531"/>
    <w:rsid w:val="00A71B72"/>
    <w:rsid w:val="00A726C8"/>
    <w:rsid w:val="00A72C28"/>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1836"/>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3918"/>
    <w:rsid w:val="00AD3F9B"/>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20150"/>
    <w:rsid w:val="00B21B02"/>
    <w:rsid w:val="00B2245B"/>
    <w:rsid w:val="00B23568"/>
    <w:rsid w:val="00B23F9D"/>
    <w:rsid w:val="00B243F6"/>
    <w:rsid w:val="00B24824"/>
    <w:rsid w:val="00B25E06"/>
    <w:rsid w:val="00B26984"/>
    <w:rsid w:val="00B26BED"/>
    <w:rsid w:val="00B276B7"/>
    <w:rsid w:val="00B278FE"/>
    <w:rsid w:val="00B27C70"/>
    <w:rsid w:val="00B30650"/>
    <w:rsid w:val="00B30BC2"/>
    <w:rsid w:val="00B31CF6"/>
    <w:rsid w:val="00B32D9B"/>
    <w:rsid w:val="00B3341E"/>
    <w:rsid w:val="00B34F11"/>
    <w:rsid w:val="00B368C1"/>
    <w:rsid w:val="00B369D8"/>
    <w:rsid w:val="00B378B1"/>
    <w:rsid w:val="00B40889"/>
    <w:rsid w:val="00B41028"/>
    <w:rsid w:val="00B41789"/>
    <w:rsid w:val="00B417B5"/>
    <w:rsid w:val="00B418B9"/>
    <w:rsid w:val="00B427E0"/>
    <w:rsid w:val="00B42A61"/>
    <w:rsid w:val="00B438FD"/>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4AB8"/>
    <w:rsid w:val="00B74D15"/>
    <w:rsid w:val="00B75094"/>
    <w:rsid w:val="00B754A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23A1"/>
    <w:rsid w:val="00BC40BC"/>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27C4"/>
    <w:rsid w:val="00BF33E1"/>
    <w:rsid w:val="00BF371E"/>
    <w:rsid w:val="00BF5ED9"/>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4288"/>
    <w:rsid w:val="00C24B13"/>
    <w:rsid w:val="00C2585E"/>
    <w:rsid w:val="00C261D0"/>
    <w:rsid w:val="00C2747C"/>
    <w:rsid w:val="00C27721"/>
    <w:rsid w:val="00C2781A"/>
    <w:rsid w:val="00C31DC1"/>
    <w:rsid w:val="00C32C8F"/>
    <w:rsid w:val="00C32D87"/>
    <w:rsid w:val="00C32E5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7CD6"/>
    <w:rsid w:val="00C67E04"/>
    <w:rsid w:val="00C70BFC"/>
    <w:rsid w:val="00C7258E"/>
    <w:rsid w:val="00C72F32"/>
    <w:rsid w:val="00C7507E"/>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2430"/>
    <w:rsid w:val="00D22510"/>
    <w:rsid w:val="00D23EDB"/>
    <w:rsid w:val="00D3037A"/>
    <w:rsid w:val="00D30A1F"/>
    <w:rsid w:val="00D31E0A"/>
    <w:rsid w:val="00D32DB4"/>
    <w:rsid w:val="00D35816"/>
    <w:rsid w:val="00D35ABA"/>
    <w:rsid w:val="00D377AD"/>
    <w:rsid w:val="00D37C37"/>
    <w:rsid w:val="00D41C78"/>
    <w:rsid w:val="00D42E04"/>
    <w:rsid w:val="00D449BA"/>
    <w:rsid w:val="00D45FF9"/>
    <w:rsid w:val="00D47524"/>
    <w:rsid w:val="00D47AE7"/>
    <w:rsid w:val="00D55B71"/>
    <w:rsid w:val="00D56072"/>
    <w:rsid w:val="00D56D45"/>
    <w:rsid w:val="00D56E20"/>
    <w:rsid w:val="00D56EAB"/>
    <w:rsid w:val="00D57587"/>
    <w:rsid w:val="00D60A84"/>
    <w:rsid w:val="00D613A0"/>
    <w:rsid w:val="00D62A7A"/>
    <w:rsid w:val="00D62D99"/>
    <w:rsid w:val="00D635B2"/>
    <w:rsid w:val="00D63EE2"/>
    <w:rsid w:val="00D64E14"/>
    <w:rsid w:val="00D6507A"/>
    <w:rsid w:val="00D666C7"/>
    <w:rsid w:val="00D66D7C"/>
    <w:rsid w:val="00D672E2"/>
    <w:rsid w:val="00D67708"/>
    <w:rsid w:val="00D67E85"/>
    <w:rsid w:val="00D70112"/>
    <w:rsid w:val="00D70948"/>
    <w:rsid w:val="00D71100"/>
    <w:rsid w:val="00D72320"/>
    <w:rsid w:val="00D72C51"/>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BD5"/>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F4"/>
    <w:rsid w:val="00E144D3"/>
    <w:rsid w:val="00E14C68"/>
    <w:rsid w:val="00E14DCF"/>
    <w:rsid w:val="00E1745F"/>
    <w:rsid w:val="00E23622"/>
    <w:rsid w:val="00E247BD"/>
    <w:rsid w:val="00E250C9"/>
    <w:rsid w:val="00E25B52"/>
    <w:rsid w:val="00E262BD"/>
    <w:rsid w:val="00E2685F"/>
    <w:rsid w:val="00E306CD"/>
    <w:rsid w:val="00E30822"/>
    <w:rsid w:val="00E32778"/>
    <w:rsid w:val="00E343EB"/>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4D64"/>
    <w:rsid w:val="00E95812"/>
    <w:rsid w:val="00E9648C"/>
    <w:rsid w:val="00E96646"/>
    <w:rsid w:val="00E96E1B"/>
    <w:rsid w:val="00E97411"/>
    <w:rsid w:val="00E97D96"/>
    <w:rsid w:val="00EA006F"/>
    <w:rsid w:val="00EA05E3"/>
    <w:rsid w:val="00EA1222"/>
    <w:rsid w:val="00EA17ED"/>
    <w:rsid w:val="00EA1940"/>
    <w:rsid w:val="00EA21CD"/>
    <w:rsid w:val="00EA322A"/>
    <w:rsid w:val="00EA39B5"/>
    <w:rsid w:val="00EA47B4"/>
    <w:rsid w:val="00EA5640"/>
    <w:rsid w:val="00EA5A7F"/>
    <w:rsid w:val="00EA5CE3"/>
    <w:rsid w:val="00EA7A0D"/>
    <w:rsid w:val="00EB0314"/>
    <w:rsid w:val="00EB0501"/>
    <w:rsid w:val="00EB0739"/>
    <w:rsid w:val="00EB0A71"/>
    <w:rsid w:val="00EB235C"/>
    <w:rsid w:val="00EB2548"/>
    <w:rsid w:val="00EB2C7E"/>
    <w:rsid w:val="00EB37E6"/>
    <w:rsid w:val="00EB399F"/>
    <w:rsid w:val="00EB4E0A"/>
    <w:rsid w:val="00EB5B81"/>
    <w:rsid w:val="00EB6A8E"/>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665E"/>
    <w:rsid w:val="00F272A3"/>
    <w:rsid w:val="00F27A97"/>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3731"/>
    <w:rsid w:val="00FC3C1E"/>
    <w:rsid w:val="00FC4A7D"/>
    <w:rsid w:val="00FC4D32"/>
    <w:rsid w:val="00FC618A"/>
    <w:rsid w:val="00FC745D"/>
    <w:rsid w:val="00FD181E"/>
    <w:rsid w:val="00FD3EE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D04"/>
    <w:rsid w:val="00FF56EE"/>
    <w:rsid w:val="00FF59F5"/>
    <w:rsid w:val="00FF6DC9"/>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71"/>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AD6434-83BB-4499-9349-A0BF2D23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16050</Words>
  <Characters>91486</Characters>
  <Application>Microsoft Office Word</Application>
  <DocSecurity>0</DocSecurity>
  <Lines>762</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107322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Carmela Cozzo</cp:lastModifiedBy>
  <cp:revision>3</cp:revision>
  <dcterms:created xsi:type="dcterms:W3CDTF">2020-11-05T03:26:00Z</dcterms:created>
  <dcterms:modified xsi:type="dcterms:W3CDTF">2020-11-05T03:29:00Z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