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bookmarkStart w:id="0" w:name="_GoBack"/>
      <w:bookmarkEnd w:id="0"/>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509DB657"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08D41BB0" w14:textId="2A92F790" w:rsidR="00D1338F" w:rsidRDefault="00D1338F" w:rsidP="003A0267">
      <w:pPr>
        <w:jc w:val="both"/>
        <w:rPr>
          <w:szCs w:val="22"/>
          <w:lang w:val="en-US"/>
        </w:rPr>
      </w:pPr>
      <w:r>
        <w:rPr>
          <w:szCs w:val="22"/>
          <w:lang w:val="en-US"/>
        </w:rPr>
        <w:t xml:space="preserve">Based on the collection of initial responses to e.g. </w:t>
      </w:r>
      <w:r w:rsidRPr="00D1338F">
        <w:rPr>
          <w:szCs w:val="22"/>
          <w:lang w:val="en-US"/>
        </w:rPr>
        <w:t>Question 7.9.2-1</w:t>
      </w:r>
      <w:r w:rsidR="00876DD8">
        <w:rPr>
          <w:szCs w:val="22"/>
          <w:lang w:val="en-US"/>
        </w:rPr>
        <w:t xml:space="preserve"> in FLS2 in </w:t>
      </w:r>
      <w:r w:rsidR="00876DD8" w:rsidRPr="00876DD8">
        <w:rPr>
          <w:szCs w:val="22"/>
          <w:lang w:val="en-US"/>
        </w:rPr>
        <w:t>R1-2009391 (</w:t>
      </w:r>
      <w:hyperlink r:id="rId12" w:history="1">
        <w:r w:rsidR="00876DD8" w:rsidRPr="00876DD8">
          <w:rPr>
            <w:rStyle w:val="Hyperlink"/>
            <w:szCs w:val="22"/>
            <w:lang w:val="en-US"/>
          </w:rPr>
          <w:t>Inbox</w:t>
        </w:r>
      </w:hyperlink>
      <w:r w:rsidR="00876DD8" w:rsidRPr="00876DD8">
        <w:rPr>
          <w:szCs w:val="22"/>
          <w:lang w:val="en-US"/>
        </w:rPr>
        <w:t xml:space="preserve">, </w:t>
      </w:r>
      <w:hyperlink r:id="rId13" w:history="1">
        <w:r w:rsidR="00876DD8" w:rsidRPr="00876DD8">
          <w:rPr>
            <w:rStyle w:val="Hyperlink"/>
            <w:szCs w:val="22"/>
            <w:lang w:val="en-US"/>
          </w:rPr>
          <w:t>Docs</w:t>
        </w:r>
      </w:hyperlink>
      <w:r w:rsidR="00876DD8" w:rsidRPr="00876DD8">
        <w:rPr>
          <w:szCs w:val="22"/>
          <w:lang w:val="en-US"/>
        </w:rPr>
        <w:t>)</w:t>
      </w:r>
      <w:r>
        <w:rPr>
          <w:szCs w:val="22"/>
          <w:lang w:val="en-US"/>
        </w:rPr>
        <w:t>, the following can be considered when deciding on what combinations of complexity reduction techniques that should be evaluated.</w:t>
      </w:r>
    </w:p>
    <w:tbl>
      <w:tblPr>
        <w:tblStyle w:val="TableGrid"/>
        <w:tblW w:w="0" w:type="auto"/>
        <w:tblLook w:val="04A0" w:firstRow="1" w:lastRow="0" w:firstColumn="1" w:lastColumn="0" w:noHBand="0" w:noVBand="1"/>
      </w:tblPr>
      <w:tblGrid>
        <w:gridCol w:w="9630"/>
      </w:tblGrid>
      <w:tr w:rsidR="00D1338F" w14:paraId="0ACEBDB0" w14:textId="77777777" w:rsidTr="00D1338F">
        <w:tc>
          <w:tcPr>
            <w:tcW w:w="9630" w:type="dxa"/>
          </w:tcPr>
          <w:p w14:paraId="384FC6D4" w14:textId="77777777" w:rsidR="00D1338F" w:rsidRPr="0013312D" w:rsidRDefault="00D1338F" w:rsidP="00D1338F">
            <w:pPr>
              <w:jc w:val="both"/>
              <w:rPr>
                <w:lang w:val="en-US"/>
              </w:rPr>
            </w:pPr>
            <w:r w:rsidRPr="0013312D">
              <w:rPr>
                <w:lang w:val="en-US"/>
              </w:rPr>
              <w:t>For FR1 FDD:</w:t>
            </w:r>
          </w:p>
          <w:p w14:paraId="678B8E34"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FDB3CE6"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48BC45DB"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79D0B799"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206F01"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124F4E1C"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07744C5C" w14:textId="77777777" w:rsidR="00D1338F" w:rsidRPr="00F451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13A22424"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4E512DD4"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1B57F310"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1814668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61AD5DD2"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2F51DE6"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&gt;1 Rx</w:t>
            </w:r>
          </w:p>
          <w:p w14:paraId="2088EDE1"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401A84BD"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546322BF"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A38DC4A" w14:textId="77777777" w:rsidR="00D1338F" w:rsidRPr="0013312D" w:rsidRDefault="00D1338F" w:rsidP="00D1338F">
            <w:pPr>
              <w:jc w:val="both"/>
              <w:rPr>
                <w:lang w:val="en-US"/>
              </w:rPr>
            </w:pPr>
            <w:r w:rsidRPr="0013312D">
              <w:rPr>
                <w:lang w:val="en-US"/>
              </w:rPr>
              <w:t>For FR1 TDD:</w:t>
            </w:r>
          </w:p>
          <w:p w14:paraId="7267FA17"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19F2444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E317436"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4A442C75"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346A73A0" w14:textId="77777777" w:rsidR="00D1338F" w:rsidRPr="00160531"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72E282E9"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76C510EA" w14:textId="77777777" w:rsidR="00D1338F" w:rsidRPr="00F451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0126CCFC"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8928948"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38A96FAA"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72DB04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0ECFDC9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574DABE6"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59C86EBE"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94D6735" w14:textId="77777777" w:rsidR="00D1338F" w:rsidRPr="0013312D" w:rsidRDefault="00D1338F" w:rsidP="00D1338F">
            <w:pPr>
              <w:jc w:val="both"/>
              <w:rPr>
                <w:lang w:val="en-US"/>
              </w:rPr>
            </w:pPr>
            <w:r w:rsidRPr="0013312D">
              <w:rPr>
                <w:lang w:val="en-US"/>
              </w:rPr>
              <w:t>For FR2:</w:t>
            </w:r>
          </w:p>
          <w:p w14:paraId="297D4395"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5967130"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378111E9"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D98D874"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BB4DEEB"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4D88BC1"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02762F4D" w14:textId="77777777" w:rsidR="00D1338F" w:rsidRPr="00F451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0B015BB1"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E274A0D" w14:textId="77777777" w:rsidR="00D1338F" w:rsidRDefault="00D1338F" w:rsidP="00D1338F">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5450C0C2"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38FFC08C"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68A8E2E"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4C7D53F3" w14:textId="77777777" w:rsidR="00D1338F" w:rsidRDefault="00D1338F" w:rsidP="00D1338F">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2FB9ED3B" w14:textId="3E8C91BF" w:rsidR="00D1338F" w:rsidRPr="00D1338F" w:rsidRDefault="00D1338F" w:rsidP="003A0267">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bl>
    <w:p w14:paraId="16271CFC" w14:textId="77777777" w:rsidR="00D1338F" w:rsidRDefault="00D1338F" w:rsidP="003A0267">
      <w:pPr>
        <w:jc w:val="both"/>
        <w:rPr>
          <w:szCs w:val="22"/>
          <w:lang w:val="en-US"/>
        </w:rPr>
      </w:pP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lastRenderedPageBreak/>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5" w:name="_Toc42165594"/>
      <w:r>
        <w:t>7</w:t>
      </w:r>
      <w:r>
        <w:tab/>
        <w:t>UE complexity reduction features</w:t>
      </w:r>
      <w:bookmarkEnd w:id="5"/>
    </w:p>
    <w:p w14:paraId="20EF26AD" w14:textId="77777777" w:rsidR="00090EF0" w:rsidRPr="000E647A" w:rsidRDefault="00090EF0" w:rsidP="00090EF0">
      <w:pPr>
        <w:pStyle w:val="Heading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11AB7D9D" w14:textId="77777777" w:rsidR="00090EF0" w:rsidRPr="000E647A" w:rsidRDefault="00090EF0" w:rsidP="00090EF0">
      <w:pPr>
        <w:pStyle w:val="Heading2"/>
      </w:pPr>
      <w:bookmarkStart w:id="9" w:name="_Toc42165596"/>
      <w:bookmarkStart w:id="10" w:name="_Toc51768531"/>
      <w:bookmarkStart w:id="11" w:name="_Toc51771038"/>
      <w:r>
        <w:t>7</w:t>
      </w:r>
      <w:r w:rsidRPr="000E647A">
        <w:t>.2</w:t>
      </w:r>
      <w:r w:rsidRPr="000E647A">
        <w:tab/>
        <w:t>Reduced number of UE Rx/Tx antennas</w:t>
      </w:r>
      <w:bookmarkEnd w:id="9"/>
      <w:bookmarkEnd w:id="10"/>
      <w:bookmarkEnd w:id="11"/>
    </w:p>
    <w:p w14:paraId="7AFE9D70" w14:textId="085B79F9" w:rsidR="00090EF0" w:rsidRPr="000E647A" w:rsidRDefault="00090EF0" w:rsidP="00090EF0">
      <w:pPr>
        <w:pStyle w:val="Heading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lastRenderedPageBreak/>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ListParagraph"/>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DengXian"/>
                <w:lang w:val="en-US" w:eastAsia="zh-CN"/>
              </w:rPr>
            </w:pPr>
            <w:r>
              <w:rPr>
                <w:lang w:val="en-US" w:eastAsia="zh-CN"/>
              </w:rPr>
              <w:lastRenderedPageBreak/>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lastRenderedPageBreak/>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w:t>
            </w:r>
            <w:proofErr w:type="gramStart"/>
            <w:r>
              <w:rPr>
                <w:rFonts w:eastAsia="DengXian"/>
                <w:lang w:val="en-US" w:eastAsia="zh-CN"/>
              </w:rPr>
              <w:t>it is clear that some</w:t>
            </w:r>
            <w:proofErr w:type="gramEnd"/>
            <w:r>
              <w:rPr>
                <w:rFonts w:eastAsia="DengXian"/>
                <w:lang w:val="en-US" w:eastAsia="zh-CN"/>
              </w:rPr>
              <w:t xml:space="preserv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w:t>
            </w:r>
            <w:proofErr w:type="gramStart"/>
            <w:r>
              <w:rPr>
                <w:rFonts w:eastAsia="DengXian"/>
                <w:lang w:val="en-US" w:eastAsia="zh-CN"/>
              </w:rPr>
              <w:t>to discuss</w:t>
            </w:r>
            <w:proofErr w:type="gramEnd"/>
            <w:r>
              <w:rPr>
                <w:rFonts w:eastAsia="DengXian"/>
                <w:lang w:val="en-US" w:eastAsia="zh-CN"/>
              </w:rPr>
              <w:t xml:space="preserve">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w:t>
            </w:r>
            <w:proofErr w:type="gramStart"/>
            <w:r>
              <w:rPr>
                <w:rFonts w:eastAsia="DengXian"/>
                <w:lang w:val="en-US" w:eastAsia="zh-CN"/>
              </w:rPr>
              <w:t>So</w:t>
            </w:r>
            <w:proofErr w:type="gramEnd"/>
            <w:r>
              <w:rPr>
                <w:rFonts w:eastAsia="DengXian"/>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w:t>
            </w:r>
            <w:proofErr w:type="gramStart"/>
            <w:r>
              <w:rPr>
                <w:rFonts w:eastAsia="Yu Mincho"/>
                <w:lang w:val="en-US" w:eastAsia="ja-JP"/>
              </w:rPr>
              <w:t>as long as</w:t>
            </w:r>
            <w:proofErr w:type="gramEnd"/>
            <w:r>
              <w:rPr>
                <w:rFonts w:eastAsia="Yu Mincho"/>
                <w:lang w:val="en-US" w:eastAsia="ja-JP"/>
              </w:rPr>
              <w:t xml:space="preserve">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lastRenderedPageBreak/>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w:t>
            </w:r>
            <w:proofErr w:type="gramStart"/>
            <w:r w:rsidRPr="006F55FA">
              <w:rPr>
                <w:lang w:val="en-US"/>
              </w:rPr>
              <w:t>small in size</w:t>
            </w:r>
            <w:proofErr w:type="gramEnd"/>
            <w:r w:rsidRPr="006F55FA">
              <w:rPr>
                <w:lang w:val="en-US"/>
              </w:rPr>
              <w:t xml:space="preserv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w:t>
            </w:r>
            <w:proofErr w:type="gramStart"/>
            <w:r>
              <w:rPr>
                <w:rFonts w:eastAsia="DengXian"/>
                <w:lang w:val="en-US" w:eastAsia="zh-CN"/>
              </w:rPr>
              <w:t>particular designing/development</w:t>
            </w:r>
            <w:proofErr w:type="gramEnd"/>
            <w:r>
              <w:rPr>
                <w:rFonts w:eastAsia="DengXian"/>
                <w:lang w:val="en-US" w:eastAsia="zh-CN"/>
              </w:rPr>
              <w:t xml:space="preserve">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8" w:name="_Toc42165599"/>
      <w:bookmarkStart w:id="19" w:name="_Toc51768534"/>
      <w:bookmarkStart w:id="20" w:name="_Toc51771041"/>
      <w:r>
        <w:t>7</w:t>
      </w:r>
      <w:r w:rsidRPr="000E647A">
        <w:t>.2.3</w:t>
      </w:r>
      <w:r w:rsidRPr="000E647A">
        <w:tab/>
        <w:t xml:space="preserve">Analysis of </w:t>
      </w:r>
      <w:r>
        <w:t>performance impacts</w:t>
      </w:r>
      <w:bookmarkEnd w:id="18"/>
      <w:bookmarkEnd w:id="19"/>
      <w:bookmarkEnd w:id="2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lastRenderedPageBreak/>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lastRenderedPageBreak/>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w:t>
            </w:r>
            <w:proofErr w:type="gramStart"/>
            <w:r w:rsidRPr="00D42F7A">
              <w:rPr>
                <w:rFonts w:eastAsia="DengXian"/>
                <w:sz w:val="21"/>
                <w:lang w:val="en-US" w:eastAsia="zh-CN"/>
              </w:rPr>
              <w:t xml:space="preserve">source </w:t>
            </w:r>
            <w:r w:rsidRPr="00D42F7A">
              <w:rPr>
                <w:rFonts w:ascii="Times New Roman" w:hAnsi="Times New Roman"/>
                <w:sz w:val="21"/>
              </w:rPr>
              <w:t xml:space="preserve"> [</w:t>
            </w:r>
            <w:proofErr w:type="gramEnd"/>
            <w:r w:rsidRPr="00D42F7A">
              <w:rPr>
                <w:rFonts w:ascii="Times New Roman" w:hAnsi="Times New Roman"/>
                <w:sz w:val="21"/>
              </w:rPr>
              <w:t>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 xml:space="preserve">s this is Phase 2 </w:t>
            </w:r>
            <w:proofErr w:type="gramStart"/>
            <w:r>
              <w:rPr>
                <w:rFonts w:eastAsia="DengXian"/>
                <w:lang w:val="en-US" w:eastAsia="zh-CN"/>
              </w:rPr>
              <w:t>question</w:t>
            </w:r>
            <w:proofErr w:type="gramEnd"/>
            <w:r>
              <w:rPr>
                <w:rFonts w:eastAsia="DengXian"/>
                <w:lang w:val="en-US" w:eastAsia="zh-CN"/>
              </w:rPr>
              <w:t xml:space="preserve">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t xml:space="preserve">For example, </w:t>
            </w:r>
          </w:p>
          <w:p w14:paraId="288C24B5" w14:textId="77777777" w:rsidR="00761398" w:rsidRPr="001F69B5" w:rsidRDefault="00761398" w:rsidP="00761398">
            <w:pPr>
              <w:pStyle w:val="ListParagraph"/>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DengXian"/>
                <w:lang w:val="en-US" w:eastAsia="zh-CN"/>
              </w:rPr>
            </w:pPr>
            <w:r w:rsidRPr="001F69B5">
              <w:rPr>
                <w:rFonts w:eastAsia="DengXian"/>
                <w:sz w:val="20"/>
                <w:szCs w:val="20"/>
                <w:lang w:val="en-US" w:eastAsia="zh-CN"/>
              </w:rPr>
              <w:t xml:space="preserve">It also needs justification how 1 Rx can support </w:t>
            </w:r>
            <w:proofErr w:type="gramStart"/>
            <w:r w:rsidRPr="001F69B5">
              <w:rPr>
                <w:rFonts w:eastAsia="DengXian"/>
                <w:sz w:val="20"/>
                <w:szCs w:val="20"/>
                <w:lang w:val="en-US" w:eastAsia="zh-CN"/>
              </w:rPr>
              <w:t>more</w:t>
            </w:r>
            <w:proofErr w:type="gramEnd"/>
            <w:r w:rsidRPr="001F69B5">
              <w:rPr>
                <w:rFonts w:eastAsia="DengXian"/>
                <w:sz w:val="20"/>
                <w:szCs w:val="20"/>
                <w:lang w:val="en-US" w:eastAsia="zh-CN"/>
              </w:rPr>
              <w:t xml:space="preserv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r w:rsidR="008650B7" w:rsidRPr="008E3AB5" w14:paraId="4B769344" w14:textId="77777777" w:rsidTr="000506FD">
        <w:tc>
          <w:tcPr>
            <w:tcW w:w="1479" w:type="dxa"/>
          </w:tcPr>
          <w:p w14:paraId="55EABBB1" w14:textId="02BB2ED3" w:rsidR="008650B7" w:rsidRDefault="008650B7" w:rsidP="008650B7">
            <w:pPr>
              <w:rPr>
                <w:lang w:val="en-US" w:eastAsia="zh-CN"/>
              </w:rPr>
            </w:pPr>
            <w:r>
              <w:rPr>
                <w:rFonts w:eastAsia="DengXian" w:hint="eastAsia"/>
                <w:lang w:val="en-US" w:eastAsia="zh-CN"/>
              </w:rPr>
              <w:t>Spreadtrum</w:t>
            </w:r>
          </w:p>
        </w:tc>
        <w:tc>
          <w:tcPr>
            <w:tcW w:w="1372" w:type="dxa"/>
          </w:tcPr>
          <w:p w14:paraId="292F4FBE" w14:textId="61FFF851" w:rsidR="008650B7" w:rsidRDefault="008650B7" w:rsidP="008650B7">
            <w:pPr>
              <w:tabs>
                <w:tab w:val="left" w:pos="551"/>
              </w:tabs>
              <w:rPr>
                <w:lang w:val="en-US" w:eastAsia="zh-CN"/>
              </w:rPr>
            </w:pPr>
            <w:r>
              <w:rPr>
                <w:rFonts w:eastAsia="DengXian" w:hint="eastAsia"/>
                <w:lang w:val="en-US" w:eastAsia="zh-CN"/>
              </w:rPr>
              <w:t>Y</w:t>
            </w:r>
          </w:p>
        </w:tc>
        <w:tc>
          <w:tcPr>
            <w:tcW w:w="6780" w:type="dxa"/>
          </w:tcPr>
          <w:p w14:paraId="1712E8B8" w14:textId="33E626F4" w:rsidR="008650B7" w:rsidRDefault="008650B7" w:rsidP="008650B7">
            <w:pPr>
              <w:rPr>
                <w:lang w:val="en-US" w:eastAsia="zh-CN"/>
              </w:rPr>
            </w:pPr>
            <w:r w:rsidRPr="00BA0A60">
              <w:rPr>
                <w:lang w:val="en-US" w:eastAsia="zh-CN"/>
              </w:rPr>
              <w:t>P1</w:t>
            </w:r>
            <w:r>
              <w:rPr>
                <w:lang w:val="en-US" w:eastAsia="zh-CN"/>
              </w:rPr>
              <w:t>(can be also discussed in MIMO Layers), P7</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1" w:name="_Toc42165600"/>
      <w:bookmarkStart w:id="22" w:name="_Toc51768535"/>
      <w:bookmarkStart w:id="23" w:name="_Toc51771042"/>
      <w:r>
        <w:t>7</w:t>
      </w:r>
      <w:r w:rsidRPr="000E647A">
        <w:t>.2.4</w:t>
      </w:r>
      <w:r w:rsidRPr="000E647A">
        <w:tab/>
        <w:t xml:space="preserve">Analysis of </w:t>
      </w:r>
      <w:r>
        <w:t>coexistence with legacy UEs</w:t>
      </w:r>
      <w:bookmarkEnd w:id="21"/>
      <w:bookmarkEnd w:id="22"/>
      <w:bookmarkEnd w:id="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4" w:name="_Toc42165601"/>
      <w:bookmarkStart w:id="25" w:name="_Toc51768536"/>
      <w:bookmarkStart w:id="26" w:name="_Toc51771043"/>
      <w:r>
        <w:t>7</w:t>
      </w:r>
      <w:r w:rsidRPr="000E647A">
        <w:t>.2.</w:t>
      </w:r>
      <w:r>
        <w:t>5</w:t>
      </w:r>
      <w:r w:rsidRPr="000E647A">
        <w:tab/>
        <w:t>Analysis of specification impacts</w:t>
      </w:r>
      <w:bookmarkEnd w:id="24"/>
      <w:bookmarkEnd w:id="25"/>
      <w:bookmarkEnd w:id="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hint="eastAsia"/>
                <w:sz w:val="16"/>
                <w:szCs w:val="10"/>
                <w:lang w:val="en-US" w:eastAsia="zh-CN"/>
              </w:rPr>
              <w:lastRenderedPageBreak/>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w:t>
            </w:r>
            <w:r>
              <w:rPr>
                <w:rFonts w:eastAsia="DengXian"/>
                <w:lang w:val="en-US" w:eastAsia="zh-CN"/>
              </w:rPr>
              <w:lastRenderedPageBreak/>
              <w:t xml:space="preserve">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w:t>
            </w:r>
            <w:proofErr w:type="gramStart"/>
            <w:r>
              <w:rPr>
                <w:rFonts w:eastAsia="DengXian" w:hint="eastAsia"/>
                <w:lang w:val="en-US" w:eastAsia="zh-CN"/>
              </w:rPr>
              <w:t>some kind of RedCap</w:t>
            </w:r>
            <w:proofErr w:type="gram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 xml:space="preserve">20MHz.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w:t>
            </w:r>
            <w:r>
              <w:rPr>
                <w:rFonts w:cs="Arial"/>
                <w:lang w:eastAsia="ja-JP"/>
              </w:rPr>
              <w:lastRenderedPageBreak/>
              <w:t>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w:t>
      </w:r>
      <w:r w:rsidR="00146113">
        <w:rPr>
          <w:b/>
          <w:bCs/>
        </w:rPr>
        <w:lastRenderedPageBreak/>
        <w:t>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w:t>
            </w:r>
            <w:proofErr w:type="gramStart"/>
            <w:r>
              <w:rPr>
                <w:rFonts w:eastAsia="DengXian"/>
                <w:lang w:val="en-US" w:eastAsia="zh-CN"/>
              </w:rPr>
              <w:t>1Rx, and</w:t>
            </w:r>
            <w:proofErr w:type="gramEnd"/>
            <w:r>
              <w:rPr>
                <w:rFonts w:eastAsia="DengXian"/>
                <w:lang w:val="en-US" w:eastAsia="zh-CN"/>
              </w:rPr>
              <w:t xml:space="preserve">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7" w:name="_Toc42165602"/>
      <w:bookmarkStart w:id="28" w:name="_Toc51768537"/>
      <w:bookmarkStart w:id="29" w:name="_Toc51771044"/>
      <w:r>
        <w:t>7</w:t>
      </w:r>
      <w:r w:rsidRPr="000E647A">
        <w:t>.3</w:t>
      </w:r>
      <w:r w:rsidRPr="000E647A">
        <w:tab/>
        <w:t>UE bandwidth reduction</w:t>
      </w:r>
      <w:bookmarkEnd w:id="27"/>
      <w:bookmarkEnd w:id="28"/>
      <w:bookmarkEnd w:id="29"/>
    </w:p>
    <w:p w14:paraId="7FAA7AE5" w14:textId="77777777" w:rsidR="00090EF0" w:rsidRPr="000E647A" w:rsidRDefault="00090EF0" w:rsidP="00090EF0">
      <w:pPr>
        <w:pStyle w:val="Heading3"/>
      </w:pPr>
      <w:bookmarkStart w:id="30" w:name="_Toc42165603"/>
      <w:bookmarkStart w:id="31" w:name="_Toc51768538"/>
      <w:bookmarkStart w:id="32" w:name="_Toc51771045"/>
      <w:r>
        <w:t>7</w:t>
      </w:r>
      <w:r w:rsidRPr="000E647A">
        <w:t>.3.1</w:t>
      </w:r>
      <w:r w:rsidRPr="000E647A">
        <w:tab/>
        <w:t>Description of feature</w:t>
      </w:r>
      <w:bookmarkEnd w:id="30"/>
      <w:bookmarkEnd w:id="31"/>
      <w:bookmarkEnd w:id="32"/>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lastRenderedPageBreak/>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3" w:name="_Toc42165604"/>
      <w:bookmarkStart w:id="34" w:name="_Toc51768539"/>
      <w:bookmarkStart w:id="35" w:name="_Toc51771046"/>
      <w:r>
        <w:t>7</w:t>
      </w:r>
      <w:r w:rsidRPr="000E647A">
        <w:t>.3.2</w:t>
      </w:r>
      <w:r w:rsidRPr="000E647A">
        <w:tab/>
        <w:t>Analysis of UE complexity reduction</w:t>
      </w:r>
      <w:bookmarkEnd w:id="33"/>
      <w:bookmarkEnd w:id="34"/>
      <w:bookmarkEnd w:id="35"/>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lastRenderedPageBreak/>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6" w:name="_Toc42165605"/>
      <w:bookmarkStart w:id="37" w:name="_Toc51768540"/>
      <w:bookmarkStart w:id="38" w:name="_Toc51771047"/>
      <w:r>
        <w:t>7</w:t>
      </w:r>
      <w:r w:rsidRPr="000E647A">
        <w:t>.3.3</w:t>
      </w:r>
      <w:r w:rsidRPr="000E647A">
        <w:tab/>
        <w:t xml:space="preserve">Analysis of </w:t>
      </w:r>
      <w:r>
        <w:t>performance impacts</w:t>
      </w:r>
      <w:bookmarkEnd w:id="36"/>
      <w:bookmarkEnd w:id="37"/>
      <w:bookmarkEnd w:id="3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9" w:name="_Toc42165606"/>
      <w:bookmarkStart w:id="40" w:name="_Toc51768541"/>
      <w:bookmarkStart w:id="4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39"/>
      <w:bookmarkEnd w:id="40"/>
      <w:bookmarkEnd w:id="4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lastRenderedPageBreak/>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2" w:name="_Toc42165607"/>
      <w:bookmarkStart w:id="43" w:name="_Toc51768542"/>
      <w:bookmarkStart w:id="44" w:name="_Toc51771049"/>
      <w:r w:rsidRPr="000E647A">
        <w:t>Analysis of specification impacts</w:t>
      </w:r>
      <w:bookmarkEnd w:id="42"/>
      <w:bookmarkEnd w:id="43"/>
      <w:bookmarkEnd w:id="4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5" w:name="_Toc42165608"/>
      <w:bookmarkStart w:id="46" w:name="_Toc51768543"/>
      <w:bookmarkStart w:id="47"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E5164C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lastRenderedPageBreak/>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5"/>
      <w:bookmarkEnd w:id="46"/>
      <w:bookmarkEnd w:id="47"/>
    </w:p>
    <w:p w14:paraId="7E7FC05D" w14:textId="1FB94B3B" w:rsidR="00090EF0" w:rsidRPr="000E647A" w:rsidRDefault="00090EF0" w:rsidP="00090EF0">
      <w:pPr>
        <w:pStyle w:val="Heading3"/>
      </w:pPr>
      <w:bookmarkStart w:id="48" w:name="_Toc42165609"/>
      <w:bookmarkStart w:id="49" w:name="_Toc51768544"/>
      <w:bookmarkStart w:id="50" w:name="_Toc51771051"/>
      <w:r>
        <w:t>7</w:t>
      </w:r>
      <w:r w:rsidRPr="000E647A">
        <w:t>.4.1</w:t>
      </w:r>
      <w:r w:rsidRPr="000E647A">
        <w:tab/>
        <w:t>Description of feature</w:t>
      </w:r>
      <w:bookmarkEnd w:id="48"/>
      <w:bookmarkEnd w:id="49"/>
      <w:bookmarkEnd w:id="50"/>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DengXian"/>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1" w:name="_Toc42165610"/>
      <w:bookmarkStart w:id="52" w:name="_Toc51768545"/>
      <w:bookmarkStart w:id="53" w:name="_Toc51771052"/>
      <w:r>
        <w:t>7</w:t>
      </w:r>
      <w:r w:rsidRPr="000E647A">
        <w:t>.4.2</w:t>
      </w:r>
      <w:r w:rsidRPr="000E647A">
        <w:tab/>
        <w:t>Analysis of UE complexity reduction</w:t>
      </w:r>
      <w:bookmarkEnd w:id="51"/>
      <w:bookmarkEnd w:id="52"/>
      <w:bookmarkEnd w:id="53"/>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DengXian"/>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lastRenderedPageBreak/>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4" w:name="_Toc42165611"/>
      <w:bookmarkStart w:id="55" w:name="_Toc51768546"/>
      <w:bookmarkStart w:id="56" w:name="_Toc51771053"/>
      <w:r>
        <w:t>7</w:t>
      </w:r>
      <w:r w:rsidRPr="000E647A">
        <w:t>.4.3</w:t>
      </w:r>
      <w:r w:rsidRPr="000E647A">
        <w:tab/>
        <w:t xml:space="preserve">Analysis of </w:t>
      </w:r>
      <w:r>
        <w:t>performance impacts</w:t>
      </w:r>
      <w:bookmarkEnd w:id="54"/>
      <w:bookmarkEnd w:id="55"/>
      <w:bookmarkEnd w:id="56"/>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lastRenderedPageBreak/>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7" w:name="_Toc42165612"/>
      <w:bookmarkStart w:id="58" w:name="_Toc51768547"/>
      <w:bookmarkStart w:id="59" w:name="_Toc51771054"/>
      <w:r>
        <w:t>7</w:t>
      </w:r>
      <w:r w:rsidRPr="000E647A">
        <w:t>.</w:t>
      </w:r>
      <w:r>
        <w:t>4</w:t>
      </w:r>
      <w:r w:rsidRPr="000E647A">
        <w:t>.4</w:t>
      </w:r>
      <w:r w:rsidRPr="000E647A">
        <w:tab/>
        <w:t xml:space="preserve">Analysis of </w:t>
      </w:r>
      <w:r>
        <w:t xml:space="preserve">coexistence with legacy </w:t>
      </w:r>
      <w:r w:rsidR="00790265">
        <w:t>UEs</w:t>
      </w:r>
      <w:bookmarkEnd w:id="57"/>
      <w:bookmarkEnd w:id="58"/>
      <w:bookmarkEnd w:id="59"/>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60" w:name="_Toc42165613"/>
      <w:bookmarkStart w:id="61" w:name="_Toc51768548"/>
      <w:bookmarkStart w:id="62" w:name="_Toc51771055"/>
      <w:r>
        <w:t>7</w:t>
      </w:r>
      <w:r w:rsidRPr="000E647A">
        <w:t>.4.</w:t>
      </w:r>
      <w:r>
        <w:t>5</w:t>
      </w:r>
      <w:r w:rsidRPr="000E647A">
        <w:tab/>
        <w:t>Analysis of specification impacts</w:t>
      </w:r>
      <w:bookmarkEnd w:id="60"/>
      <w:bookmarkEnd w:id="61"/>
      <w:bookmarkEnd w:id="6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3" w:name="_Toc42165614"/>
      <w:bookmarkStart w:id="64" w:name="_Toc51768549"/>
      <w:bookmarkStart w:id="6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SimSun"/>
                <w:lang w:val="en-US" w:eastAsia="zh-CN"/>
              </w:rPr>
            </w:pPr>
            <w:r>
              <w:rPr>
                <w:rFonts w:eastAsia="SimSun"/>
                <w:lang w:val="en-US" w:eastAsia="zh-CN"/>
              </w:rPr>
              <w:t>Both option 1 and option 2</w:t>
            </w:r>
          </w:p>
        </w:tc>
        <w:tc>
          <w:tcPr>
            <w:tcW w:w="5383" w:type="dxa"/>
          </w:tcPr>
          <w:p w14:paraId="42790D9E" w14:textId="0E84F862" w:rsidR="0047494A" w:rsidRPr="00B33A0A"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Option 2 can also be considered, </w:t>
            </w:r>
            <w:r w:rsidR="00F613A0">
              <w:rPr>
                <w:rFonts w:eastAsia="DengXian"/>
                <w:lang w:val="en-US" w:eastAsia="zh-CN"/>
              </w:rPr>
              <w:t xml:space="preserve">given the additional cost saving, </w:t>
            </w:r>
            <w:r w:rsidR="004E771F">
              <w:rPr>
                <w:rFonts w:eastAsia="DengXian"/>
                <w:lang w:val="en-US" w:eastAsia="zh-CN"/>
              </w:rPr>
              <w:t xml:space="preserve">but there are likely to be </w:t>
            </w:r>
            <w:r w:rsidR="00F613A0">
              <w:rPr>
                <w:rFonts w:eastAsia="DengXian"/>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3"/>
      <w:bookmarkEnd w:id="64"/>
      <w:bookmarkEnd w:id="65"/>
    </w:p>
    <w:p w14:paraId="4D81A5C9" w14:textId="3C1076B4" w:rsidR="00090EF0" w:rsidRPr="000E647A" w:rsidRDefault="00090EF0" w:rsidP="00090EF0">
      <w:pPr>
        <w:pStyle w:val="Heading3"/>
      </w:pPr>
      <w:bookmarkStart w:id="66" w:name="_Toc42165615"/>
      <w:bookmarkStart w:id="67" w:name="_Toc51768550"/>
      <w:bookmarkStart w:id="68" w:name="_Toc51771057"/>
      <w:r>
        <w:t>7</w:t>
      </w:r>
      <w:r w:rsidRPr="000E647A">
        <w:t>.5.1</w:t>
      </w:r>
      <w:r w:rsidRPr="000E647A">
        <w:tab/>
        <w:t>Description of feature</w:t>
      </w:r>
      <w:bookmarkEnd w:id="66"/>
      <w:bookmarkEnd w:id="67"/>
      <w:bookmarkEnd w:id="6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lastRenderedPageBreak/>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9" w:name="_Toc42165616"/>
      <w:bookmarkStart w:id="70" w:name="_Toc51768551"/>
      <w:bookmarkStart w:id="71" w:name="_Toc51771058"/>
      <w:r>
        <w:t>7</w:t>
      </w:r>
      <w:r w:rsidRPr="000E647A">
        <w:t>.5.2</w:t>
      </w:r>
      <w:r w:rsidRPr="000E647A">
        <w:tab/>
        <w:t>Analysis of UE complexity reduction</w:t>
      </w:r>
      <w:bookmarkEnd w:id="69"/>
      <w:bookmarkEnd w:id="70"/>
      <w:bookmarkEnd w:id="71"/>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lastRenderedPageBreak/>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2" w:name="_Toc42165617"/>
      <w:bookmarkStart w:id="73" w:name="_Toc51768552"/>
      <w:bookmarkStart w:id="74" w:name="_Toc51771059"/>
      <w:r>
        <w:t>7</w:t>
      </w:r>
      <w:r w:rsidRPr="000E647A">
        <w:t>.5.3</w:t>
      </w:r>
      <w:r w:rsidRPr="000E647A">
        <w:tab/>
        <w:t xml:space="preserve">Analysis of </w:t>
      </w:r>
      <w:r>
        <w:t>performance impacts</w:t>
      </w:r>
      <w:bookmarkEnd w:id="72"/>
      <w:bookmarkEnd w:id="73"/>
      <w:bookmarkEnd w:id="74"/>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5" w:name="_Toc42165618"/>
      <w:bookmarkStart w:id="76" w:name="_Toc51768553"/>
      <w:bookmarkStart w:id="77" w:name="_Toc51771060"/>
      <w:r>
        <w:t>7</w:t>
      </w:r>
      <w:r w:rsidRPr="000E647A">
        <w:t>.</w:t>
      </w:r>
      <w:r>
        <w:t>5</w:t>
      </w:r>
      <w:r w:rsidRPr="000E647A">
        <w:t>.4</w:t>
      </w:r>
      <w:r w:rsidRPr="000E647A">
        <w:tab/>
        <w:t xml:space="preserve">Analysis of </w:t>
      </w:r>
      <w:r>
        <w:t xml:space="preserve">coexistence with legacy </w:t>
      </w:r>
      <w:r w:rsidR="00790265">
        <w:t>UEs</w:t>
      </w:r>
      <w:bookmarkEnd w:id="75"/>
      <w:bookmarkEnd w:id="76"/>
      <w:bookmarkEnd w:id="77"/>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8" w:name="_Toc42165619"/>
      <w:bookmarkStart w:id="79" w:name="_Toc51768554"/>
      <w:bookmarkStart w:id="80" w:name="_Toc51771061"/>
      <w:r>
        <w:lastRenderedPageBreak/>
        <w:t>7</w:t>
      </w:r>
      <w:r w:rsidRPr="000E647A">
        <w:t>.5.</w:t>
      </w:r>
      <w:r>
        <w:t>5</w:t>
      </w:r>
      <w:r w:rsidRPr="000E647A">
        <w:tab/>
        <w:t>Analysis of specification impacts</w:t>
      </w:r>
      <w:bookmarkEnd w:id="78"/>
      <w:bookmarkEnd w:id="79"/>
      <w:bookmarkEnd w:id="8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1" w:name="_Toc42165621"/>
      <w:bookmarkStart w:id="82" w:name="_Toc51768556"/>
      <w:bookmarkStart w:id="83"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lastRenderedPageBreak/>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lastRenderedPageBreak/>
              <w:t>We can also accept option 4.</w:t>
            </w: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1"/>
      <w:bookmarkEnd w:id="82"/>
      <w:bookmarkEnd w:id="83"/>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54494949" w14:textId="77777777" w:rsidR="00651DDC" w:rsidRPr="00ED3FEA" w:rsidRDefault="00651DDC" w:rsidP="00651DDC">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4" w:name="_Toc42165622"/>
      <w:bookmarkStart w:id="85" w:name="_Toc51768557"/>
      <w:bookmarkStart w:id="86" w:name="_Toc51771064"/>
      <w:r>
        <w:lastRenderedPageBreak/>
        <w:t>7</w:t>
      </w:r>
      <w:r w:rsidRPr="000E647A">
        <w:t>.6.2</w:t>
      </w:r>
      <w:r w:rsidRPr="000E647A">
        <w:tab/>
        <w:t>Analysis of UE complexity reduction</w:t>
      </w:r>
      <w:bookmarkEnd w:id="84"/>
      <w:bookmarkEnd w:id="85"/>
      <w:bookmarkEnd w:id="86"/>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w:t>
            </w:r>
            <w:proofErr w:type="gramStart"/>
            <w:r>
              <w:rPr>
                <w:rFonts w:eastAsia="DengXian"/>
                <w:lang w:val="en-US" w:eastAsia="zh-CN"/>
              </w:rPr>
              <w:t>actually considering</w:t>
            </w:r>
            <w:proofErr w:type="gramEnd"/>
            <w:r>
              <w:rPr>
                <w:rFonts w:eastAsia="DengXian"/>
                <w:lang w:val="en-US" w:eastAsia="zh-CN"/>
              </w:rPr>
              <w:t xml:space="preserve">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7" w:name="_Toc42165623"/>
      <w:bookmarkStart w:id="88" w:name="_Toc51768558"/>
      <w:bookmarkStart w:id="89" w:name="_Toc51771065"/>
      <w:r>
        <w:t>7</w:t>
      </w:r>
      <w:r w:rsidRPr="000E647A">
        <w:t>.6.3</w:t>
      </w:r>
      <w:r w:rsidRPr="000E647A">
        <w:tab/>
        <w:t xml:space="preserve">Analysis of </w:t>
      </w:r>
      <w:r>
        <w:t>performance impacts</w:t>
      </w:r>
      <w:bookmarkEnd w:id="87"/>
      <w:bookmarkEnd w:id="88"/>
      <w:bookmarkEnd w:id="8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lastRenderedPageBreak/>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90" w:name="_Toc42165624"/>
      <w:bookmarkStart w:id="91" w:name="_Toc51768559"/>
      <w:bookmarkStart w:id="92" w:name="_Toc51771066"/>
      <w:r>
        <w:t>7</w:t>
      </w:r>
      <w:r w:rsidRPr="000E647A">
        <w:t>.</w:t>
      </w:r>
      <w:r>
        <w:t>6</w:t>
      </w:r>
      <w:r w:rsidRPr="000E647A">
        <w:t>.4</w:t>
      </w:r>
      <w:r w:rsidRPr="000E647A">
        <w:tab/>
        <w:t xml:space="preserve">Analysis of </w:t>
      </w:r>
      <w:r>
        <w:t xml:space="preserve">coexistence with legacy </w:t>
      </w:r>
      <w:r w:rsidR="00790265">
        <w:t>UEs</w:t>
      </w:r>
      <w:bookmarkEnd w:id="90"/>
      <w:bookmarkEnd w:id="91"/>
      <w:bookmarkEnd w:id="9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3" w:name="_Toc42165625"/>
      <w:bookmarkStart w:id="94" w:name="_Toc51768560"/>
      <w:bookmarkStart w:id="95" w:name="_Toc51771067"/>
      <w:r>
        <w:t>7</w:t>
      </w:r>
      <w:r w:rsidRPr="000E647A">
        <w:t>.6.</w:t>
      </w:r>
      <w:r>
        <w:t>5</w:t>
      </w:r>
      <w:r w:rsidRPr="000E647A">
        <w:tab/>
        <w:t>Analysis of specification impacts</w:t>
      </w:r>
      <w:bookmarkEnd w:id="93"/>
      <w:bookmarkEnd w:id="94"/>
      <w:bookmarkEnd w:id="9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6" w:name="_Toc42165626"/>
      <w:bookmarkStart w:id="97" w:name="_Toc51768561"/>
      <w:bookmarkStart w:id="98"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lastRenderedPageBreak/>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lastRenderedPageBreak/>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lastRenderedPageBreak/>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lastRenderedPageBreak/>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w:t>
            </w:r>
            <w:proofErr w:type="gramStart"/>
            <w:r>
              <w:rPr>
                <w:rFonts w:eastAsia="DengXian"/>
                <w:lang w:val="en-US" w:eastAsia="zh-CN"/>
              </w:rPr>
              <w:t>So</w:t>
            </w:r>
            <w:proofErr w:type="gramEnd"/>
            <w:r>
              <w:rPr>
                <w:rFonts w:eastAsia="DengXian"/>
                <w:lang w:val="en-US" w:eastAsia="zh-CN"/>
              </w:rPr>
              <w:t xml:space="preserve">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C36C4C">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 xml:space="preserve">peak date </w:t>
                  </w:r>
                  <w:proofErr w:type="gramStart"/>
                  <w:r w:rsidRPr="00714B3E">
                    <w:rPr>
                      <w:rFonts w:hint="eastAsia"/>
                      <w:lang w:val="en-US" w:eastAsia="zh-CN"/>
                    </w:rPr>
                    <w:t>rate(</w:t>
                  </w:r>
                  <w:proofErr w:type="gramEnd"/>
                  <w:r w:rsidRPr="00714B3E">
                    <w:rPr>
                      <w:rFonts w:hint="eastAsia"/>
                      <w:lang w:val="en-US" w:eastAsia="zh-CN"/>
                    </w:rPr>
                    <w:t>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C36C4C">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C36C4C">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C36C4C">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lastRenderedPageBreak/>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lastRenderedPageBreak/>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 xml:space="preserve">Option 1 </w:t>
            </w:r>
            <w:proofErr w:type="gramStart"/>
            <w:r w:rsidRPr="00CD6708">
              <w:rPr>
                <w:rFonts w:eastAsia="DengXian"/>
                <w:lang w:val="en-US" w:eastAsia="zh-CN"/>
              </w:rPr>
              <w:t>and  2</w:t>
            </w:r>
            <w:proofErr w:type="gramEnd"/>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lastRenderedPageBreak/>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lastRenderedPageBreak/>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w:t>
            </w:r>
            <w:proofErr w:type="gramStart"/>
            <w:r>
              <w:rPr>
                <w:lang w:val="en-US"/>
              </w:rPr>
              <w:t>All of</w:t>
            </w:r>
            <w:proofErr w:type="gramEnd"/>
            <w:r>
              <w:rPr>
                <w:lang w:val="en-US"/>
              </w:rPr>
              <w:t xml:space="preserve">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lastRenderedPageBreak/>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9"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w:t>
      </w:r>
      <w:r w:rsidR="004413EE" w:rsidRPr="00727E90">
        <w:rPr>
          <w:rFonts w:ascii="Times New Roman" w:hAnsi="Times New Roman"/>
        </w:rPr>
        <w:lastRenderedPageBreak/>
        <w:t xml:space="preserve">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lastRenderedPageBreak/>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lastRenderedPageBreak/>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lastRenderedPageBreak/>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5A0169A5" w14:textId="0E273C6A"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6"/>
      <w:bookmarkEnd w:id="97"/>
      <w:bookmarkEnd w:id="98"/>
    </w:p>
    <w:p w14:paraId="74D88359" w14:textId="015611F5" w:rsidR="00090EF0" w:rsidRDefault="00090EF0" w:rsidP="00090EF0">
      <w:pPr>
        <w:pStyle w:val="Heading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lastRenderedPageBreak/>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lastRenderedPageBreak/>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2294E14F" w14:textId="33B07251" w:rsidR="004C03F0" w:rsidRDefault="00FD031B" w:rsidP="003A62F5">
            <w:pPr>
              <w:pStyle w:val="BodyText"/>
              <w:rPr>
                <w:rFonts w:ascii="Times New Roman" w:eastAsia="DengXian" w:hAnsi="Times New Roman"/>
              </w:rPr>
            </w:pPr>
            <w:r>
              <w:rPr>
                <w:rFonts w:ascii="Times New Roman" w:eastAsia="DengXian" w:hAnsi="Times New Roman"/>
              </w:rPr>
              <w:t xml:space="preserve">So, we think the set of combinations proposed is </w:t>
            </w:r>
            <w:proofErr w:type="gramStart"/>
            <w:r>
              <w:rPr>
                <w:rFonts w:ascii="Times New Roman" w:eastAsia="DengXian" w:hAnsi="Times New Roman"/>
              </w:rPr>
              <w:t>sufficient</w:t>
            </w:r>
            <w:proofErr w:type="gramEnd"/>
            <w:r>
              <w:rPr>
                <w:rFonts w:ascii="Times New Roman" w:eastAsia="DengXian" w:hAnsi="Times New Roman"/>
              </w:rPr>
              <w:t>.</w:t>
            </w:r>
            <w:r w:rsidR="00CD7646">
              <w:rPr>
                <w:rFonts w:ascii="Times New Roman" w:eastAsia="DengXian" w:hAnsi="Times New Roman"/>
              </w:rPr>
              <w:t xml:space="preserve"> </w:t>
            </w:r>
            <w:r w:rsidR="00E84A78">
              <w:rPr>
                <w:rFonts w:ascii="Times New Roman" w:eastAsia="DengXian" w:hAnsi="Times New Roman"/>
              </w:rPr>
              <w:t xml:space="preserve"> </w:t>
            </w:r>
            <w:r w:rsidR="00FF0F58">
              <w:rPr>
                <w:rFonts w:ascii="Times New Roman" w:eastAsia="DengXian"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lastRenderedPageBreak/>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w:t>
            </w:r>
            <w:proofErr w:type="gramStart"/>
            <w:r>
              <w:t xml:space="preserve">and </w:t>
            </w:r>
            <w:r w:rsidRPr="00324EE5">
              <w:t xml:space="preserve"> max</w:t>
            </w:r>
            <w:proofErr w:type="gramEnd"/>
            <w:r w:rsidRPr="00324EE5">
              <w:t xml:space="preserve">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 xml:space="preserve">it would be good to focus on the combinations that are considered most promising. Current combinations seem </w:t>
            </w:r>
            <w:proofErr w:type="gramStart"/>
            <w:r>
              <w:rPr>
                <w:rFonts w:ascii="Times New Roman" w:hAnsi="Times New Roman"/>
              </w:rPr>
              <w:t>sufficient</w:t>
            </w:r>
            <w:proofErr w:type="gramEnd"/>
            <w:r>
              <w:rPr>
                <w:rFonts w:ascii="Times New Roman" w:hAnsi="Times New Roman"/>
              </w:rPr>
              <w: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Default="00FE0FE5" w:rsidP="00FE0FE5">
            <w:pPr>
              <w:jc w:val="both"/>
              <w:rPr>
                <w:lang w:val="en-US"/>
              </w:rPr>
            </w:pPr>
            <w:r>
              <w:rPr>
                <w:lang w:val="en-US"/>
              </w:rPr>
              <w:t>For FR1 TDD,</w:t>
            </w:r>
          </w:p>
          <w:p w14:paraId="0C52390A" w14:textId="77777777" w:rsidR="00FE0FE5" w:rsidRDefault="00FE0FE5" w:rsidP="00FE0FE5">
            <w:pPr>
              <w:pStyle w:val="ListParagraph"/>
              <w:numPr>
                <w:ilvl w:val="0"/>
                <w:numId w:val="25"/>
              </w:numPr>
              <w:jc w:val="both"/>
              <w:rPr>
                <w:lang w:val="en-US"/>
              </w:rPr>
            </w:pPr>
            <w:r>
              <w:rPr>
                <w:lang w:val="en-US"/>
              </w:rPr>
              <w:t>20MHz, 1 layer, 1Rx, doubled N1 and N2</w:t>
            </w:r>
          </w:p>
          <w:p w14:paraId="22FB73D1" w14:textId="77777777" w:rsidR="00CB64FD" w:rsidRDefault="00FE0FE5" w:rsidP="00FE0FE5">
            <w:pPr>
              <w:pStyle w:val="ListParagraph"/>
              <w:numPr>
                <w:ilvl w:val="0"/>
                <w:numId w:val="25"/>
              </w:numPr>
              <w:jc w:val="both"/>
              <w:rPr>
                <w:lang w:val="en-US"/>
              </w:rPr>
            </w:pPr>
            <w:r>
              <w:rPr>
                <w:lang w:val="en-US"/>
              </w:rPr>
              <w:t xml:space="preserve">20MHz, 1 layer, 1Rx, </w:t>
            </w:r>
            <w:r w:rsidRPr="00A06DC6">
              <w:rPr>
                <w:lang w:val="en-US"/>
              </w:rPr>
              <w:t>max 64QAM in DL</w:t>
            </w:r>
          </w:p>
          <w:p w14:paraId="34EE09E4" w14:textId="3D23D6FD" w:rsidR="00FE0FE5" w:rsidRPr="00CB64FD" w:rsidRDefault="00FE0FE5" w:rsidP="00FE0FE5">
            <w:pPr>
              <w:pStyle w:val="ListParagraph"/>
              <w:numPr>
                <w:ilvl w:val="0"/>
                <w:numId w:val="25"/>
              </w:numPr>
              <w:jc w:val="both"/>
              <w:rPr>
                <w:lang w:val="en-US"/>
              </w:rPr>
            </w:pPr>
            <w:r>
              <w:t xml:space="preserve">20MHz, 1 layer, 1Rx, </w:t>
            </w:r>
            <w:r w:rsidRPr="00A06DC6">
              <w:t xml:space="preserve">max </w:t>
            </w:r>
            <w:r>
              <w:t>16</w:t>
            </w:r>
            <w:r w:rsidRPr="00A06DC6">
              <w:t xml:space="preserve">QAM in </w:t>
            </w:r>
            <w:r>
              <w:t>U</w:t>
            </w:r>
            <w:r w:rsidRPr="00A06DC6">
              <w:t>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396510" w:rsidRDefault="00F65727" w:rsidP="00F65727">
            <w:pPr>
              <w:jc w:val="both"/>
              <w:rPr>
                <w:lang w:val="en-US"/>
              </w:rPr>
            </w:pPr>
            <w:r w:rsidRPr="00396510">
              <w:rPr>
                <w:lang w:val="en-US"/>
              </w:rPr>
              <w:t>For FR1 FDD, add:</w:t>
            </w:r>
          </w:p>
          <w:p w14:paraId="1D6D0ECB" w14:textId="42F9FA16" w:rsidR="00F65727" w:rsidRPr="00396510" w:rsidRDefault="00F65727" w:rsidP="00F65727">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CE49FB2" w14:textId="77777777" w:rsidR="00F65727" w:rsidRPr="00396510" w:rsidRDefault="00F65727" w:rsidP="00F65727">
            <w:pPr>
              <w:jc w:val="both"/>
              <w:rPr>
                <w:lang w:val="en-US"/>
              </w:rPr>
            </w:pPr>
            <w:r w:rsidRPr="00396510">
              <w:rPr>
                <w:lang w:val="en-US"/>
              </w:rPr>
              <w:t>For FR1 TDD, add:</w:t>
            </w:r>
          </w:p>
          <w:p w14:paraId="779C84B6" w14:textId="6AE1FED9" w:rsidR="00F65727" w:rsidRPr="00F65727" w:rsidRDefault="00F65727" w:rsidP="00F65727">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D20236" w:rsidRDefault="00382245" w:rsidP="00382245">
            <w:pPr>
              <w:pStyle w:val="ListParagraph"/>
              <w:numPr>
                <w:ilvl w:val="0"/>
                <w:numId w:val="25"/>
              </w:numPr>
              <w:rPr>
                <w:lang w:val="en-US"/>
              </w:rPr>
            </w:pPr>
            <w:r w:rsidRPr="00D20236">
              <w:rPr>
                <w:lang w:val="en-US"/>
              </w:rPr>
              <w:t>100 MHz, 1 layer, 1 Rx, max 16QAM in DL</w:t>
            </w:r>
            <w:r>
              <w:rPr>
                <w:lang w:val="en-US"/>
              </w:rPr>
              <w:t xml:space="preserve">, </w:t>
            </w:r>
            <w:r>
              <w:rPr>
                <w:rFonts w:ascii="Times New Roman" w:hAnsi="Times New Roman"/>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lastRenderedPageBreak/>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318768AB"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p w14:paraId="42A78CA6" w14:textId="77777777" w:rsidR="001F5762" w:rsidRDefault="001F5762" w:rsidP="001F5762">
            <w:pPr>
              <w:pStyle w:val="BodyText"/>
              <w:rPr>
                <w:rFonts w:ascii="Times New Roman" w:hAnsi="Times New Roman"/>
              </w:rPr>
            </w:pP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Heading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Heading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47884" w:rsidP="00903501">
            <w:pPr>
              <w:rPr>
                <w:color w:val="0000FF"/>
                <w:u w:val="single"/>
              </w:rPr>
            </w:pPr>
            <w:hyperlink r:id="rId2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lastRenderedPageBreak/>
              <w:t>[2]</w:t>
            </w:r>
          </w:p>
        </w:tc>
        <w:tc>
          <w:tcPr>
            <w:tcW w:w="1456" w:type="dxa"/>
            <w:tcMar>
              <w:top w:w="0" w:type="dxa"/>
              <w:left w:w="70" w:type="dxa"/>
              <w:bottom w:w="0" w:type="dxa"/>
              <w:right w:w="70" w:type="dxa"/>
            </w:tcMar>
            <w:hideMark/>
          </w:tcPr>
          <w:p w14:paraId="75869C70" w14:textId="0CFC1DFB" w:rsidR="00903501" w:rsidRPr="00903501" w:rsidRDefault="00147884" w:rsidP="00903501">
            <w:pPr>
              <w:rPr>
                <w:color w:val="0000FF"/>
                <w:u w:val="single"/>
              </w:rPr>
            </w:pPr>
            <w:hyperlink r:id="rId2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47884" w:rsidP="00903501">
            <w:pPr>
              <w:rPr>
                <w:color w:val="0000FF"/>
                <w:u w:val="single"/>
              </w:rPr>
            </w:pPr>
            <w:hyperlink r:id="rId2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47884" w:rsidP="00903501">
            <w:pPr>
              <w:rPr>
                <w:color w:val="0000FF"/>
                <w:u w:val="single"/>
              </w:rPr>
            </w:pPr>
            <w:hyperlink r:id="rId2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47884" w:rsidP="00903501">
            <w:pPr>
              <w:rPr>
                <w:color w:val="0000FF"/>
                <w:u w:val="single"/>
              </w:rPr>
            </w:pPr>
            <w:hyperlink r:id="rId2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47884" w:rsidP="00903501">
            <w:pPr>
              <w:rPr>
                <w:color w:val="0000FF"/>
                <w:u w:val="single"/>
              </w:rPr>
            </w:pPr>
            <w:hyperlink r:id="rId2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47884" w:rsidP="00903501">
            <w:pPr>
              <w:rPr>
                <w:color w:val="0000FF"/>
                <w:u w:val="single"/>
              </w:rPr>
            </w:pPr>
            <w:hyperlink r:id="rId2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47884" w:rsidP="00903501">
            <w:pPr>
              <w:rPr>
                <w:color w:val="0000FF"/>
                <w:u w:val="single"/>
              </w:rPr>
            </w:pPr>
            <w:hyperlink r:id="rId3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47884" w:rsidP="00903501">
            <w:pPr>
              <w:rPr>
                <w:color w:val="0000FF"/>
                <w:u w:val="single"/>
              </w:rPr>
            </w:pPr>
            <w:hyperlink r:id="rId3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47884" w:rsidP="00903501">
            <w:pPr>
              <w:rPr>
                <w:color w:val="0000FF"/>
                <w:u w:val="single"/>
              </w:rPr>
            </w:pPr>
            <w:hyperlink r:id="rId3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47884" w:rsidP="00903501">
            <w:pPr>
              <w:rPr>
                <w:color w:val="0000FF"/>
                <w:u w:val="single"/>
              </w:rPr>
            </w:pPr>
            <w:hyperlink r:id="rId3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47884" w:rsidP="00903501">
            <w:pPr>
              <w:rPr>
                <w:color w:val="0000FF"/>
                <w:u w:val="single"/>
              </w:rPr>
            </w:pPr>
            <w:hyperlink r:id="rId3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47884" w:rsidP="00903501">
            <w:pPr>
              <w:rPr>
                <w:color w:val="0000FF"/>
                <w:u w:val="single"/>
              </w:rPr>
            </w:pPr>
            <w:hyperlink r:id="rId3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47884" w:rsidP="00903501">
            <w:pPr>
              <w:rPr>
                <w:color w:val="0000FF"/>
                <w:u w:val="single"/>
              </w:rPr>
            </w:pPr>
            <w:hyperlink r:id="rId3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47884" w:rsidP="00903501">
            <w:pPr>
              <w:rPr>
                <w:color w:val="0000FF"/>
                <w:u w:val="single"/>
              </w:rPr>
            </w:pPr>
            <w:hyperlink r:id="rId3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47884" w:rsidP="00903501">
            <w:pPr>
              <w:rPr>
                <w:color w:val="0000FF"/>
                <w:u w:val="single"/>
              </w:rPr>
            </w:pPr>
            <w:hyperlink r:id="rId4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47884" w:rsidP="00903501">
            <w:pPr>
              <w:rPr>
                <w:color w:val="0000FF"/>
                <w:u w:val="single"/>
              </w:rPr>
            </w:pPr>
            <w:hyperlink r:id="rId4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47884" w:rsidP="00903501">
            <w:pPr>
              <w:rPr>
                <w:color w:val="0000FF"/>
                <w:u w:val="single"/>
              </w:rPr>
            </w:pPr>
            <w:hyperlink r:id="rId4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47884" w:rsidP="00903501">
            <w:pPr>
              <w:rPr>
                <w:color w:val="0000FF"/>
                <w:u w:val="single"/>
              </w:rPr>
            </w:pPr>
            <w:hyperlink r:id="rId4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47884" w:rsidP="00903501">
            <w:pPr>
              <w:rPr>
                <w:color w:val="0000FF"/>
                <w:u w:val="single"/>
              </w:rPr>
            </w:pPr>
            <w:hyperlink r:id="rId4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47884" w:rsidP="00903501">
            <w:pPr>
              <w:rPr>
                <w:color w:val="0000FF"/>
                <w:u w:val="single"/>
              </w:rPr>
            </w:pPr>
            <w:hyperlink r:id="rId4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47884" w:rsidP="00903501">
            <w:pPr>
              <w:rPr>
                <w:color w:val="0000FF"/>
                <w:u w:val="single"/>
              </w:rPr>
            </w:pPr>
            <w:hyperlink r:id="rId4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47884" w:rsidP="00903501">
            <w:pPr>
              <w:rPr>
                <w:color w:val="0000FF"/>
                <w:u w:val="single"/>
              </w:rPr>
            </w:pPr>
            <w:hyperlink r:id="rId48"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47884" w:rsidP="00903501">
            <w:pPr>
              <w:rPr>
                <w:color w:val="0000FF"/>
                <w:u w:val="single"/>
              </w:rPr>
            </w:pPr>
            <w:hyperlink r:id="rId4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47884" w:rsidP="00903501">
            <w:pPr>
              <w:rPr>
                <w:color w:val="0000FF"/>
                <w:u w:val="single"/>
              </w:rPr>
            </w:pPr>
            <w:hyperlink r:id="rId5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47884" w:rsidP="00903501">
            <w:pPr>
              <w:rPr>
                <w:color w:val="0000FF"/>
                <w:u w:val="single"/>
              </w:rPr>
            </w:pPr>
            <w:hyperlink r:id="rId5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47884" w:rsidP="00903501">
            <w:pPr>
              <w:rPr>
                <w:color w:val="0000FF"/>
                <w:u w:val="single"/>
              </w:rPr>
            </w:pPr>
            <w:hyperlink r:id="rId5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47884" w:rsidP="00903501">
            <w:pPr>
              <w:rPr>
                <w:color w:val="0000FF"/>
                <w:u w:val="single"/>
              </w:rPr>
            </w:pPr>
            <w:hyperlink r:id="rId5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47884" w:rsidP="00711D4B">
            <w:pPr>
              <w:rPr>
                <w:color w:val="0000FF"/>
                <w:u w:val="single"/>
              </w:rPr>
            </w:pPr>
            <w:hyperlink r:id="rId5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47884" w:rsidP="00711D4B">
            <w:pPr>
              <w:rPr>
                <w:color w:val="0000FF"/>
                <w:u w:val="single"/>
              </w:rPr>
            </w:pPr>
            <w:hyperlink r:id="rId5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47884" w:rsidP="00711D4B">
            <w:pPr>
              <w:rPr>
                <w:color w:val="0000FF"/>
                <w:u w:val="single"/>
              </w:rPr>
            </w:pPr>
            <w:hyperlink r:id="rId5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47884" w:rsidP="00711D4B">
            <w:pPr>
              <w:rPr>
                <w:color w:val="0000FF"/>
                <w:u w:val="single"/>
              </w:rPr>
            </w:pPr>
            <w:hyperlink r:id="rId5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47884" w:rsidP="00711D4B">
            <w:pPr>
              <w:rPr>
                <w:color w:val="0000FF"/>
                <w:u w:val="single"/>
              </w:rPr>
            </w:pPr>
            <w:hyperlink r:id="rId5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47884" w:rsidP="00711D4B">
            <w:pPr>
              <w:rPr>
                <w:color w:val="0000FF"/>
                <w:u w:val="single"/>
              </w:rPr>
            </w:pPr>
            <w:hyperlink r:id="rId5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47884" w:rsidP="002C3FEA">
            <w:pPr>
              <w:rPr>
                <w:rStyle w:val="Hyperlink"/>
                <w:color w:val="0000FF"/>
              </w:rPr>
            </w:pPr>
            <w:hyperlink r:id="rId6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47884" w:rsidP="000506FD">
            <w:pPr>
              <w:rPr>
                <w:rStyle w:val="Hyperlink"/>
                <w:color w:val="0000FF"/>
              </w:rPr>
            </w:pPr>
            <w:hyperlink r:id="rId6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47884" w:rsidP="000506FD">
            <w:pPr>
              <w:rPr>
                <w:rStyle w:val="Hyperlink"/>
                <w:color w:val="auto"/>
                <w:u w:val="none"/>
              </w:rPr>
            </w:pPr>
            <w:hyperlink r:id="rId6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47884" w:rsidP="000D6B63">
            <w:pPr>
              <w:rPr>
                <w:rStyle w:val="Hyperlink"/>
                <w:color w:val="auto"/>
                <w:u w:val="none"/>
              </w:rPr>
            </w:pPr>
            <w:hyperlink r:id="rId6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1B8E8" w14:textId="77777777" w:rsidR="00147884" w:rsidRDefault="00147884" w:rsidP="00581A60">
      <w:pPr>
        <w:spacing w:after="0"/>
      </w:pPr>
      <w:r>
        <w:separator/>
      </w:r>
    </w:p>
  </w:endnote>
  <w:endnote w:type="continuationSeparator" w:id="0">
    <w:p w14:paraId="58878ABB" w14:textId="77777777" w:rsidR="00147884" w:rsidRDefault="00147884" w:rsidP="00581A60">
      <w:pPr>
        <w:spacing w:after="0"/>
      </w:pPr>
      <w:r>
        <w:continuationSeparator/>
      </w:r>
    </w:p>
  </w:endnote>
  <w:endnote w:type="continuationNotice" w:id="1">
    <w:p w14:paraId="174D6DDC" w14:textId="77777777" w:rsidR="00147884" w:rsidRDefault="001478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769F" w14:textId="77777777" w:rsidR="00147884" w:rsidRDefault="00147884" w:rsidP="00581A60">
      <w:pPr>
        <w:spacing w:after="0"/>
      </w:pPr>
      <w:r>
        <w:separator/>
      </w:r>
    </w:p>
  </w:footnote>
  <w:footnote w:type="continuationSeparator" w:id="0">
    <w:p w14:paraId="14261A04" w14:textId="77777777" w:rsidR="00147884" w:rsidRDefault="00147884" w:rsidP="00581A60">
      <w:pPr>
        <w:spacing w:after="0"/>
      </w:pPr>
      <w:r>
        <w:continuationSeparator/>
      </w:r>
    </w:p>
  </w:footnote>
  <w:footnote w:type="continuationNotice" w:id="1">
    <w:p w14:paraId="4271F63C" w14:textId="77777777" w:rsidR="00147884" w:rsidRDefault="001478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30"/>
  </w:num>
  <w:num w:numId="12">
    <w:abstractNumId w:val="27"/>
  </w:num>
  <w:num w:numId="13">
    <w:abstractNumId w:val="22"/>
  </w:num>
  <w:num w:numId="14">
    <w:abstractNumId w:val="2"/>
  </w:num>
  <w:num w:numId="15">
    <w:abstractNumId w:val="8"/>
  </w:num>
  <w:num w:numId="16">
    <w:abstractNumId w:val="29"/>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8"/>
  </w:num>
  <w:num w:numId="28">
    <w:abstractNumId w:val="14"/>
  </w:num>
  <w:num w:numId="29">
    <w:abstractNumId w:val="32"/>
  </w:num>
  <w:num w:numId="30">
    <w:abstractNumId w:val="7"/>
  </w:num>
  <w:num w:numId="31">
    <w:abstractNumId w:val="20"/>
  </w:num>
  <w:num w:numId="32">
    <w:abstractNumId w:val="33"/>
  </w:num>
  <w:num w:numId="33">
    <w:abstractNumId w:val="0"/>
  </w:num>
  <w:num w:numId="3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6A9C"/>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1E2D"/>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884"/>
    <w:rsid w:val="00147A58"/>
    <w:rsid w:val="001505DC"/>
    <w:rsid w:val="00150AB2"/>
    <w:rsid w:val="00152056"/>
    <w:rsid w:val="00152830"/>
    <w:rsid w:val="0015294B"/>
    <w:rsid w:val="0015487D"/>
    <w:rsid w:val="00154B28"/>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762"/>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148"/>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18B"/>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245"/>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4C4D"/>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108"/>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82F"/>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578E6"/>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DDC"/>
    <w:rsid w:val="00651E8C"/>
    <w:rsid w:val="00651FA4"/>
    <w:rsid w:val="006531A0"/>
    <w:rsid w:val="00653386"/>
    <w:rsid w:val="006539AA"/>
    <w:rsid w:val="00653BF8"/>
    <w:rsid w:val="00653C60"/>
    <w:rsid w:val="006545B0"/>
    <w:rsid w:val="00654971"/>
    <w:rsid w:val="00656B7A"/>
    <w:rsid w:val="00657D30"/>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9B2"/>
    <w:rsid w:val="00672E57"/>
    <w:rsid w:val="00673303"/>
    <w:rsid w:val="00673E75"/>
    <w:rsid w:val="00674008"/>
    <w:rsid w:val="00674BD0"/>
    <w:rsid w:val="00674FCA"/>
    <w:rsid w:val="00676105"/>
    <w:rsid w:val="00676BE2"/>
    <w:rsid w:val="0067720F"/>
    <w:rsid w:val="0067762B"/>
    <w:rsid w:val="00677A18"/>
    <w:rsid w:val="00680D00"/>
    <w:rsid w:val="0068191E"/>
    <w:rsid w:val="0068267A"/>
    <w:rsid w:val="00683492"/>
    <w:rsid w:val="00684D7D"/>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702"/>
    <w:rsid w:val="00696774"/>
    <w:rsid w:val="00697720"/>
    <w:rsid w:val="006A0C06"/>
    <w:rsid w:val="006A0EB3"/>
    <w:rsid w:val="006A1235"/>
    <w:rsid w:val="006A1493"/>
    <w:rsid w:val="006A277B"/>
    <w:rsid w:val="006A27B2"/>
    <w:rsid w:val="006A3CB3"/>
    <w:rsid w:val="006A4A31"/>
    <w:rsid w:val="006A53AF"/>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042"/>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E7086"/>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0B7"/>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829"/>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755A"/>
    <w:rsid w:val="0093025C"/>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4CF7"/>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B77E0"/>
    <w:rsid w:val="00AC07F5"/>
    <w:rsid w:val="00AC112C"/>
    <w:rsid w:val="00AC1196"/>
    <w:rsid w:val="00AC2B04"/>
    <w:rsid w:val="00AC3C6A"/>
    <w:rsid w:val="00AC45EE"/>
    <w:rsid w:val="00AC4FD1"/>
    <w:rsid w:val="00AC559B"/>
    <w:rsid w:val="00AC5911"/>
    <w:rsid w:val="00AC5F05"/>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C37"/>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5D4"/>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4C8"/>
    <w:rsid w:val="00C045C8"/>
    <w:rsid w:val="00C05110"/>
    <w:rsid w:val="00C05B34"/>
    <w:rsid w:val="00C064BA"/>
    <w:rsid w:val="00C0742A"/>
    <w:rsid w:val="00C07749"/>
    <w:rsid w:val="00C07D68"/>
    <w:rsid w:val="00C07DBF"/>
    <w:rsid w:val="00C1018A"/>
    <w:rsid w:val="00C11078"/>
    <w:rsid w:val="00C11C5F"/>
    <w:rsid w:val="00C11D6A"/>
    <w:rsid w:val="00C1212C"/>
    <w:rsid w:val="00C12586"/>
    <w:rsid w:val="00C12788"/>
    <w:rsid w:val="00C127F5"/>
    <w:rsid w:val="00C12D04"/>
    <w:rsid w:val="00C12DB5"/>
    <w:rsid w:val="00C12DEB"/>
    <w:rsid w:val="00C132CD"/>
    <w:rsid w:val="00C13F1C"/>
    <w:rsid w:val="00C14B04"/>
    <w:rsid w:val="00C150E5"/>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C84"/>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2F5E"/>
    <w:rsid w:val="00D6344C"/>
    <w:rsid w:val="00D63616"/>
    <w:rsid w:val="00D6384D"/>
    <w:rsid w:val="00D63AEA"/>
    <w:rsid w:val="00D63ED8"/>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77F2E"/>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4A0B"/>
    <w:rsid w:val="00DA502C"/>
    <w:rsid w:val="00DA50EB"/>
    <w:rsid w:val="00DA5F85"/>
    <w:rsid w:val="00DA5F95"/>
    <w:rsid w:val="00DA74BC"/>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4FF4"/>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22E"/>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36A8A"/>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5727"/>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D10"/>
    <w:rsid w:val="00FC4DD1"/>
    <w:rsid w:val="00FC4E29"/>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 w:type="character" w:styleId="UnresolvedMention">
    <w:name w:val="Unresolved Mention"/>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668.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7887.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Inbox/drafts/8.6/EvaluationResults/RedCapCost/RedCapCost-v023-FL-HWHiSi02.xlsx"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1.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 Id="rId20" Type="http://schemas.openxmlformats.org/officeDocument/2006/relationships/hyperlink" Target="https://www.3gpp.org/ftp/tsg_ran/WG1_RL1/TSGR1_103-e/Docs/R1-200883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3-FL-HWHiSi02.xlsx" TargetMode="External"/><Relationship Id="rId39" Type="http://schemas.openxmlformats.org/officeDocument/2006/relationships/hyperlink" Target="https://www.3gpp.org/ftp/TSG_RAN/WG1_RL1/TSGR1_103-e/Docs/R1-20088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1822C5-5CFA-4B57-A867-49D6C008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74</Pages>
  <Words>28686</Words>
  <Characters>152039</Characters>
  <Application>Microsoft Office Word</Application>
  <DocSecurity>0</DocSecurity>
  <Lines>1266</Lines>
  <Paragraphs>360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180365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16</cp:revision>
  <dcterms:created xsi:type="dcterms:W3CDTF">2020-10-28T13:19:00Z</dcterms:created>
  <dcterms:modified xsi:type="dcterms:W3CDTF">2020-10-28T13:40:00Z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fmtid="{D5CDD505-2E9C-101B-9397-08002B2CF9AE}" pid="13" name="CWM7606f88c26724c8b8c7fb8983f788a97">
    <vt:lpwstr>CWM1VlvmzW4R4n2c3qNKiTqDnKfeueHHsS35f+i/IfOpebP/jjwdXx6jcUD7qs1IT0botMPzmtQpmHVWi3+V3/urA==</vt:lpwstr>
  </property>
</Properties>
</file>