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rsidR="00166733" w:rsidRDefault="00166733">
      <w:pPr>
        <w:spacing w:after="0"/>
        <w:ind w:left="1988" w:hanging="1988"/>
        <w:jc w:val="both"/>
        <w:rPr>
          <w:rFonts w:ascii="Arial" w:hAnsi="Arial" w:cs="Arial"/>
          <w:b/>
          <w:sz w:val="24"/>
        </w:rPr>
      </w:pPr>
    </w:p>
    <w:p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66733" w:rsidRDefault="00166733">
      <w:pPr>
        <w:spacing w:after="0"/>
        <w:ind w:left="2388" w:hangingChars="995" w:hanging="2388"/>
        <w:jc w:val="both"/>
        <w:rPr>
          <w:sz w:val="24"/>
        </w:rPr>
      </w:pPr>
    </w:p>
    <w:p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rsidR="00166733" w:rsidRDefault="00CC298C">
      <w:pPr>
        <w:pStyle w:val="Heading2"/>
        <w:rPr>
          <w:lang w:eastAsia="zh-CN"/>
        </w:rPr>
      </w:pPr>
      <w:r>
        <w:rPr>
          <w:lang w:eastAsia="zh-CN"/>
        </w:rPr>
        <w:t>2.1 Numerology (SCS and CP Length)</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highlight w:val="yellow"/>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166733" w:rsidRDefault="00166733">
      <w:pPr>
        <w:spacing w:line="256" w:lineRule="auto"/>
        <w:rPr>
          <w:lang w:eastAsia="zh-CN"/>
        </w:rPr>
      </w:pPr>
    </w:p>
    <w:p w:rsidR="00166733" w:rsidRDefault="00166733">
      <w:pPr>
        <w:spacing w:line="256" w:lineRule="auto"/>
        <w:rPr>
          <w:lang w:eastAsia="zh-CN"/>
        </w:rPr>
      </w:pPr>
    </w:p>
    <w:p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implementation ,</w:t>
            </w:r>
            <w:proofErr w:type="gramEnd"/>
            <w:r>
              <w:rPr>
                <w:lang w:val="sv-SE" w:eastAsia="zh-CN"/>
              </w:rPr>
              <w:t xml:space="preserve">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rsidR="00166733" w:rsidRDefault="00CC298C">
            <w:pPr>
              <w:overflowPunct/>
              <w:autoSpaceDE/>
              <w:adjustRightInd/>
              <w:spacing w:after="0"/>
              <w:rPr>
                <w:lang w:val="sv-SE" w:eastAsia="zh-CN"/>
              </w:rPr>
            </w:pPr>
            <w:proofErr w:type="spellStart"/>
            <w:r>
              <w:rPr>
                <w:lang w:val="sv-SE" w:eastAsia="zh-CN"/>
              </w:rPr>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proofErr w:type="gramStart"/>
            <w:r>
              <w:rPr>
                <w:lang w:val="sv-SE" w:eastAsia="zh-CN"/>
              </w:rPr>
              <w:t>with</w:t>
            </w:r>
            <w:proofErr w:type="spellEnd"/>
            <w:r>
              <w:rPr>
                <w:lang w:val="sv-SE" w:eastAsia="zh-CN"/>
              </w:rPr>
              <w:t xml:space="preserve">  a</w:t>
            </w:r>
            <w:proofErr w:type="gramEnd"/>
            <w:r>
              <w:rPr>
                <w:lang w:val="sv-SE" w:eastAsia="zh-CN"/>
              </w:rPr>
              <w:t xml:space="preserve">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w:t>
            </w:r>
            <w:proofErr w:type="gramStart"/>
            <w:r>
              <w:rPr>
                <w:rFonts w:eastAsiaTheme="minorEastAsia"/>
                <w:lang w:val="sv-SE" w:eastAsia="ko-KR"/>
              </w:rPr>
              <w:t>and maximum</w:t>
            </w:r>
            <w:proofErr w:type="gram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gramStart"/>
            <w:r>
              <w:rPr>
                <w:rFonts w:eastAsia="MS Mincho"/>
                <w:lang w:val="sv-SE" w:eastAsia="ja-JP"/>
              </w:rPr>
              <w:t>is at</w:t>
            </w:r>
            <w:proofErr w:type="gramEnd"/>
            <w:r>
              <w:rPr>
                <w:rFonts w:eastAsia="MS Mincho"/>
                <w:lang w:val="sv-SE" w:eastAsia="ja-JP"/>
              </w:rPr>
              <w:t xml:space="preserve">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2A25" w:rsidRDefault="00172A25" w:rsidP="00172A25">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5F69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6E" w:rsidRDefault="005F696E" w:rsidP="001B1211">
            <w:pPr>
              <w:spacing w:after="0"/>
              <w:rPr>
                <w:rFonts w:hint="eastAsia"/>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5F696E" w:rsidRDefault="005F696E" w:rsidP="001B1211">
            <w:pPr>
              <w:overflowPunct/>
              <w:autoSpaceDE/>
              <w:adjustRightInd/>
              <w:spacing w:after="0"/>
              <w:rPr>
                <w:lang w:eastAsia="zh-CN"/>
              </w:rPr>
            </w:pPr>
            <w:r>
              <w:rPr>
                <w:lang w:eastAsia="zh-CN"/>
              </w:rPr>
              <w:t xml:space="preserve">The choice of numerology should be based on factors such as performance, implementation complexity and specification impact. </w:t>
            </w:r>
            <w:r w:rsidR="0094036C">
              <w:rPr>
                <w:lang w:eastAsia="zh-CN"/>
              </w:rPr>
              <w:t>T</w:t>
            </w:r>
            <w:r>
              <w:rPr>
                <w:lang w:eastAsia="zh-CN"/>
              </w:rPr>
              <w:t xml:space="preserve">wo SCSs </w:t>
            </w:r>
            <w:r w:rsidR="0094036C">
              <w:rPr>
                <w:lang w:eastAsia="zh-CN"/>
              </w:rPr>
              <w:t>can</w:t>
            </w:r>
            <w:r>
              <w:rPr>
                <w:lang w:eastAsia="zh-CN"/>
              </w:rPr>
              <w:t xml:space="preserve"> be supported with 1 new SCS specified </w:t>
            </w:r>
            <w:proofErr w:type="spellStart"/>
            <w:r>
              <w:rPr>
                <w:lang w:eastAsia="zh-CN"/>
              </w:rPr>
              <w:t>e.g.</w:t>
            </w:r>
            <w:proofErr w:type="spellEnd"/>
            <w:r>
              <w:rPr>
                <w:lang w:eastAsia="zh-CN"/>
              </w:rPr>
              <w:t xml:space="preserve"> 480 kHz</w:t>
            </w:r>
            <w:r w:rsidR="0094036C">
              <w:rPr>
                <w:lang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specification impacts of numerologies:</w:t>
      </w:r>
    </w:p>
    <w:p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tc>
                <w:tcPr>
                  <w:tcW w:w="1714" w:type="dxa"/>
                </w:tcPr>
                <w:p w:rsidR="00166733" w:rsidRDefault="00166733">
                  <w:pPr>
                    <w:overflowPunct/>
                    <w:autoSpaceDE/>
                    <w:adjustRightInd/>
                    <w:spacing w:after="0" w:line="280" w:lineRule="atLeast"/>
                    <w:rPr>
                      <w:lang w:val="sv-SE" w:eastAsia="zh-CN"/>
                    </w:rPr>
                  </w:pP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w:t>
                  </w:r>
                  <w:r>
                    <w:rPr>
                      <w:lang w:eastAsia="zh-CN"/>
                    </w:rPr>
                    <w:lastRenderedPageBreak/>
                    <w:t>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w:t>
                  </w:r>
                  <w:r>
                    <w:rPr>
                      <w:lang w:eastAsia="zh-CN"/>
                    </w:rPr>
                    <w:lastRenderedPageBreak/>
                    <w:t>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w:t>
                  </w:r>
                  <w:r>
                    <w:rPr>
                      <w:lang w:eastAsia="zh-CN"/>
                    </w:rPr>
                    <w:lastRenderedPageBreak/>
                    <w:t>supported in 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w:t>
                  </w:r>
                  <w:r>
                    <w:rPr>
                      <w:lang w:eastAsia="zh-CN"/>
                    </w:rPr>
                    <w:lastRenderedPageBreak/>
                    <w:t>supported in Rel-15/16.</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lastRenderedPageBreak/>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rsidR="00166733" w:rsidRDefault="00CC298C">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rsidR="00166733" w:rsidRDefault="00CC298C">
                  <w:pPr>
                    <w:overflowPunct/>
                    <w:autoSpaceDE/>
                    <w:adjustRightInd/>
                    <w:spacing w:after="0" w:line="280" w:lineRule="atLeast"/>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rsidR="00166733" w:rsidRDefault="00CC298C">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5F0FC1">
                    <w:rPr>
                      <w:rFonts w:ascii="Times New Roman" w:hAnsi="Times New Roman"/>
                      <w:noProof/>
                      <w:position w:val="-12"/>
                    </w:rPr>
                    <w:object w:dxaOrig="240"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pt;height:18.15pt;mso-width-percent:0;mso-height-percent:0;mso-width-percent:0;mso-height-percent:0" o:ole="">
                        <v:imagedata r:id="rId15" o:title=""/>
                      </v:shape>
                      <o:OLEObject Type="Embed" ProgID="Equation.3" ShapeID="_x0000_i1026" DrawAspect="Content" ObjectID="_1665368301" r:id="rId16"/>
                    </w:object>
                  </w:r>
                  <w:r>
                    <w:t xml:space="preserve">should be updated since it is defined as </w:t>
                  </w:r>
                  <w:r w:rsidR="005F0FC1">
                    <w:rPr>
                      <w:rFonts w:ascii="Times New Roman" w:hAnsi="Times New Roman"/>
                      <w:noProof/>
                      <w:position w:val="-12"/>
                    </w:rPr>
                    <w:object w:dxaOrig="1750" w:dyaOrig="360">
                      <v:shape id="_x0000_i1025" type="#_x0000_t75" alt="" style="width:86.75pt;height:18.15pt;mso-width-percent:0;mso-height-percent:0;mso-width-percent:0;mso-height-percent:0" o:ole="">
                        <v:imagedata r:id="rId17" o:title=""/>
                      </v:shape>
                      <o:OLEObject Type="Embed" ProgID="Equation.3" ShapeID="_x0000_i1025" DrawAspect="Content" ObjectID="_166536830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rsidR="00166733" w:rsidRDefault="00166733">
            <w:pPr>
              <w:overflowPunct/>
              <w:autoSpaceDE/>
              <w:adjustRightInd/>
              <w:spacing w:after="0"/>
              <w:rPr>
                <w:lang w:val="sv-SE" w:eastAsia="zh-CN"/>
              </w:rPr>
            </w:pP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gramStart"/>
            <w:r>
              <w:rPr>
                <w:rFonts w:eastAsiaTheme="minorEastAsia"/>
                <w:lang w:val="sv-SE" w:eastAsia="ko-KR"/>
              </w:rPr>
              <w:t>and timing</w:t>
            </w:r>
            <w:proofErr w:type="gramEnd"/>
            <w:r>
              <w:rPr>
                <w:rFonts w:eastAsiaTheme="minorEastAsia"/>
                <w:lang w:val="sv-SE" w:eastAsia="ko-KR"/>
              </w:rPr>
              <w:t xml:space="preserve">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rsidR="00166733" w:rsidRDefault="00166733">
            <w:pPr>
              <w:overflowPunct/>
              <w:autoSpaceDE/>
              <w:adjustRightInd/>
              <w:spacing w:after="0"/>
              <w:rPr>
                <w:lang w:eastAsia="zh-CN"/>
              </w:rPr>
            </w:pPr>
          </w:p>
          <w:p w:rsidR="00166733" w:rsidRDefault="00166733">
            <w:pPr>
              <w:overflowPunct/>
              <w:autoSpaceDE/>
              <w:adjustRightInd/>
              <w:spacing w:after="0"/>
              <w:rPr>
                <w:lang w:eastAsia="zh-CN"/>
              </w:rPr>
            </w:pP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w:t>
            </w:r>
            <w:proofErr w:type="gramStart"/>
            <w:r>
              <w:rPr>
                <w:rFonts w:eastAsia="MS Mincho"/>
                <w:lang w:val="sv-SE" w:eastAsia="ja-JP"/>
              </w:rPr>
              <w:t>meeting and</w:t>
            </w:r>
            <w:proofErr w:type="gramEnd"/>
            <w:r>
              <w:rPr>
                <w:rFonts w:eastAsia="MS Mincho"/>
                <w:lang w:val="sv-SE" w:eastAsia="ja-JP"/>
              </w:rPr>
              <w:t xml:space="preserve">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rsidR="00166733" w:rsidRDefault="00CC298C">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rsidR="00166733" w:rsidRDefault="00CC298C">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rsidR="00166733" w:rsidRDefault="00CC298C">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F696E">
                                    <w:tc>
                                      <w:tcPr>
                                        <w:tcW w:w="1129" w:type="dxa"/>
                                      </w:tcPr>
                                      <w:p w:rsidR="005F696E" w:rsidRDefault="005F696E">
                                        <w:pPr>
                                          <w:spacing w:line="280" w:lineRule="atLeast"/>
                                          <w:rPr>
                                            <w:lang w:val="sv-SE"/>
                                          </w:rPr>
                                        </w:pPr>
                                        <w:r>
                                          <w:rPr>
                                            <w:lang w:val="sv-SE"/>
                                          </w:rPr>
                                          <w:t>SCS</w:t>
                                        </w:r>
                                      </w:p>
                                    </w:tc>
                                    <w:tc>
                                      <w:tcPr>
                                        <w:tcW w:w="6946" w:type="dxa"/>
                                      </w:tcPr>
                                      <w:p w:rsidR="005F696E" w:rsidRDefault="005F696E">
                                        <w:pPr>
                                          <w:spacing w:line="280" w:lineRule="atLeast"/>
                                          <w:rPr>
                                            <w:lang w:val="sv-SE"/>
                                          </w:rPr>
                                        </w:pPr>
                                        <w:r>
                                          <w:rPr>
                                            <w:lang w:val="sv-SE"/>
                                          </w:rPr>
                                          <w:t xml:space="preserve">PHY </w:t>
                                        </w:r>
                                        <w:proofErr w:type="spellStart"/>
                                        <w:r>
                                          <w:rPr>
                                            <w:lang w:val="sv-SE"/>
                                          </w:rPr>
                                          <w:t>impact</w:t>
                                        </w:r>
                                        <w:proofErr w:type="spellEnd"/>
                                        <w:r>
                                          <w:rPr>
                                            <w:lang w:val="sv-SE"/>
                                          </w:rPr>
                                          <w:t xml:space="preserve">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common </w:t>
                                        </w:r>
                                        <w:proofErr w:type="spellStart"/>
                                        <w:r>
                                          <w:rPr>
                                            <w:lang w:val="sv-SE"/>
                                          </w:rPr>
                                          <w:t>impact</w:t>
                                        </w:r>
                                        <w:proofErr w:type="spellEnd"/>
                                        <w:r>
                                          <w:rPr>
                                            <w:lang w:val="sv-SE"/>
                                          </w:rPr>
                                          <w:t xml:space="preserve"> for </w:t>
                                        </w:r>
                                        <w:proofErr w:type="spellStart"/>
                                        <w:r>
                                          <w:rPr>
                                            <w:lang w:val="sv-SE"/>
                                          </w:rPr>
                                          <w:t>unlicensed</w:t>
                                        </w:r>
                                        <w:proofErr w:type="spellEnd"/>
                                        <w:r>
                                          <w:rPr>
                                            <w:lang w:val="sv-SE"/>
                                          </w:rPr>
                                          <w:t xml:space="preserve"> support)</w:t>
                                        </w:r>
                                      </w:p>
                                    </w:tc>
                                  </w:tr>
                                  <w:tr w:rsidR="005F696E">
                                    <w:tc>
                                      <w:tcPr>
                                        <w:tcW w:w="1129" w:type="dxa"/>
                                      </w:tcPr>
                                      <w:p w:rsidR="005F696E" w:rsidRDefault="005F696E">
                                        <w:pPr>
                                          <w:spacing w:line="280" w:lineRule="atLeast"/>
                                          <w:rPr>
                                            <w:lang w:val="sv-SE"/>
                                          </w:rPr>
                                        </w:pPr>
                                        <w:r>
                                          <w:rPr>
                                            <w:rFonts w:hint="eastAsia"/>
                                            <w:lang w:val="sv-SE"/>
                                          </w:rPr>
                                          <w:t>120 kHz</w:t>
                                        </w:r>
                                      </w:p>
                                    </w:tc>
                                    <w:tc>
                                      <w:tcPr>
                                        <w:tcW w:w="6946" w:type="dxa"/>
                                      </w:tcPr>
                                      <w:p w:rsidR="005F696E" w:rsidRDefault="005F696E">
                                        <w:pPr>
                                          <w:spacing w:before="0" w:after="0" w:line="240" w:lineRule="auto"/>
                                          <w:rPr>
                                            <w:rFonts w:ascii="Calibri" w:hAnsi="Calibri" w:cs="Calibri"/>
                                            <w:sz w:val="18"/>
                                            <w:szCs w:val="18"/>
                                            <w:lang w:val="sv-SE"/>
                                          </w:rPr>
                                        </w:pPr>
                                        <w:r>
                                          <w:rPr>
                                            <w:sz w:val="18"/>
                                            <w:szCs w:val="18"/>
                                            <w:lang w:val="sv-SE"/>
                                          </w:rPr>
                                          <w:t xml:space="preserve">- PTRS for CP-OFDM: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w:t>
                                        </w:r>
                                        <w:proofErr w:type="spellStart"/>
                                        <w:r>
                                          <w:rPr>
                                            <w:sz w:val="18"/>
                                            <w:szCs w:val="18"/>
                                            <w:lang w:val="sv-SE"/>
                                          </w:rPr>
                                          <w:t>higher</w:t>
                                        </w:r>
                                        <w:proofErr w:type="spellEnd"/>
                                        <w:r>
                                          <w:rPr>
                                            <w:sz w:val="18"/>
                                            <w:szCs w:val="18"/>
                                            <w:lang w:val="sv-SE"/>
                                          </w:rPr>
                                          <w:t xml:space="preserve"> </w:t>
                                        </w:r>
                                        <w:proofErr w:type="spellStart"/>
                                        <w:r>
                                          <w:rPr>
                                            <w:sz w:val="18"/>
                                            <w:szCs w:val="18"/>
                                            <w:lang w:val="sv-SE"/>
                                          </w:rPr>
                                          <w:t>density</w:t>
                                        </w:r>
                                        <w:proofErr w:type="spellEnd"/>
                                        <w:r>
                                          <w:rPr>
                                            <w:sz w:val="18"/>
                                            <w:szCs w:val="18"/>
                                            <w:lang w:val="sv-SE"/>
                                          </w:rPr>
                                          <w:t xml:space="preserve"> PTRS or new PTRS </w:t>
                                        </w:r>
                                        <w:proofErr w:type="spellStart"/>
                                        <w:r>
                                          <w:rPr>
                                            <w:sz w:val="18"/>
                                            <w:szCs w:val="18"/>
                                            <w:lang w:val="sv-SE"/>
                                          </w:rPr>
                                          <w:t>patterns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block-PTRS)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PTRS for DFT-s-OFDM: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new PTRS </w:t>
                                        </w:r>
                                        <w:proofErr w:type="spellStart"/>
                                        <w:r>
                                          <w:rPr>
                                            <w:sz w:val="18"/>
                                            <w:szCs w:val="18"/>
                                            <w:lang w:val="sv-SE"/>
                                          </w:rPr>
                                          <w:t>pattern</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more</w:t>
                                        </w:r>
                                        <w:proofErr w:type="spellEnd"/>
                                        <w:r>
                                          <w:rPr>
                                            <w:sz w:val="18"/>
                                            <w:szCs w:val="18"/>
                                            <w:lang w:val="sv-SE"/>
                                          </w:rPr>
                                          <w:t xml:space="preserve"> PTRS </w:t>
                                        </w:r>
                                        <w:proofErr w:type="spellStart"/>
                                        <w:r>
                                          <w:rPr>
                                            <w:sz w:val="18"/>
                                            <w:szCs w:val="18"/>
                                            <w:lang w:val="sv-SE"/>
                                          </w:rPr>
                                          <w:t>groups</w:t>
                                        </w:r>
                                        <w:proofErr w:type="spellEnd"/>
                                        <w:r>
                                          <w:rPr>
                                            <w:sz w:val="18"/>
                                            <w:szCs w:val="18"/>
                                            <w:lang w:val="sv-SE"/>
                                          </w:rPr>
                                          <w:t xml:space="preserve"> </w:t>
                                        </w:r>
                                        <w:proofErr w:type="spellStart"/>
                                        <w:r>
                                          <w:rPr>
                                            <w:sz w:val="18"/>
                                            <w:szCs w:val="18"/>
                                            <w:lang w:val="sv-SE"/>
                                          </w:rPr>
                                          <w:t>within</w:t>
                                        </w:r>
                                        <w:proofErr w:type="spellEnd"/>
                                        <w:r>
                                          <w:rPr>
                                            <w:sz w:val="18"/>
                                            <w:szCs w:val="18"/>
                                            <w:lang w:val="sv-SE"/>
                                          </w:rPr>
                                          <w:t xml:space="preserve"> </w:t>
                                        </w:r>
                                        <w:proofErr w:type="spellStart"/>
                                        <w:r>
                                          <w:rPr>
                                            <w:sz w:val="18"/>
                                            <w:szCs w:val="18"/>
                                            <w:lang w:val="sv-SE"/>
                                          </w:rPr>
                                          <w:t>one</w:t>
                                        </w:r>
                                        <w:proofErr w:type="spellEnd"/>
                                        <w:r>
                                          <w:rPr>
                                            <w:sz w:val="18"/>
                                            <w:szCs w:val="18"/>
                                            <w:lang w:val="sv-SE"/>
                                          </w:rPr>
                                          <w:t xml:space="preserve"> DFT-s-OFDM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For </w:t>
                                        </w:r>
                                        <w:proofErr w:type="spellStart"/>
                                        <w:r>
                                          <w:rPr>
                                            <w:sz w:val="18"/>
                                            <w:szCs w:val="18"/>
                                            <w:lang w:val="sv-SE"/>
                                          </w:rPr>
                                          <w:t>unlicensed</w:t>
                                        </w:r>
                                        <w:proofErr w:type="spellEnd"/>
                                        <w:r>
                                          <w:rPr>
                                            <w:sz w:val="18"/>
                                            <w:szCs w:val="18"/>
                                            <w:lang w:val="sv-SE"/>
                                          </w:rPr>
                                          <w:t xml:space="preserve">: PRACH ZC </w:t>
                                        </w:r>
                                        <w:proofErr w:type="spellStart"/>
                                        <w:r>
                                          <w:rPr>
                                            <w:sz w:val="18"/>
                                            <w:szCs w:val="18"/>
                                            <w:lang w:val="sv-SE"/>
                                          </w:rPr>
                                          <w:t>lengths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571 and 1151 </w:t>
                                        </w:r>
                                        <w:proofErr w:type="spellStart"/>
                                        <w:r>
                                          <w:rPr>
                                            <w:sz w:val="18"/>
                                            <w:szCs w:val="18"/>
                                            <w:lang w:val="sv-SE"/>
                                          </w:rPr>
                                          <w:t>may</w:t>
                                        </w:r>
                                        <w:proofErr w:type="spellEnd"/>
                                        <w:r>
                                          <w:rPr>
                                            <w:sz w:val="18"/>
                                            <w:szCs w:val="18"/>
                                            <w:lang w:val="sv-SE"/>
                                          </w:rPr>
                                          <w:t xml:space="preserve"> be </w:t>
                                        </w:r>
                                        <w:proofErr w:type="spellStart"/>
                                        <w:r>
                                          <w:rPr>
                                            <w:sz w:val="18"/>
                                            <w:szCs w:val="18"/>
                                            <w:lang w:val="sv-SE"/>
                                          </w:rPr>
                                          <w:t>considered</w:t>
                                        </w:r>
                                        <w:proofErr w:type="spellEnd"/>
                                      </w:p>
                                    </w:tc>
                                  </w:tr>
                                  <w:tr w:rsidR="005F696E">
                                    <w:tc>
                                      <w:tcPr>
                                        <w:tcW w:w="1129" w:type="dxa"/>
                                      </w:tcPr>
                                      <w:p w:rsidR="005F696E" w:rsidRDefault="005F696E">
                                        <w:pPr>
                                          <w:spacing w:line="280" w:lineRule="atLeast"/>
                                          <w:rPr>
                                            <w:lang w:val="sv-SE"/>
                                          </w:rPr>
                                        </w:pPr>
                                        <w:r>
                                          <w:rPr>
                                            <w:rFonts w:hint="eastAsia"/>
                                            <w:lang w:val="sv-SE"/>
                                          </w:rPr>
                                          <w:t>240 kHz</w:t>
                                        </w:r>
                                      </w:p>
                                    </w:tc>
                                    <w:tc>
                                      <w:tcPr>
                                        <w:tcW w:w="6946" w:type="dxa"/>
                                      </w:tcPr>
                                      <w:p w:rsidR="005F696E" w:rsidRDefault="005F696E">
                                        <w:pPr>
                                          <w:spacing w:before="0" w:after="0" w:line="240" w:lineRule="auto"/>
                                          <w:rPr>
                                            <w:sz w:val="18"/>
                                            <w:szCs w:val="18"/>
                                            <w:lang w:val="sv-SE"/>
                                          </w:rPr>
                                        </w:pPr>
                                        <w:r>
                                          <w:rPr>
                                            <w:sz w:val="18"/>
                                            <w:szCs w:val="18"/>
                                            <w:lang w:val="sv-SE"/>
                                          </w:rPr>
                                          <w:t xml:space="preserve">- PTRS for CP-OFDM: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w:t>
                                        </w:r>
                                        <w:proofErr w:type="spellStart"/>
                                        <w:r>
                                          <w:rPr>
                                            <w:sz w:val="18"/>
                                            <w:szCs w:val="18"/>
                                            <w:lang w:val="sv-SE"/>
                                          </w:rPr>
                                          <w:t>higher</w:t>
                                        </w:r>
                                        <w:proofErr w:type="spellEnd"/>
                                        <w:r>
                                          <w:rPr>
                                            <w:sz w:val="18"/>
                                            <w:szCs w:val="18"/>
                                            <w:lang w:val="sv-SE"/>
                                          </w:rPr>
                                          <w:t xml:space="preserve"> </w:t>
                                        </w:r>
                                        <w:proofErr w:type="spellStart"/>
                                        <w:r>
                                          <w:rPr>
                                            <w:sz w:val="18"/>
                                            <w:szCs w:val="18"/>
                                            <w:lang w:val="sv-SE"/>
                                          </w:rPr>
                                          <w:t>density</w:t>
                                        </w:r>
                                        <w:proofErr w:type="spellEnd"/>
                                        <w:r>
                                          <w:rPr>
                                            <w:sz w:val="18"/>
                                            <w:szCs w:val="18"/>
                                            <w:lang w:val="sv-SE"/>
                                          </w:rPr>
                                          <w:t xml:space="preserve"> PTRS or new PTRS </w:t>
                                        </w:r>
                                        <w:proofErr w:type="spellStart"/>
                                        <w:r>
                                          <w:rPr>
                                            <w:sz w:val="18"/>
                                            <w:szCs w:val="18"/>
                                            <w:lang w:val="sv-SE"/>
                                          </w:rPr>
                                          <w:t>patterns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block-PTRS)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p w:rsidR="005F696E" w:rsidRDefault="005F696E">
                                        <w:pPr>
                                          <w:spacing w:before="0" w:after="0" w:line="240" w:lineRule="auto"/>
                                          <w:rPr>
                                            <w:sz w:val="18"/>
                                            <w:szCs w:val="18"/>
                                            <w:lang w:val="sv-SE"/>
                                          </w:rPr>
                                        </w:pPr>
                                        <w:r>
                                          <w:rPr>
                                            <w:sz w:val="18"/>
                                            <w:szCs w:val="18"/>
                                          </w:rPr>
                                          <w:t>- HARQ process</w:t>
                                        </w:r>
                                      </w:p>
                                    </w:tc>
                                  </w:tr>
                                  <w:tr w:rsidR="005F696E">
                                    <w:tc>
                                      <w:tcPr>
                                        <w:tcW w:w="1129" w:type="dxa"/>
                                      </w:tcPr>
                                      <w:p w:rsidR="005F696E" w:rsidRDefault="005F696E">
                                        <w:pPr>
                                          <w:spacing w:line="280" w:lineRule="atLeast"/>
                                          <w:rPr>
                                            <w:lang w:val="sv-SE"/>
                                          </w:rPr>
                                        </w:pPr>
                                        <w:r>
                                          <w:rPr>
                                            <w:rFonts w:hint="eastAsia"/>
                                            <w:lang w:val="sv-SE"/>
                                          </w:rPr>
                                          <w:t>480 k</w:t>
                                        </w:r>
                                        <w:r>
                                          <w:rPr>
                                            <w:lang w:val="sv-SE"/>
                                          </w:rPr>
                                          <w:t>Hz</w:t>
                                        </w:r>
                                      </w:p>
                                    </w:tc>
                                    <w:tc>
                                      <w:tcPr>
                                        <w:tcW w:w="6946" w:type="dxa"/>
                                      </w:tcPr>
                                      <w:p w:rsidR="005F696E" w:rsidRDefault="005F696E">
                                        <w:pPr>
                                          <w:spacing w:before="0" w:after="0" w:line="240" w:lineRule="auto"/>
                                          <w:rPr>
                                            <w:sz w:val="18"/>
                                            <w:szCs w:val="18"/>
                                            <w:lang w:val="sv-SE"/>
                                          </w:rPr>
                                        </w:pPr>
                                        <w:r>
                                          <w:rPr>
                                            <w:sz w:val="18"/>
                                            <w:szCs w:val="18"/>
                                            <w:lang w:val="sv-SE"/>
                                          </w:rPr>
                                          <w:t xml:space="preserve">- ECP is </w:t>
                                        </w:r>
                                        <w:proofErr w:type="spellStart"/>
                                        <w:r>
                                          <w:rPr>
                                            <w:sz w:val="18"/>
                                            <w:szCs w:val="18"/>
                                            <w:lang w:val="sv-SE"/>
                                          </w:rPr>
                                          <w:t>needed</w:t>
                                        </w:r>
                                        <w:proofErr w:type="spellEnd"/>
                                        <w:r>
                                          <w:rPr>
                                            <w:sz w:val="18"/>
                                            <w:szCs w:val="18"/>
                                            <w:lang w:val="sv-SE"/>
                                          </w:rPr>
                                          <w:t xml:space="preserve"> to </w:t>
                                        </w:r>
                                        <w:proofErr w:type="spellStart"/>
                                        <w:r>
                                          <w:rPr>
                                            <w:sz w:val="18"/>
                                            <w:szCs w:val="18"/>
                                            <w:lang w:val="sv-SE"/>
                                          </w:rPr>
                                          <w:t>account</w:t>
                                        </w:r>
                                        <w:proofErr w:type="spellEnd"/>
                                        <w:r>
                                          <w:rPr>
                                            <w:sz w:val="18"/>
                                            <w:szCs w:val="18"/>
                                            <w:lang w:val="sv-SE"/>
                                          </w:rPr>
                                          <w:t xml:space="preserve"> for the </w:t>
                                        </w:r>
                                        <w:proofErr w:type="spellStart"/>
                                        <w:r>
                                          <w:rPr>
                                            <w:sz w:val="18"/>
                                            <w:szCs w:val="18"/>
                                            <w:lang w:val="sv-SE"/>
                                          </w:rPr>
                                          <w:t>combined</w:t>
                                        </w:r>
                                        <w:proofErr w:type="spellEnd"/>
                                        <w:r>
                                          <w:rPr>
                                            <w:sz w:val="18"/>
                                            <w:szCs w:val="18"/>
                                            <w:lang w:val="sv-SE"/>
                                          </w:rPr>
                                          <w:t xml:space="preserve"> </w:t>
                                        </w:r>
                                        <w:proofErr w:type="spellStart"/>
                                        <w:r>
                                          <w:rPr>
                                            <w:sz w:val="18"/>
                                            <w:szCs w:val="18"/>
                                            <w:lang w:val="sv-SE"/>
                                          </w:rPr>
                                          <w:t>effect</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w:t>
                                        </w:r>
                                        <w:proofErr w:type="spellStart"/>
                                        <w:r>
                                          <w:rPr>
                                            <w:sz w:val="18"/>
                                            <w:szCs w:val="18"/>
                                            <w:lang w:val="sv-SE"/>
                                          </w:rPr>
                                          <w:t>some</w:t>
                                        </w:r>
                                        <w:proofErr w:type="spellEnd"/>
                                        <w:r>
                                          <w:rPr>
                                            <w:sz w:val="18"/>
                                            <w:szCs w:val="18"/>
                                            <w:lang w:val="sv-SE"/>
                                          </w:rPr>
                                          <w:t xml:space="preserve"> or all </w:t>
                                        </w:r>
                                        <w:proofErr w:type="spellStart"/>
                                        <w:r>
                                          <w:rPr>
                                            <w:sz w:val="18"/>
                                            <w:szCs w:val="18"/>
                                            <w:lang w:val="sv-SE"/>
                                          </w:rPr>
                                          <w:t>of</w:t>
                                        </w:r>
                                        <w:proofErr w:type="spellEnd"/>
                                        <w:r>
                                          <w:rPr>
                                            <w:sz w:val="18"/>
                                            <w:szCs w:val="18"/>
                                            <w:lang w:val="sv-SE"/>
                                          </w:rPr>
                                          <w:t xml:space="preserve"> </w:t>
                                        </w:r>
                                        <w:proofErr w:type="spellStart"/>
                                        <w:r>
                                          <w:rPr>
                                            <w:sz w:val="18"/>
                                            <w:szCs w:val="18"/>
                                            <w:lang w:val="sv-SE"/>
                                          </w:rPr>
                                          <w:t>delay</w:t>
                                        </w:r>
                                        <w:proofErr w:type="spellEnd"/>
                                        <w:r>
                                          <w:rPr>
                                            <w:sz w:val="18"/>
                                            <w:szCs w:val="18"/>
                                            <w:lang w:val="sv-SE"/>
                                          </w:rPr>
                                          <w:t xml:space="preserve"> </w:t>
                                        </w:r>
                                        <w:proofErr w:type="spellStart"/>
                                        <w:r>
                                          <w:rPr>
                                            <w:sz w:val="18"/>
                                            <w:szCs w:val="18"/>
                                            <w:lang w:val="sv-SE"/>
                                          </w:rPr>
                                          <w:t>spread</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w:t>
                                        </w:r>
                                        <w:proofErr w:type="spellStart"/>
                                        <w:r>
                                          <w:rPr>
                                            <w:sz w:val="18"/>
                                            <w:szCs w:val="18"/>
                                            <w:lang w:val="sv-SE"/>
                                          </w:rPr>
                                          <w:t>alignment</w:t>
                                        </w:r>
                                        <w:proofErr w:type="spellEnd"/>
                                        <w:r>
                                          <w:rPr>
                                            <w:sz w:val="18"/>
                                            <w:szCs w:val="18"/>
                                            <w:lang w:val="sv-SE"/>
                                          </w:rPr>
                                          <w:t xml:space="preserve"> </w:t>
                                        </w:r>
                                        <w:proofErr w:type="spellStart"/>
                                        <w:r>
                                          <w:rPr>
                                            <w:sz w:val="18"/>
                                            <w:szCs w:val="18"/>
                                            <w:lang w:val="sv-SE"/>
                                          </w:rPr>
                                          <w:t>error</w:t>
                                        </w:r>
                                        <w:proofErr w:type="spellEnd"/>
                                        <w:r>
                                          <w:rPr>
                                            <w:sz w:val="18"/>
                                            <w:szCs w:val="18"/>
                                            <w:lang w:val="sv-SE"/>
                                          </w:rPr>
                                          <w:t xml:space="preserve">, analog </w:t>
                                        </w:r>
                                        <w:proofErr w:type="spellStart"/>
                                        <w:r>
                                          <w:rPr>
                                            <w:sz w:val="18"/>
                                            <w:szCs w:val="18"/>
                                            <w:lang w:val="sv-SE"/>
                                          </w:rPr>
                                          <w:t>beam</w:t>
                                        </w:r>
                                        <w:proofErr w:type="spellEnd"/>
                                        <w:r>
                                          <w:rPr>
                                            <w:sz w:val="18"/>
                                            <w:szCs w:val="18"/>
                                            <w:lang w:val="sv-SE"/>
                                          </w:rPr>
                                          <w:t xml:space="preserve"> </w:t>
                                        </w:r>
                                        <w:proofErr w:type="spellStart"/>
                                        <w:r>
                                          <w:rPr>
                                            <w:sz w:val="18"/>
                                            <w:szCs w:val="18"/>
                                            <w:lang w:val="sv-SE"/>
                                          </w:rPr>
                                          <w:t>switching</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DL/UL </w:t>
                                        </w:r>
                                        <w:proofErr w:type="spellStart"/>
                                        <w:r>
                                          <w:rPr>
                                            <w:sz w:val="18"/>
                                            <w:szCs w:val="18"/>
                                            <w:lang w:val="sv-SE"/>
                                          </w:rPr>
                                          <w:t>switching</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and Multi-TRP </w:t>
                                        </w:r>
                                        <w:proofErr w:type="spellStart"/>
                                        <w:r>
                                          <w:rPr>
                                            <w:sz w:val="18"/>
                                            <w:szCs w:val="18"/>
                                            <w:lang w:val="sv-SE"/>
                                          </w:rPr>
                                          <w:t>delay</w:t>
                                        </w:r>
                                        <w:proofErr w:type="spellEnd"/>
                                        <w:r>
                                          <w:rPr>
                                            <w:sz w:val="18"/>
                                            <w:szCs w:val="18"/>
                                            <w:lang w:val="sv-SE"/>
                                          </w:rPr>
                                          <w:t>.</w:t>
                                        </w:r>
                                      </w:p>
                                      <w:p w:rsidR="005F696E" w:rsidRDefault="005F696E">
                                        <w:pPr>
                                          <w:spacing w:before="0" w:after="0" w:line="240" w:lineRule="auto"/>
                                          <w:rPr>
                                            <w:sz w:val="18"/>
                                            <w:szCs w:val="18"/>
                                            <w:lang w:val="sv-SE"/>
                                          </w:rPr>
                                        </w:pPr>
                                        <w:r>
                                          <w:rPr>
                                            <w:sz w:val="18"/>
                                            <w:szCs w:val="18"/>
                                            <w:lang w:val="sv-SE"/>
                                          </w:rPr>
                                          <w:t xml:space="preserve">- SSB </w:t>
                                        </w:r>
                                        <w:proofErr w:type="spellStart"/>
                                        <w:r>
                                          <w:rPr>
                                            <w:sz w:val="18"/>
                                            <w:szCs w:val="18"/>
                                            <w:lang w:val="sv-SE"/>
                                          </w:rPr>
                                          <w:t>patterns</w:t>
                                        </w:r>
                                        <w:proofErr w:type="spellEnd"/>
                                      </w:p>
                                      <w:p w:rsidR="005F696E" w:rsidRDefault="005F696E">
                                        <w:pPr>
                                          <w:spacing w:before="0" w:after="0" w:line="240" w:lineRule="auto"/>
                                          <w:rPr>
                                            <w:sz w:val="18"/>
                                            <w:szCs w:val="18"/>
                                            <w:lang w:val="sv-SE"/>
                                          </w:rPr>
                                        </w:pPr>
                                        <w:r>
                                          <w:rPr>
                                            <w:sz w:val="18"/>
                                            <w:szCs w:val="18"/>
                                            <w:lang w:val="sv-SE"/>
                                          </w:rPr>
                                          <w:t xml:space="preserve">- SSB and 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w:t>
                                        </w:r>
                                        <w:proofErr w:type="spellEnd"/>
                                      </w:p>
                                      <w:p w:rsidR="005F696E" w:rsidRDefault="005F696E">
                                        <w:pPr>
                                          <w:spacing w:before="0" w:after="0" w:line="240" w:lineRule="auto"/>
                                          <w:rPr>
                                            <w:sz w:val="18"/>
                                            <w:szCs w:val="18"/>
                                            <w:lang w:val="sv-SE"/>
                                          </w:rPr>
                                        </w:pPr>
                                        <w:r>
                                          <w:rPr>
                                            <w:sz w:val="18"/>
                                            <w:szCs w:val="18"/>
                                            <w:lang w:val="sv-SE"/>
                                          </w:rPr>
                                          <w:t xml:space="preserve">- </w:t>
                                        </w: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tc>
                                  </w:tr>
                                  <w:tr w:rsidR="005F696E">
                                    <w:tc>
                                      <w:tcPr>
                                        <w:tcW w:w="1129" w:type="dxa"/>
                                      </w:tcPr>
                                      <w:p w:rsidR="005F696E" w:rsidRDefault="005F696E">
                                        <w:pPr>
                                          <w:spacing w:line="280" w:lineRule="atLeast"/>
                                          <w:rPr>
                                            <w:lang w:val="sv-SE"/>
                                          </w:rPr>
                                        </w:pPr>
                                        <w:r>
                                          <w:rPr>
                                            <w:rFonts w:hint="eastAsia"/>
                                            <w:lang w:val="sv-SE"/>
                                          </w:rPr>
                                          <w:t>960 kHz</w:t>
                                        </w:r>
                                      </w:p>
                                    </w:tc>
                                    <w:tc>
                                      <w:tcPr>
                                        <w:tcW w:w="6946" w:type="dxa"/>
                                      </w:tcPr>
                                      <w:p w:rsidR="005F696E" w:rsidRDefault="005F696E">
                                        <w:pPr>
                                          <w:spacing w:before="0" w:after="0" w:line="240" w:lineRule="auto"/>
                                          <w:rPr>
                                            <w:sz w:val="18"/>
                                            <w:szCs w:val="18"/>
                                            <w:lang w:val="sv-SE"/>
                                          </w:rPr>
                                        </w:pPr>
                                        <w:r>
                                          <w:rPr>
                                            <w:sz w:val="18"/>
                                            <w:szCs w:val="18"/>
                                            <w:lang w:val="sv-SE"/>
                                          </w:rPr>
                                          <w:t xml:space="preserve">- ECP is </w:t>
                                        </w:r>
                                        <w:proofErr w:type="spellStart"/>
                                        <w:r>
                                          <w:rPr>
                                            <w:sz w:val="18"/>
                                            <w:szCs w:val="18"/>
                                            <w:lang w:val="sv-SE"/>
                                          </w:rPr>
                                          <w:t>needed</w:t>
                                        </w:r>
                                        <w:proofErr w:type="spellEnd"/>
                                        <w:r>
                                          <w:rPr>
                                            <w:sz w:val="18"/>
                                            <w:szCs w:val="18"/>
                                            <w:lang w:val="sv-SE"/>
                                          </w:rPr>
                                          <w:t xml:space="preserve"> to </w:t>
                                        </w:r>
                                        <w:proofErr w:type="spellStart"/>
                                        <w:r>
                                          <w:rPr>
                                            <w:sz w:val="18"/>
                                            <w:szCs w:val="18"/>
                                            <w:lang w:val="sv-SE"/>
                                          </w:rPr>
                                          <w:t>account</w:t>
                                        </w:r>
                                        <w:proofErr w:type="spellEnd"/>
                                        <w:r>
                                          <w:rPr>
                                            <w:sz w:val="18"/>
                                            <w:szCs w:val="18"/>
                                            <w:lang w:val="sv-SE"/>
                                          </w:rPr>
                                          <w:t xml:space="preserve"> for </w:t>
                                        </w:r>
                                        <w:proofErr w:type="spellStart"/>
                                        <w:r>
                                          <w:rPr>
                                            <w:sz w:val="18"/>
                                            <w:szCs w:val="18"/>
                                            <w:lang w:val="sv-SE"/>
                                          </w:rPr>
                                          <w:t>delay</w:t>
                                        </w:r>
                                        <w:proofErr w:type="spellEnd"/>
                                        <w:r>
                                          <w:rPr>
                                            <w:sz w:val="18"/>
                                            <w:szCs w:val="18"/>
                                            <w:lang w:val="sv-SE"/>
                                          </w:rPr>
                                          <w:t xml:space="preserve"> </w:t>
                                        </w:r>
                                        <w:proofErr w:type="spellStart"/>
                                        <w:r>
                                          <w:rPr>
                                            <w:sz w:val="18"/>
                                            <w:szCs w:val="18"/>
                                            <w:lang w:val="sv-SE"/>
                                          </w:rPr>
                                          <w:t>spread</w:t>
                                        </w:r>
                                        <w:proofErr w:type="spellEnd"/>
                                        <w:r>
                                          <w:rPr>
                                            <w:sz w:val="18"/>
                                            <w:szCs w:val="18"/>
                                            <w:lang w:val="sv-SE"/>
                                          </w:rPr>
                                          <w:t xml:space="preserve"> and </w:t>
                                        </w:r>
                                        <w:proofErr w:type="spellStart"/>
                                        <w:r>
                                          <w:rPr>
                                            <w:sz w:val="18"/>
                                            <w:szCs w:val="18"/>
                                            <w:lang w:val="sv-SE"/>
                                          </w:rPr>
                                          <w:t>time</w:t>
                                        </w:r>
                                        <w:proofErr w:type="spellEnd"/>
                                        <w:r>
                                          <w:rPr>
                                            <w:sz w:val="18"/>
                                            <w:szCs w:val="18"/>
                                            <w:lang w:val="sv-SE"/>
                                          </w:rPr>
                                          <w:t xml:space="preserve"> </w:t>
                                        </w:r>
                                        <w:proofErr w:type="spellStart"/>
                                        <w:r>
                                          <w:rPr>
                                            <w:sz w:val="18"/>
                                            <w:szCs w:val="18"/>
                                            <w:lang w:val="sv-SE"/>
                                          </w:rPr>
                                          <w:t>alignment</w:t>
                                        </w:r>
                                        <w:proofErr w:type="spellEnd"/>
                                        <w:r>
                                          <w:rPr>
                                            <w:sz w:val="18"/>
                                            <w:szCs w:val="18"/>
                                            <w:lang w:val="sv-SE"/>
                                          </w:rPr>
                                          <w:t xml:space="preserve"> </w:t>
                                        </w:r>
                                        <w:proofErr w:type="spellStart"/>
                                        <w:r>
                                          <w:rPr>
                                            <w:sz w:val="18"/>
                                            <w:szCs w:val="18"/>
                                            <w:lang w:val="sv-SE"/>
                                          </w:rPr>
                                          <w:t>error</w:t>
                                        </w:r>
                                        <w:proofErr w:type="spellEnd"/>
                                        <w:r>
                                          <w:rPr>
                                            <w:sz w:val="18"/>
                                            <w:szCs w:val="18"/>
                                            <w:lang w:val="sv-SE"/>
                                          </w:rPr>
                                          <w:t>.</w:t>
                                        </w:r>
                                      </w:p>
                                      <w:p w:rsidR="005F696E" w:rsidRDefault="005F696E">
                                        <w:pPr>
                                          <w:spacing w:before="0" w:after="0" w:line="240" w:lineRule="auto"/>
                                          <w:rPr>
                                            <w:sz w:val="18"/>
                                            <w:szCs w:val="18"/>
                                            <w:lang w:val="sv-SE"/>
                                          </w:rPr>
                                        </w:pPr>
                                        <w:r>
                                          <w:rPr>
                                            <w:sz w:val="18"/>
                                            <w:szCs w:val="18"/>
                                            <w:lang w:val="sv-SE"/>
                                          </w:rPr>
                                          <w:t xml:space="preserve">- SSB </w:t>
                                        </w:r>
                                        <w:proofErr w:type="spellStart"/>
                                        <w:r>
                                          <w:rPr>
                                            <w:sz w:val="18"/>
                                            <w:szCs w:val="18"/>
                                            <w:lang w:val="sv-SE"/>
                                          </w:rPr>
                                          <w:t>patterns</w:t>
                                        </w:r>
                                        <w:proofErr w:type="spellEnd"/>
                                      </w:p>
                                      <w:p w:rsidR="005F696E" w:rsidRDefault="005F696E">
                                        <w:pPr>
                                          <w:spacing w:before="0" w:after="0" w:line="240" w:lineRule="auto"/>
                                          <w:rPr>
                                            <w:sz w:val="18"/>
                                            <w:szCs w:val="18"/>
                                            <w:lang w:val="sv-SE"/>
                                          </w:rPr>
                                        </w:pPr>
                                        <w:r>
                                          <w:rPr>
                                            <w:sz w:val="18"/>
                                            <w:szCs w:val="18"/>
                                            <w:lang w:val="sv-SE"/>
                                          </w:rPr>
                                          <w:t xml:space="preserve">- SSB and 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w:t>
                                        </w:r>
                                        <w:proofErr w:type="spellEnd"/>
                                      </w:p>
                                      <w:p w:rsidR="005F696E" w:rsidRDefault="005F696E">
                                        <w:pPr>
                                          <w:spacing w:before="0" w:after="0" w:line="240" w:lineRule="auto"/>
                                          <w:rPr>
                                            <w:sz w:val="18"/>
                                            <w:szCs w:val="18"/>
                                            <w:lang w:val="sv-SE"/>
                                          </w:rPr>
                                        </w:pPr>
                                        <w:r>
                                          <w:rPr>
                                            <w:sz w:val="18"/>
                                            <w:szCs w:val="18"/>
                                            <w:lang w:val="sv-SE"/>
                                          </w:rPr>
                                          <w:t xml:space="preserve">- </w:t>
                                        </w: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lang w:val="sv-SE"/>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tc>
                                  </w:tr>
                                </w:tbl>
                                <w:p w:rsidR="005F696E" w:rsidRDefault="005F696E">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5F696E">
                              <w:tc>
                                <w:tcPr>
                                  <w:tcW w:w="1129" w:type="dxa"/>
                                </w:tcPr>
                                <w:p w:rsidR="005F696E" w:rsidRDefault="005F696E">
                                  <w:pPr>
                                    <w:spacing w:line="280" w:lineRule="atLeast"/>
                                    <w:rPr>
                                      <w:lang w:val="sv-SE"/>
                                    </w:rPr>
                                  </w:pPr>
                                  <w:r>
                                    <w:rPr>
                                      <w:lang w:val="sv-SE"/>
                                    </w:rPr>
                                    <w:t>SCS</w:t>
                                  </w:r>
                                </w:p>
                              </w:tc>
                              <w:tc>
                                <w:tcPr>
                                  <w:tcW w:w="6946" w:type="dxa"/>
                                </w:tcPr>
                                <w:p w:rsidR="005F696E" w:rsidRDefault="005F696E">
                                  <w:pPr>
                                    <w:spacing w:line="280" w:lineRule="atLeast"/>
                                    <w:rPr>
                                      <w:lang w:val="sv-SE"/>
                                    </w:rPr>
                                  </w:pPr>
                                  <w:r>
                                    <w:rPr>
                                      <w:lang w:val="sv-SE"/>
                                    </w:rPr>
                                    <w:t xml:space="preserve">PHY </w:t>
                                  </w:r>
                                  <w:proofErr w:type="spellStart"/>
                                  <w:r>
                                    <w:rPr>
                                      <w:lang w:val="sv-SE"/>
                                    </w:rPr>
                                    <w:t>impact</w:t>
                                  </w:r>
                                  <w:proofErr w:type="spellEnd"/>
                                  <w:r>
                                    <w:rPr>
                                      <w:lang w:val="sv-SE"/>
                                    </w:rPr>
                                    <w:t xml:space="preserve">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common </w:t>
                                  </w:r>
                                  <w:proofErr w:type="spellStart"/>
                                  <w:r>
                                    <w:rPr>
                                      <w:lang w:val="sv-SE"/>
                                    </w:rPr>
                                    <w:t>impact</w:t>
                                  </w:r>
                                  <w:proofErr w:type="spellEnd"/>
                                  <w:r>
                                    <w:rPr>
                                      <w:lang w:val="sv-SE"/>
                                    </w:rPr>
                                    <w:t xml:space="preserve"> for </w:t>
                                  </w:r>
                                  <w:proofErr w:type="spellStart"/>
                                  <w:r>
                                    <w:rPr>
                                      <w:lang w:val="sv-SE"/>
                                    </w:rPr>
                                    <w:t>unlicensed</w:t>
                                  </w:r>
                                  <w:proofErr w:type="spellEnd"/>
                                  <w:r>
                                    <w:rPr>
                                      <w:lang w:val="sv-SE"/>
                                    </w:rPr>
                                    <w:t xml:space="preserve"> support)</w:t>
                                  </w:r>
                                </w:p>
                              </w:tc>
                            </w:tr>
                            <w:tr w:rsidR="005F696E">
                              <w:tc>
                                <w:tcPr>
                                  <w:tcW w:w="1129" w:type="dxa"/>
                                </w:tcPr>
                                <w:p w:rsidR="005F696E" w:rsidRDefault="005F696E">
                                  <w:pPr>
                                    <w:spacing w:line="280" w:lineRule="atLeast"/>
                                    <w:rPr>
                                      <w:lang w:val="sv-SE"/>
                                    </w:rPr>
                                  </w:pPr>
                                  <w:r>
                                    <w:rPr>
                                      <w:rFonts w:hint="eastAsia"/>
                                      <w:lang w:val="sv-SE"/>
                                    </w:rPr>
                                    <w:t>120 kHz</w:t>
                                  </w:r>
                                </w:p>
                              </w:tc>
                              <w:tc>
                                <w:tcPr>
                                  <w:tcW w:w="6946" w:type="dxa"/>
                                </w:tcPr>
                                <w:p w:rsidR="005F696E" w:rsidRDefault="005F696E">
                                  <w:pPr>
                                    <w:spacing w:before="0" w:after="0" w:line="240" w:lineRule="auto"/>
                                    <w:rPr>
                                      <w:rFonts w:ascii="Calibri" w:hAnsi="Calibri" w:cs="Calibri"/>
                                      <w:sz w:val="18"/>
                                      <w:szCs w:val="18"/>
                                      <w:lang w:val="sv-SE"/>
                                    </w:rPr>
                                  </w:pPr>
                                  <w:r>
                                    <w:rPr>
                                      <w:sz w:val="18"/>
                                      <w:szCs w:val="18"/>
                                      <w:lang w:val="sv-SE"/>
                                    </w:rPr>
                                    <w:t xml:space="preserve">- PTRS for CP-OFDM: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w:t>
                                  </w:r>
                                  <w:proofErr w:type="spellStart"/>
                                  <w:r>
                                    <w:rPr>
                                      <w:sz w:val="18"/>
                                      <w:szCs w:val="18"/>
                                      <w:lang w:val="sv-SE"/>
                                    </w:rPr>
                                    <w:t>higher</w:t>
                                  </w:r>
                                  <w:proofErr w:type="spellEnd"/>
                                  <w:r>
                                    <w:rPr>
                                      <w:sz w:val="18"/>
                                      <w:szCs w:val="18"/>
                                      <w:lang w:val="sv-SE"/>
                                    </w:rPr>
                                    <w:t xml:space="preserve"> </w:t>
                                  </w:r>
                                  <w:proofErr w:type="spellStart"/>
                                  <w:r>
                                    <w:rPr>
                                      <w:sz w:val="18"/>
                                      <w:szCs w:val="18"/>
                                      <w:lang w:val="sv-SE"/>
                                    </w:rPr>
                                    <w:t>density</w:t>
                                  </w:r>
                                  <w:proofErr w:type="spellEnd"/>
                                  <w:r>
                                    <w:rPr>
                                      <w:sz w:val="18"/>
                                      <w:szCs w:val="18"/>
                                      <w:lang w:val="sv-SE"/>
                                    </w:rPr>
                                    <w:t xml:space="preserve"> PTRS or new PTRS </w:t>
                                  </w:r>
                                  <w:proofErr w:type="spellStart"/>
                                  <w:r>
                                    <w:rPr>
                                      <w:sz w:val="18"/>
                                      <w:szCs w:val="18"/>
                                      <w:lang w:val="sv-SE"/>
                                    </w:rPr>
                                    <w:t>patterns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block-PTRS)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PTRS for DFT-s-OFDM: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new PTRS </w:t>
                                  </w:r>
                                  <w:proofErr w:type="spellStart"/>
                                  <w:r>
                                    <w:rPr>
                                      <w:sz w:val="18"/>
                                      <w:szCs w:val="18"/>
                                      <w:lang w:val="sv-SE"/>
                                    </w:rPr>
                                    <w:t>pattern</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more</w:t>
                                  </w:r>
                                  <w:proofErr w:type="spellEnd"/>
                                  <w:r>
                                    <w:rPr>
                                      <w:sz w:val="18"/>
                                      <w:szCs w:val="18"/>
                                      <w:lang w:val="sv-SE"/>
                                    </w:rPr>
                                    <w:t xml:space="preserve"> PTRS </w:t>
                                  </w:r>
                                  <w:proofErr w:type="spellStart"/>
                                  <w:r>
                                    <w:rPr>
                                      <w:sz w:val="18"/>
                                      <w:szCs w:val="18"/>
                                      <w:lang w:val="sv-SE"/>
                                    </w:rPr>
                                    <w:t>groups</w:t>
                                  </w:r>
                                  <w:proofErr w:type="spellEnd"/>
                                  <w:r>
                                    <w:rPr>
                                      <w:sz w:val="18"/>
                                      <w:szCs w:val="18"/>
                                      <w:lang w:val="sv-SE"/>
                                    </w:rPr>
                                    <w:t xml:space="preserve"> </w:t>
                                  </w:r>
                                  <w:proofErr w:type="spellStart"/>
                                  <w:r>
                                    <w:rPr>
                                      <w:sz w:val="18"/>
                                      <w:szCs w:val="18"/>
                                      <w:lang w:val="sv-SE"/>
                                    </w:rPr>
                                    <w:t>within</w:t>
                                  </w:r>
                                  <w:proofErr w:type="spellEnd"/>
                                  <w:r>
                                    <w:rPr>
                                      <w:sz w:val="18"/>
                                      <w:szCs w:val="18"/>
                                      <w:lang w:val="sv-SE"/>
                                    </w:rPr>
                                    <w:t xml:space="preserve"> </w:t>
                                  </w:r>
                                  <w:proofErr w:type="spellStart"/>
                                  <w:r>
                                    <w:rPr>
                                      <w:sz w:val="18"/>
                                      <w:szCs w:val="18"/>
                                      <w:lang w:val="sv-SE"/>
                                    </w:rPr>
                                    <w:t>one</w:t>
                                  </w:r>
                                  <w:proofErr w:type="spellEnd"/>
                                  <w:r>
                                    <w:rPr>
                                      <w:sz w:val="18"/>
                                      <w:szCs w:val="18"/>
                                      <w:lang w:val="sv-SE"/>
                                    </w:rPr>
                                    <w:t xml:space="preserve"> DFT-s-OFDM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For </w:t>
                                  </w:r>
                                  <w:proofErr w:type="spellStart"/>
                                  <w:r>
                                    <w:rPr>
                                      <w:sz w:val="18"/>
                                      <w:szCs w:val="18"/>
                                      <w:lang w:val="sv-SE"/>
                                    </w:rPr>
                                    <w:t>unlicensed</w:t>
                                  </w:r>
                                  <w:proofErr w:type="spellEnd"/>
                                  <w:r>
                                    <w:rPr>
                                      <w:sz w:val="18"/>
                                      <w:szCs w:val="18"/>
                                      <w:lang w:val="sv-SE"/>
                                    </w:rPr>
                                    <w:t xml:space="preserve">: PRACH ZC </w:t>
                                  </w:r>
                                  <w:proofErr w:type="spellStart"/>
                                  <w:r>
                                    <w:rPr>
                                      <w:sz w:val="18"/>
                                      <w:szCs w:val="18"/>
                                      <w:lang w:val="sv-SE"/>
                                    </w:rPr>
                                    <w:t>lengths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571 and 1151 </w:t>
                                  </w:r>
                                  <w:proofErr w:type="spellStart"/>
                                  <w:r>
                                    <w:rPr>
                                      <w:sz w:val="18"/>
                                      <w:szCs w:val="18"/>
                                      <w:lang w:val="sv-SE"/>
                                    </w:rPr>
                                    <w:t>may</w:t>
                                  </w:r>
                                  <w:proofErr w:type="spellEnd"/>
                                  <w:r>
                                    <w:rPr>
                                      <w:sz w:val="18"/>
                                      <w:szCs w:val="18"/>
                                      <w:lang w:val="sv-SE"/>
                                    </w:rPr>
                                    <w:t xml:space="preserve"> be </w:t>
                                  </w:r>
                                  <w:proofErr w:type="spellStart"/>
                                  <w:r>
                                    <w:rPr>
                                      <w:sz w:val="18"/>
                                      <w:szCs w:val="18"/>
                                      <w:lang w:val="sv-SE"/>
                                    </w:rPr>
                                    <w:t>considered</w:t>
                                  </w:r>
                                  <w:proofErr w:type="spellEnd"/>
                                </w:p>
                              </w:tc>
                            </w:tr>
                            <w:tr w:rsidR="005F696E">
                              <w:tc>
                                <w:tcPr>
                                  <w:tcW w:w="1129" w:type="dxa"/>
                                </w:tcPr>
                                <w:p w:rsidR="005F696E" w:rsidRDefault="005F696E">
                                  <w:pPr>
                                    <w:spacing w:line="280" w:lineRule="atLeast"/>
                                    <w:rPr>
                                      <w:lang w:val="sv-SE"/>
                                    </w:rPr>
                                  </w:pPr>
                                  <w:r>
                                    <w:rPr>
                                      <w:rFonts w:hint="eastAsia"/>
                                      <w:lang w:val="sv-SE"/>
                                    </w:rPr>
                                    <w:t>240 kHz</w:t>
                                  </w:r>
                                </w:p>
                              </w:tc>
                              <w:tc>
                                <w:tcPr>
                                  <w:tcW w:w="6946" w:type="dxa"/>
                                </w:tcPr>
                                <w:p w:rsidR="005F696E" w:rsidRDefault="005F696E">
                                  <w:pPr>
                                    <w:spacing w:before="0" w:after="0" w:line="240" w:lineRule="auto"/>
                                    <w:rPr>
                                      <w:sz w:val="18"/>
                                      <w:szCs w:val="18"/>
                                      <w:lang w:val="sv-SE"/>
                                    </w:rPr>
                                  </w:pPr>
                                  <w:r>
                                    <w:rPr>
                                      <w:sz w:val="18"/>
                                      <w:szCs w:val="18"/>
                                      <w:lang w:val="sv-SE"/>
                                    </w:rPr>
                                    <w:t xml:space="preserve">- PTRS for CP-OFDM: for </w:t>
                                  </w:r>
                                  <w:proofErr w:type="spellStart"/>
                                  <w:r>
                                    <w:rPr>
                                      <w:sz w:val="18"/>
                                      <w:szCs w:val="18"/>
                                      <w:lang w:val="sv-SE"/>
                                    </w:rPr>
                                    <w:t>better</w:t>
                                  </w:r>
                                  <w:proofErr w:type="spellEnd"/>
                                  <w:r>
                                    <w:rPr>
                                      <w:sz w:val="18"/>
                                      <w:szCs w:val="18"/>
                                      <w:lang w:val="sv-SE"/>
                                    </w:rPr>
                                    <w:t xml:space="preserve"> BLER </w:t>
                                  </w:r>
                                  <w:proofErr w:type="spellStart"/>
                                  <w:r>
                                    <w:rPr>
                                      <w:sz w:val="18"/>
                                      <w:szCs w:val="18"/>
                                      <w:lang w:val="sv-SE"/>
                                    </w:rPr>
                                    <w:t>performance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w:t>
                                  </w:r>
                                  <w:proofErr w:type="spellStart"/>
                                  <w:r>
                                    <w:rPr>
                                      <w:sz w:val="18"/>
                                      <w:szCs w:val="18"/>
                                      <w:lang w:val="sv-SE"/>
                                    </w:rPr>
                                    <w:t>high</w:t>
                                  </w:r>
                                  <w:proofErr w:type="spellEnd"/>
                                  <w:r>
                                    <w:rPr>
                                      <w:sz w:val="18"/>
                                      <w:szCs w:val="18"/>
                                      <w:lang w:val="sv-SE"/>
                                    </w:rPr>
                                    <w:t xml:space="preserve"> MCS, </w:t>
                                  </w:r>
                                  <w:proofErr w:type="spellStart"/>
                                  <w:r>
                                    <w:rPr>
                                      <w:sz w:val="18"/>
                                      <w:szCs w:val="18"/>
                                      <w:lang w:val="sv-SE"/>
                                    </w:rPr>
                                    <w:t>higher</w:t>
                                  </w:r>
                                  <w:proofErr w:type="spellEnd"/>
                                  <w:r>
                                    <w:rPr>
                                      <w:sz w:val="18"/>
                                      <w:szCs w:val="18"/>
                                      <w:lang w:val="sv-SE"/>
                                    </w:rPr>
                                    <w:t xml:space="preserve"> </w:t>
                                  </w:r>
                                  <w:proofErr w:type="spellStart"/>
                                  <w:r>
                                    <w:rPr>
                                      <w:sz w:val="18"/>
                                      <w:szCs w:val="18"/>
                                      <w:lang w:val="sv-SE"/>
                                    </w:rPr>
                                    <w:t>density</w:t>
                                  </w:r>
                                  <w:proofErr w:type="spellEnd"/>
                                  <w:r>
                                    <w:rPr>
                                      <w:sz w:val="18"/>
                                      <w:szCs w:val="18"/>
                                      <w:lang w:val="sv-SE"/>
                                    </w:rPr>
                                    <w:t xml:space="preserve"> PTRS or new PTRS </w:t>
                                  </w:r>
                                  <w:proofErr w:type="spellStart"/>
                                  <w:r>
                                    <w:rPr>
                                      <w:sz w:val="18"/>
                                      <w:szCs w:val="18"/>
                                      <w:lang w:val="sv-SE"/>
                                    </w:rPr>
                                    <w:t>patterns</w:t>
                                  </w:r>
                                  <w:proofErr w:type="spellEnd"/>
                                  <w:r>
                                    <w:rPr>
                                      <w:sz w:val="18"/>
                                      <w:szCs w:val="18"/>
                                      <w:lang w:val="sv-SE"/>
                                    </w:rPr>
                                    <w:t xml:space="preserve"> (</w:t>
                                  </w:r>
                                  <w:proofErr w:type="spellStart"/>
                                  <w:r>
                                    <w:rPr>
                                      <w:sz w:val="18"/>
                                      <w:szCs w:val="18"/>
                                      <w:lang w:val="sv-SE"/>
                                    </w:rPr>
                                    <w:t>such</w:t>
                                  </w:r>
                                  <w:proofErr w:type="spellEnd"/>
                                  <w:r>
                                    <w:rPr>
                                      <w:sz w:val="18"/>
                                      <w:szCs w:val="18"/>
                                      <w:lang w:val="sv-SE"/>
                                    </w:rPr>
                                    <w:t xml:space="preserve"> as block-PTRS) </w:t>
                                  </w:r>
                                  <w:proofErr w:type="spellStart"/>
                                  <w:r>
                                    <w:rPr>
                                      <w:sz w:val="18"/>
                                      <w:szCs w:val="18"/>
                                      <w:lang w:val="sv-SE"/>
                                    </w:rPr>
                                    <w:t>may</w:t>
                                  </w:r>
                                  <w:proofErr w:type="spellEnd"/>
                                  <w:r>
                                    <w:rPr>
                                      <w:sz w:val="18"/>
                                      <w:szCs w:val="18"/>
                                      <w:lang w:val="sv-SE"/>
                                    </w:rPr>
                                    <w:t xml:space="preserve"> </w:t>
                                  </w:r>
                                  <w:proofErr w:type="spellStart"/>
                                  <w:r>
                                    <w:rPr>
                                      <w:sz w:val="18"/>
                                      <w:szCs w:val="18"/>
                                      <w:lang w:val="sv-SE"/>
                                    </w:rPr>
                                    <w:t>need</w:t>
                                  </w:r>
                                  <w:proofErr w:type="spellEnd"/>
                                  <w:r>
                                    <w:rPr>
                                      <w:sz w:val="18"/>
                                      <w:szCs w:val="18"/>
                                      <w:lang w:val="sv-SE"/>
                                    </w:rPr>
                                    <w:t xml:space="preserve"> to be </w:t>
                                  </w:r>
                                  <w:proofErr w:type="spellStart"/>
                                  <w:r>
                                    <w:rPr>
                                      <w:sz w:val="18"/>
                                      <w:szCs w:val="18"/>
                                      <w:lang w:val="sv-SE"/>
                                    </w:rPr>
                                    <w:t>designed</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p w:rsidR="005F696E" w:rsidRDefault="005F696E">
                                  <w:pPr>
                                    <w:spacing w:before="0" w:after="0" w:line="240" w:lineRule="auto"/>
                                    <w:rPr>
                                      <w:sz w:val="18"/>
                                      <w:szCs w:val="18"/>
                                      <w:lang w:val="sv-SE"/>
                                    </w:rPr>
                                  </w:pPr>
                                  <w:r>
                                    <w:rPr>
                                      <w:sz w:val="18"/>
                                      <w:szCs w:val="18"/>
                                    </w:rPr>
                                    <w:t>- HARQ process</w:t>
                                  </w:r>
                                </w:p>
                              </w:tc>
                            </w:tr>
                            <w:tr w:rsidR="005F696E">
                              <w:tc>
                                <w:tcPr>
                                  <w:tcW w:w="1129" w:type="dxa"/>
                                </w:tcPr>
                                <w:p w:rsidR="005F696E" w:rsidRDefault="005F696E">
                                  <w:pPr>
                                    <w:spacing w:line="280" w:lineRule="atLeast"/>
                                    <w:rPr>
                                      <w:lang w:val="sv-SE"/>
                                    </w:rPr>
                                  </w:pPr>
                                  <w:r>
                                    <w:rPr>
                                      <w:rFonts w:hint="eastAsia"/>
                                      <w:lang w:val="sv-SE"/>
                                    </w:rPr>
                                    <w:t>480 k</w:t>
                                  </w:r>
                                  <w:r>
                                    <w:rPr>
                                      <w:lang w:val="sv-SE"/>
                                    </w:rPr>
                                    <w:t>Hz</w:t>
                                  </w:r>
                                </w:p>
                              </w:tc>
                              <w:tc>
                                <w:tcPr>
                                  <w:tcW w:w="6946" w:type="dxa"/>
                                </w:tcPr>
                                <w:p w:rsidR="005F696E" w:rsidRDefault="005F696E">
                                  <w:pPr>
                                    <w:spacing w:before="0" w:after="0" w:line="240" w:lineRule="auto"/>
                                    <w:rPr>
                                      <w:sz w:val="18"/>
                                      <w:szCs w:val="18"/>
                                      <w:lang w:val="sv-SE"/>
                                    </w:rPr>
                                  </w:pPr>
                                  <w:r>
                                    <w:rPr>
                                      <w:sz w:val="18"/>
                                      <w:szCs w:val="18"/>
                                      <w:lang w:val="sv-SE"/>
                                    </w:rPr>
                                    <w:t xml:space="preserve">- ECP is </w:t>
                                  </w:r>
                                  <w:proofErr w:type="spellStart"/>
                                  <w:r>
                                    <w:rPr>
                                      <w:sz w:val="18"/>
                                      <w:szCs w:val="18"/>
                                      <w:lang w:val="sv-SE"/>
                                    </w:rPr>
                                    <w:t>needed</w:t>
                                  </w:r>
                                  <w:proofErr w:type="spellEnd"/>
                                  <w:r>
                                    <w:rPr>
                                      <w:sz w:val="18"/>
                                      <w:szCs w:val="18"/>
                                      <w:lang w:val="sv-SE"/>
                                    </w:rPr>
                                    <w:t xml:space="preserve"> to </w:t>
                                  </w:r>
                                  <w:proofErr w:type="spellStart"/>
                                  <w:r>
                                    <w:rPr>
                                      <w:sz w:val="18"/>
                                      <w:szCs w:val="18"/>
                                      <w:lang w:val="sv-SE"/>
                                    </w:rPr>
                                    <w:t>account</w:t>
                                  </w:r>
                                  <w:proofErr w:type="spellEnd"/>
                                  <w:r>
                                    <w:rPr>
                                      <w:sz w:val="18"/>
                                      <w:szCs w:val="18"/>
                                      <w:lang w:val="sv-SE"/>
                                    </w:rPr>
                                    <w:t xml:space="preserve"> for the </w:t>
                                  </w:r>
                                  <w:proofErr w:type="spellStart"/>
                                  <w:r>
                                    <w:rPr>
                                      <w:sz w:val="18"/>
                                      <w:szCs w:val="18"/>
                                      <w:lang w:val="sv-SE"/>
                                    </w:rPr>
                                    <w:t>combined</w:t>
                                  </w:r>
                                  <w:proofErr w:type="spellEnd"/>
                                  <w:r>
                                    <w:rPr>
                                      <w:sz w:val="18"/>
                                      <w:szCs w:val="18"/>
                                      <w:lang w:val="sv-SE"/>
                                    </w:rPr>
                                    <w:t xml:space="preserve"> </w:t>
                                  </w:r>
                                  <w:proofErr w:type="spellStart"/>
                                  <w:r>
                                    <w:rPr>
                                      <w:sz w:val="18"/>
                                      <w:szCs w:val="18"/>
                                      <w:lang w:val="sv-SE"/>
                                    </w:rPr>
                                    <w:t>effect</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w:t>
                                  </w:r>
                                  <w:proofErr w:type="spellStart"/>
                                  <w:r>
                                    <w:rPr>
                                      <w:sz w:val="18"/>
                                      <w:szCs w:val="18"/>
                                      <w:lang w:val="sv-SE"/>
                                    </w:rPr>
                                    <w:t>some</w:t>
                                  </w:r>
                                  <w:proofErr w:type="spellEnd"/>
                                  <w:r>
                                    <w:rPr>
                                      <w:sz w:val="18"/>
                                      <w:szCs w:val="18"/>
                                      <w:lang w:val="sv-SE"/>
                                    </w:rPr>
                                    <w:t xml:space="preserve"> or all </w:t>
                                  </w:r>
                                  <w:proofErr w:type="spellStart"/>
                                  <w:r>
                                    <w:rPr>
                                      <w:sz w:val="18"/>
                                      <w:szCs w:val="18"/>
                                      <w:lang w:val="sv-SE"/>
                                    </w:rPr>
                                    <w:t>of</w:t>
                                  </w:r>
                                  <w:proofErr w:type="spellEnd"/>
                                  <w:r>
                                    <w:rPr>
                                      <w:sz w:val="18"/>
                                      <w:szCs w:val="18"/>
                                      <w:lang w:val="sv-SE"/>
                                    </w:rPr>
                                    <w:t xml:space="preserve"> </w:t>
                                  </w:r>
                                  <w:proofErr w:type="spellStart"/>
                                  <w:r>
                                    <w:rPr>
                                      <w:sz w:val="18"/>
                                      <w:szCs w:val="18"/>
                                      <w:lang w:val="sv-SE"/>
                                    </w:rPr>
                                    <w:t>delay</w:t>
                                  </w:r>
                                  <w:proofErr w:type="spellEnd"/>
                                  <w:r>
                                    <w:rPr>
                                      <w:sz w:val="18"/>
                                      <w:szCs w:val="18"/>
                                      <w:lang w:val="sv-SE"/>
                                    </w:rPr>
                                    <w:t xml:space="preserve"> </w:t>
                                  </w:r>
                                  <w:proofErr w:type="spellStart"/>
                                  <w:r>
                                    <w:rPr>
                                      <w:sz w:val="18"/>
                                      <w:szCs w:val="18"/>
                                      <w:lang w:val="sv-SE"/>
                                    </w:rPr>
                                    <w:t>spread</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w:t>
                                  </w:r>
                                  <w:proofErr w:type="spellStart"/>
                                  <w:r>
                                    <w:rPr>
                                      <w:sz w:val="18"/>
                                      <w:szCs w:val="18"/>
                                      <w:lang w:val="sv-SE"/>
                                    </w:rPr>
                                    <w:t>alignment</w:t>
                                  </w:r>
                                  <w:proofErr w:type="spellEnd"/>
                                  <w:r>
                                    <w:rPr>
                                      <w:sz w:val="18"/>
                                      <w:szCs w:val="18"/>
                                      <w:lang w:val="sv-SE"/>
                                    </w:rPr>
                                    <w:t xml:space="preserve"> </w:t>
                                  </w:r>
                                  <w:proofErr w:type="spellStart"/>
                                  <w:r>
                                    <w:rPr>
                                      <w:sz w:val="18"/>
                                      <w:szCs w:val="18"/>
                                      <w:lang w:val="sv-SE"/>
                                    </w:rPr>
                                    <w:t>error</w:t>
                                  </w:r>
                                  <w:proofErr w:type="spellEnd"/>
                                  <w:r>
                                    <w:rPr>
                                      <w:sz w:val="18"/>
                                      <w:szCs w:val="18"/>
                                      <w:lang w:val="sv-SE"/>
                                    </w:rPr>
                                    <w:t xml:space="preserve">, analog </w:t>
                                  </w:r>
                                  <w:proofErr w:type="spellStart"/>
                                  <w:r>
                                    <w:rPr>
                                      <w:sz w:val="18"/>
                                      <w:szCs w:val="18"/>
                                      <w:lang w:val="sv-SE"/>
                                    </w:rPr>
                                    <w:t>beam</w:t>
                                  </w:r>
                                  <w:proofErr w:type="spellEnd"/>
                                  <w:r>
                                    <w:rPr>
                                      <w:sz w:val="18"/>
                                      <w:szCs w:val="18"/>
                                      <w:lang w:val="sv-SE"/>
                                    </w:rPr>
                                    <w:t xml:space="preserve"> </w:t>
                                  </w:r>
                                  <w:proofErr w:type="spellStart"/>
                                  <w:r>
                                    <w:rPr>
                                      <w:sz w:val="18"/>
                                      <w:szCs w:val="18"/>
                                      <w:lang w:val="sv-SE"/>
                                    </w:rPr>
                                    <w:t>switching</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DL/UL </w:t>
                                  </w:r>
                                  <w:proofErr w:type="spellStart"/>
                                  <w:r>
                                    <w:rPr>
                                      <w:sz w:val="18"/>
                                      <w:szCs w:val="18"/>
                                      <w:lang w:val="sv-SE"/>
                                    </w:rPr>
                                    <w:t>switching</w:t>
                                  </w:r>
                                  <w:proofErr w:type="spellEnd"/>
                                  <w:r>
                                    <w:rPr>
                                      <w:sz w:val="18"/>
                                      <w:szCs w:val="18"/>
                                      <w:lang w:val="sv-SE"/>
                                    </w:rPr>
                                    <w:t xml:space="preserve"> </w:t>
                                  </w:r>
                                  <w:proofErr w:type="spellStart"/>
                                  <w:r>
                                    <w:rPr>
                                      <w:sz w:val="18"/>
                                      <w:szCs w:val="18"/>
                                      <w:lang w:val="sv-SE"/>
                                    </w:rPr>
                                    <w:t>time</w:t>
                                  </w:r>
                                  <w:proofErr w:type="spellEnd"/>
                                  <w:r>
                                    <w:rPr>
                                      <w:sz w:val="18"/>
                                      <w:szCs w:val="18"/>
                                      <w:lang w:val="sv-SE"/>
                                    </w:rPr>
                                    <w:t xml:space="preserve">, and Multi-TRP </w:t>
                                  </w:r>
                                  <w:proofErr w:type="spellStart"/>
                                  <w:r>
                                    <w:rPr>
                                      <w:sz w:val="18"/>
                                      <w:szCs w:val="18"/>
                                      <w:lang w:val="sv-SE"/>
                                    </w:rPr>
                                    <w:t>delay</w:t>
                                  </w:r>
                                  <w:proofErr w:type="spellEnd"/>
                                  <w:r>
                                    <w:rPr>
                                      <w:sz w:val="18"/>
                                      <w:szCs w:val="18"/>
                                      <w:lang w:val="sv-SE"/>
                                    </w:rPr>
                                    <w:t>.</w:t>
                                  </w:r>
                                </w:p>
                                <w:p w:rsidR="005F696E" w:rsidRDefault="005F696E">
                                  <w:pPr>
                                    <w:spacing w:before="0" w:after="0" w:line="240" w:lineRule="auto"/>
                                    <w:rPr>
                                      <w:sz w:val="18"/>
                                      <w:szCs w:val="18"/>
                                      <w:lang w:val="sv-SE"/>
                                    </w:rPr>
                                  </w:pPr>
                                  <w:r>
                                    <w:rPr>
                                      <w:sz w:val="18"/>
                                      <w:szCs w:val="18"/>
                                      <w:lang w:val="sv-SE"/>
                                    </w:rPr>
                                    <w:t xml:space="preserve">- SSB </w:t>
                                  </w:r>
                                  <w:proofErr w:type="spellStart"/>
                                  <w:r>
                                    <w:rPr>
                                      <w:sz w:val="18"/>
                                      <w:szCs w:val="18"/>
                                      <w:lang w:val="sv-SE"/>
                                    </w:rPr>
                                    <w:t>patterns</w:t>
                                  </w:r>
                                  <w:proofErr w:type="spellEnd"/>
                                </w:p>
                                <w:p w:rsidR="005F696E" w:rsidRDefault="005F696E">
                                  <w:pPr>
                                    <w:spacing w:before="0" w:after="0" w:line="240" w:lineRule="auto"/>
                                    <w:rPr>
                                      <w:sz w:val="18"/>
                                      <w:szCs w:val="18"/>
                                      <w:lang w:val="sv-SE"/>
                                    </w:rPr>
                                  </w:pPr>
                                  <w:r>
                                    <w:rPr>
                                      <w:sz w:val="18"/>
                                      <w:szCs w:val="18"/>
                                      <w:lang w:val="sv-SE"/>
                                    </w:rPr>
                                    <w:t xml:space="preserve">- SSB and 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w:t>
                                  </w:r>
                                  <w:proofErr w:type="spellEnd"/>
                                </w:p>
                                <w:p w:rsidR="005F696E" w:rsidRDefault="005F696E">
                                  <w:pPr>
                                    <w:spacing w:before="0" w:after="0" w:line="240" w:lineRule="auto"/>
                                    <w:rPr>
                                      <w:sz w:val="18"/>
                                      <w:szCs w:val="18"/>
                                      <w:lang w:val="sv-SE"/>
                                    </w:rPr>
                                  </w:pPr>
                                  <w:r>
                                    <w:rPr>
                                      <w:sz w:val="18"/>
                                      <w:szCs w:val="18"/>
                                      <w:lang w:val="sv-SE"/>
                                    </w:rPr>
                                    <w:t xml:space="preserve">- </w:t>
                                  </w: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tc>
                            </w:tr>
                            <w:tr w:rsidR="005F696E">
                              <w:tc>
                                <w:tcPr>
                                  <w:tcW w:w="1129" w:type="dxa"/>
                                </w:tcPr>
                                <w:p w:rsidR="005F696E" w:rsidRDefault="005F696E">
                                  <w:pPr>
                                    <w:spacing w:line="280" w:lineRule="atLeast"/>
                                    <w:rPr>
                                      <w:lang w:val="sv-SE"/>
                                    </w:rPr>
                                  </w:pPr>
                                  <w:r>
                                    <w:rPr>
                                      <w:rFonts w:hint="eastAsia"/>
                                      <w:lang w:val="sv-SE"/>
                                    </w:rPr>
                                    <w:t>960 kHz</w:t>
                                  </w:r>
                                </w:p>
                              </w:tc>
                              <w:tc>
                                <w:tcPr>
                                  <w:tcW w:w="6946" w:type="dxa"/>
                                </w:tcPr>
                                <w:p w:rsidR="005F696E" w:rsidRDefault="005F696E">
                                  <w:pPr>
                                    <w:spacing w:before="0" w:after="0" w:line="240" w:lineRule="auto"/>
                                    <w:rPr>
                                      <w:sz w:val="18"/>
                                      <w:szCs w:val="18"/>
                                      <w:lang w:val="sv-SE"/>
                                    </w:rPr>
                                  </w:pPr>
                                  <w:r>
                                    <w:rPr>
                                      <w:sz w:val="18"/>
                                      <w:szCs w:val="18"/>
                                      <w:lang w:val="sv-SE"/>
                                    </w:rPr>
                                    <w:t xml:space="preserve">- ECP is </w:t>
                                  </w:r>
                                  <w:proofErr w:type="spellStart"/>
                                  <w:r>
                                    <w:rPr>
                                      <w:sz w:val="18"/>
                                      <w:szCs w:val="18"/>
                                      <w:lang w:val="sv-SE"/>
                                    </w:rPr>
                                    <w:t>needed</w:t>
                                  </w:r>
                                  <w:proofErr w:type="spellEnd"/>
                                  <w:r>
                                    <w:rPr>
                                      <w:sz w:val="18"/>
                                      <w:szCs w:val="18"/>
                                      <w:lang w:val="sv-SE"/>
                                    </w:rPr>
                                    <w:t xml:space="preserve"> to </w:t>
                                  </w:r>
                                  <w:proofErr w:type="spellStart"/>
                                  <w:r>
                                    <w:rPr>
                                      <w:sz w:val="18"/>
                                      <w:szCs w:val="18"/>
                                      <w:lang w:val="sv-SE"/>
                                    </w:rPr>
                                    <w:t>account</w:t>
                                  </w:r>
                                  <w:proofErr w:type="spellEnd"/>
                                  <w:r>
                                    <w:rPr>
                                      <w:sz w:val="18"/>
                                      <w:szCs w:val="18"/>
                                      <w:lang w:val="sv-SE"/>
                                    </w:rPr>
                                    <w:t xml:space="preserve"> for </w:t>
                                  </w:r>
                                  <w:proofErr w:type="spellStart"/>
                                  <w:r>
                                    <w:rPr>
                                      <w:sz w:val="18"/>
                                      <w:szCs w:val="18"/>
                                      <w:lang w:val="sv-SE"/>
                                    </w:rPr>
                                    <w:t>delay</w:t>
                                  </w:r>
                                  <w:proofErr w:type="spellEnd"/>
                                  <w:r>
                                    <w:rPr>
                                      <w:sz w:val="18"/>
                                      <w:szCs w:val="18"/>
                                      <w:lang w:val="sv-SE"/>
                                    </w:rPr>
                                    <w:t xml:space="preserve"> </w:t>
                                  </w:r>
                                  <w:proofErr w:type="spellStart"/>
                                  <w:r>
                                    <w:rPr>
                                      <w:sz w:val="18"/>
                                      <w:szCs w:val="18"/>
                                      <w:lang w:val="sv-SE"/>
                                    </w:rPr>
                                    <w:t>spread</w:t>
                                  </w:r>
                                  <w:proofErr w:type="spellEnd"/>
                                  <w:r>
                                    <w:rPr>
                                      <w:sz w:val="18"/>
                                      <w:szCs w:val="18"/>
                                      <w:lang w:val="sv-SE"/>
                                    </w:rPr>
                                    <w:t xml:space="preserve"> and </w:t>
                                  </w:r>
                                  <w:proofErr w:type="spellStart"/>
                                  <w:r>
                                    <w:rPr>
                                      <w:sz w:val="18"/>
                                      <w:szCs w:val="18"/>
                                      <w:lang w:val="sv-SE"/>
                                    </w:rPr>
                                    <w:t>time</w:t>
                                  </w:r>
                                  <w:proofErr w:type="spellEnd"/>
                                  <w:r>
                                    <w:rPr>
                                      <w:sz w:val="18"/>
                                      <w:szCs w:val="18"/>
                                      <w:lang w:val="sv-SE"/>
                                    </w:rPr>
                                    <w:t xml:space="preserve"> </w:t>
                                  </w:r>
                                  <w:proofErr w:type="spellStart"/>
                                  <w:r>
                                    <w:rPr>
                                      <w:sz w:val="18"/>
                                      <w:szCs w:val="18"/>
                                      <w:lang w:val="sv-SE"/>
                                    </w:rPr>
                                    <w:t>alignment</w:t>
                                  </w:r>
                                  <w:proofErr w:type="spellEnd"/>
                                  <w:r>
                                    <w:rPr>
                                      <w:sz w:val="18"/>
                                      <w:szCs w:val="18"/>
                                      <w:lang w:val="sv-SE"/>
                                    </w:rPr>
                                    <w:t xml:space="preserve"> </w:t>
                                  </w:r>
                                  <w:proofErr w:type="spellStart"/>
                                  <w:r>
                                    <w:rPr>
                                      <w:sz w:val="18"/>
                                      <w:szCs w:val="18"/>
                                      <w:lang w:val="sv-SE"/>
                                    </w:rPr>
                                    <w:t>error</w:t>
                                  </w:r>
                                  <w:proofErr w:type="spellEnd"/>
                                  <w:r>
                                    <w:rPr>
                                      <w:sz w:val="18"/>
                                      <w:szCs w:val="18"/>
                                      <w:lang w:val="sv-SE"/>
                                    </w:rPr>
                                    <w:t>.</w:t>
                                  </w:r>
                                </w:p>
                                <w:p w:rsidR="005F696E" w:rsidRDefault="005F696E">
                                  <w:pPr>
                                    <w:spacing w:before="0" w:after="0" w:line="240" w:lineRule="auto"/>
                                    <w:rPr>
                                      <w:sz w:val="18"/>
                                      <w:szCs w:val="18"/>
                                      <w:lang w:val="sv-SE"/>
                                    </w:rPr>
                                  </w:pPr>
                                  <w:r>
                                    <w:rPr>
                                      <w:sz w:val="18"/>
                                      <w:szCs w:val="18"/>
                                      <w:lang w:val="sv-SE"/>
                                    </w:rPr>
                                    <w:t xml:space="preserve">- SSB </w:t>
                                  </w:r>
                                  <w:proofErr w:type="spellStart"/>
                                  <w:r>
                                    <w:rPr>
                                      <w:sz w:val="18"/>
                                      <w:szCs w:val="18"/>
                                      <w:lang w:val="sv-SE"/>
                                    </w:rPr>
                                    <w:t>patterns</w:t>
                                  </w:r>
                                  <w:proofErr w:type="spellEnd"/>
                                </w:p>
                                <w:p w:rsidR="005F696E" w:rsidRDefault="005F696E">
                                  <w:pPr>
                                    <w:spacing w:before="0" w:after="0" w:line="240" w:lineRule="auto"/>
                                    <w:rPr>
                                      <w:sz w:val="18"/>
                                      <w:szCs w:val="18"/>
                                      <w:lang w:val="sv-SE"/>
                                    </w:rPr>
                                  </w:pPr>
                                  <w:r>
                                    <w:rPr>
                                      <w:sz w:val="18"/>
                                      <w:szCs w:val="18"/>
                                      <w:lang w:val="sv-SE"/>
                                    </w:rPr>
                                    <w:t xml:space="preserve">- SSB and 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w:t>
                                  </w:r>
                                  <w:proofErr w:type="spellEnd"/>
                                </w:p>
                                <w:p w:rsidR="005F696E" w:rsidRDefault="005F696E">
                                  <w:pPr>
                                    <w:spacing w:before="0" w:after="0" w:line="240" w:lineRule="auto"/>
                                    <w:rPr>
                                      <w:sz w:val="18"/>
                                      <w:szCs w:val="18"/>
                                      <w:lang w:val="sv-SE"/>
                                    </w:rPr>
                                  </w:pPr>
                                  <w:r>
                                    <w:rPr>
                                      <w:sz w:val="18"/>
                                      <w:szCs w:val="18"/>
                                      <w:lang w:val="sv-SE"/>
                                    </w:rPr>
                                    <w:t xml:space="preserve">- </w:t>
                                  </w: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rsidR="005F696E" w:rsidRDefault="005F696E">
                                  <w:pPr>
                                    <w:spacing w:before="0" w:after="0" w:line="240" w:lineRule="auto"/>
                                    <w:rPr>
                                      <w:sz w:val="18"/>
                                      <w:szCs w:val="18"/>
                                      <w:lang w:val="sv-SE"/>
                                    </w:rPr>
                                  </w:pPr>
                                  <w:r>
                                    <w:rPr>
                                      <w:sz w:val="18"/>
                                      <w:szCs w:val="18"/>
                                      <w:lang w:val="sv-SE"/>
                                    </w:rPr>
                                    <w:t xml:space="preserve">- RO </w:t>
                                  </w:r>
                                  <w:proofErr w:type="spellStart"/>
                                  <w:r>
                                    <w:rPr>
                                      <w:sz w:val="18"/>
                                      <w:szCs w:val="18"/>
                                      <w:lang w:val="sv-SE"/>
                                    </w:rPr>
                                    <w:t>configuration</w:t>
                                  </w:r>
                                  <w:proofErr w:type="spellEnd"/>
                                </w:p>
                                <w:p w:rsidR="005F696E" w:rsidRDefault="005F696E">
                                  <w:pPr>
                                    <w:spacing w:before="0" w:after="0" w:line="240" w:lineRule="auto"/>
                                    <w:rPr>
                                      <w:sz w:val="18"/>
                                      <w:szCs w:val="18"/>
                                      <w:lang w:val="sv-SE"/>
                                    </w:rPr>
                                  </w:pPr>
                                  <w:r>
                                    <w:rPr>
                                      <w:sz w:val="18"/>
                                      <w:szCs w:val="18"/>
                                      <w:lang w:val="sv-SE"/>
                                    </w:rPr>
                                    <w:t xml:space="preserve">- </w:t>
                                  </w:r>
                                  <w:r>
                                    <w:rPr>
                                      <w:sz w:val="18"/>
                                      <w:szCs w:val="18"/>
                                    </w:rPr>
                                    <w:t>Structure of DM-RS</w:t>
                                  </w:r>
                                </w:p>
                                <w:p w:rsidR="005F696E" w:rsidRDefault="005F696E">
                                  <w:pPr>
                                    <w:spacing w:before="0" w:after="0" w:line="240" w:lineRule="auto"/>
                                    <w:rPr>
                                      <w:sz w:val="18"/>
                                      <w:szCs w:val="18"/>
                                    </w:rPr>
                                  </w:pPr>
                                  <w:r>
                                    <w:rPr>
                                      <w:sz w:val="18"/>
                                      <w:szCs w:val="18"/>
                                    </w:rPr>
                                    <w:t>- PDCCH Monitoring</w:t>
                                  </w:r>
                                </w:p>
                              </w:tc>
                            </w:tr>
                          </w:tbl>
                          <w:p w:rsidR="005F696E" w:rsidRDefault="005F696E">
                            <w:pPr>
                              <w:rPr>
                                <w:lang w:val="sv-SE"/>
                              </w:rPr>
                            </w:pPr>
                          </w:p>
                        </w:txbxContent>
                      </v:textbox>
                      <w10:wrap type="square"/>
                    </v:shape>
                  </w:pict>
                </mc:Fallback>
              </mc:AlternateContent>
            </w:r>
          </w:p>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064C6E" w:rsidRDefault="0096002D" w:rsidP="0096002D">
            <w:pPr>
              <w:pStyle w:val="BodyText"/>
              <w:rPr>
                <w:lang w:eastAsia="zh-CN"/>
              </w:rPr>
            </w:pPr>
            <w:r>
              <w:rPr>
                <w:lang w:eastAsia="zh-CN"/>
              </w:rPr>
              <w:t>We share same view as Samsung.</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09209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2097" w:rsidRDefault="00092097" w:rsidP="001B1211">
            <w:pPr>
              <w:spacing w:after="0"/>
              <w:rPr>
                <w:rFonts w:hint="eastAsia"/>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092097" w:rsidRDefault="00092097" w:rsidP="001B121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w:t>
            </w:r>
            <w:proofErr w:type="gramStart"/>
            <w:r>
              <w:rPr>
                <w:lang w:val="sv-SE" w:eastAsia="zh-CN"/>
              </w:rPr>
              <w:t>and offers</w:t>
            </w:r>
            <w:proofErr w:type="gramEnd"/>
            <w:r>
              <w:rPr>
                <w:lang w:val="sv-SE" w:eastAsia="zh-CN"/>
              </w:rPr>
              <w:t xml:space="preserve">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w:t>
            </w:r>
            <w:proofErr w:type="gramStart"/>
            <w:r>
              <w:rPr>
                <w:rFonts w:eastAsiaTheme="minorEastAsia"/>
                <w:lang w:val="sv-SE" w:eastAsia="ko-KR"/>
              </w:rPr>
              <w:t>block and</w:t>
            </w:r>
            <w:proofErr w:type="gram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rsidR="00166733" w:rsidRDefault="00CC298C">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w:t>
            </w:r>
            <w:proofErr w:type="gramStart"/>
            <w:r>
              <w:rPr>
                <w:rFonts w:eastAsia="MS Mincho"/>
                <w:sz w:val="21"/>
                <w:lang w:val="sv-SE" w:eastAsia="ja-JP"/>
              </w:rPr>
              <w:t>support mixed</w:t>
            </w:r>
            <w:proofErr w:type="gramEnd"/>
            <w:r>
              <w:rPr>
                <w:rFonts w:eastAsia="MS Mincho"/>
                <w:sz w:val="21"/>
                <w:lang w:val="sv-SE" w:eastAsia="ja-JP"/>
              </w:rPr>
              <w:t xml:space="preserve">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rsidR="00166733" w:rsidRDefault="00CC298C">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09209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2097" w:rsidRDefault="00092097" w:rsidP="001B1211">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92097" w:rsidRDefault="00092097" w:rsidP="001B1211">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maximum supported subcarrier spacing and NCP/ECP usage:</w:t>
      </w:r>
    </w:p>
    <w:p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rsidR="00166733" w:rsidRDefault="00CC298C">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092097">
            <w:pPr>
              <w:spacing w:after="0"/>
              <w:rPr>
                <w:lang w:eastAsia="zh-CN"/>
              </w:rPr>
            </w:pPr>
            <w:r>
              <w:rPr>
                <w:lang w:eastAsia="zh-CN"/>
              </w:rPr>
              <w:t>V</w:t>
            </w:r>
            <w:r w:rsidR="00CC298C">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supporting SCSs up to 960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maximum SCS of 960KHz and NCP only.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SCS up to 960kHz with NCP, and ECP can be FFS.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NCP is enough.</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09209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2097" w:rsidRDefault="00092097" w:rsidP="001B1211">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92097" w:rsidRDefault="00092097" w:rsidP="001B1211">
            <w:pPr>
              <w:overflowPunct/>
              <w:autoSpaceDE/>
              <w:adjustRightInd/>
              <w:spacing w:after="0"/>
              <w:rPr>
                <w:rFonts w:hint="eastAsia"/>
                <w:lang w:eastAsia="zh-CN"/>
              </w:rPr>
            </w:pPr>
            <w:r>
              <w:rPr>
                <w:lang w:eastAsia="zh-CN"/>
              </w:rPr>
              <w:t xml:space="preserve">SCS up to 480 kHz with NCP. </w:t>
            </w:r>
          </w:p>
        </w:tc>
      </w:tr>
    </w:tbl>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{120 kHz, 240 </w:t>
            </w:r>
            <w:proofErr w:type="gramStart"/>
            <w:r>
              <w:rPr>
                <w:lang w:val="sv-SE" w:eastAsia="zh-CN"/>
              </w:rPr>
              <w:t>kHz }</w:t>
            </w:r>
            <w:proofErr w:type="gram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Theme="minorEastAsia"/>
                <w:lang w:val="sv-SE" w:eastAsia="ko-KR"/>
              </w:rPr>
            </w:pPr>
            <w:proofErr w:type="spellStart"/>
            <w:r>
              <w:rPr>
                <w:rFonts w:eastAsiaTheme="minorEastAsia"/>
                <w:lang w:val="sv-SE" w:eastAsia="ko-KR"/>
              </w:rPr>
              <w:t>Mototola</w:t>
            </w:r>
            <w:proofErr w:type="spellEnd"/>
          </w:p>
          <w:p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xml:space="preserve">. If the only major enhancement for PHY is the design of denser PTRS and the implementation of ICI compensation at the receiver then this is clearly less challenging than the </w:t>
            </w:r>
            <w:proofErr w:type="gramStart"/>
            <w:r>
              <w:rPr>
                <w:lang w:eastAsia="zh-CN"/>
              </w:rPr>
              <w:t>brand new</w:t>
            </w:r>
            <w:proofErr w:type="gramEnd"/>
            <w:r>
              <w:rPr>
                <w:lang w:eastAsia="zh-CN"/>
              </w:rPr>
              <w:t xml:space="preserve"> design required to support the shorter sampling rates, processing timelines and switching times required with 480 or 960 kHz SCS.</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rsidR="00166733" w:rsidRDefault="00166733">
            <w:pPr>
              <w:pStyle w:val="BodyText"/>
              <w:rPr>
                <w:rFonts w:ascii="Times New Roman" w:hAnsi="Times New Roman"/>
                <w:szCs w:val="20"/>
                <w:lang w:eastAsia="zh-CN"/>
              </w:rPr>
            </w:pPr>
          </w:p>
          <w:p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trPr>
                <w:trHeight w:val="20"/>
              </w:trPr>
              <w:tc>
                <w:tcPr>
                  <w:tcW w:w="2113" w:type="dxa"/>
                </w:tcPr>
                <w:p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rsidR="00166733" w:rsidRDefault="00CC298C">
                  <w:pPr>
                    <w:spacing w:after="120" w:line="280" w:lineRule="atLeast"/>
                    <w:jc w:val="center"/>
                    <w:rPr>
                      <w:b/>
                      <w:bCs/>
                      <w:kern w:val="24"/>
                    </w:rPr>
                  </w:pPr>
                  <w:r>
                    <w:rPr>
                      <w:b/>
                      <w:bCs/>
                      <w:kern w:val="24"/>
                    </w:rPr>
                    <w:t>Maximum supported MCS</w:t>
                  </w:r>
                </w:p>
              </w:tc>
              <w:tc>
                <w:tcPr>
                  <w:tcW w:w="1974" w:type="dxa"/>
                </w:tcPr>
                <w:p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(120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rsidR="00166733" w:rsidRDefault="00CC298C">
                  <w:pPr>
                    <w:spacing w:after="120" w:line="280" w:lineRule="atLeast"/>
                    <w:jc w:val="center"/>
                    <w:rPr>
                      <w:lang w:eastAsia="zh-CN"/>
                    </w:rPr>
                  </w:pPr>
                  <w:r>
                    <w:rPr>
                      <w:lang w:eastAsia="zh-CN"/>
                    </w:rPr>
                    <w:t>14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(240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(120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(240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3032 Mbps</w:t>
                  </w:r>
                </w:p>
              </w:tc>
              <w:tc>
                <w:tcPr>
                  <w:tcW w:w="1559" w:type="dxa"/>
                </w:tcPr>
                <w:p w:rsidR="00166733" w:rsidRDefault="00CC298C">
                  <w:pPr>
                    <w:spacing w:after="120" w:line="280" w:lineRule="atLeast"/>
                    <w:jc w:val="center"/>
                    <w:rPr>
                      <w:lang w:eastAsia="zh-CN"/>
                    </w:rPr>
                  </w:pPr>
                  <w:r>
                    <w:rPr>
                      <w:lang w:eastAsia="zh-CN"/>
                    </w:rPr>
                    <w:t>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(480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rsidR="00166733" w:rsidRDefault="00CC298C">
                  <w:pPr>
                    <w:spacing w:after="120" w:line="280" w:lineRule="atLeast"/>
                    <w:jc w:val="center"/>
                    <w:rPr>
                      <w:lang w:eastAsia="zh-CN"/>
                    </w:rPr>
                  </w:pPr>
                  <w:r>
                    <w:rPr>
                      <w:lang w:eastAsia="zh-CN"/>
                    </w:rPr>
                    <w:t>3</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(960 K, NCP) w/o ICI</w:t>
                  </w:r>
                </w:p>
              </w:tc>
              <w:tc>
                <w:tcPr>
                  <w:tcW w:w="2287" w:type="dxa"/>
                </w:tcPr>
                <w:p w:rsidR="00166733" w:rsidRDefault="00CC298C">
                  <w:pPr>
                    <w:spacing w:after="120" w:line="280" w:lineRule="atLeast"/>
                    <w:jc w:val="center"/>
                    <w:rPr>
                      <w:kern w:val="24"/>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rsidR="00166733" w:rsidRDefault="00CC298C">
                  <w:pPr>
                    <w:spacing w:after="120" w:line="280" w:lineRule="atLeast"/>
                    <w:jc w:val="center"/>
                    <w:rPr>
                      <w:kern w:val="24"/>
                      <w:lang w:eastAsia="zh-CN"/>
                    </w:rPr>
                  </w:pPr>
                  <w:r>
                    <w:rPr>
                      <w:kern w:val="24"/>
                      <w:lang w:eastAsia="zh-CN"/>
                    </w:rPr>
                    <w:t>2</w:t>
                  </w:r>
                </w:p>
              </w:tc>
            </w:tr>
          </w:tbl>
          <w:p w:rsidR="00166733" w:rsidRDefault="00166733">
            <w:pPr>
              <w:pStyle w:val="BodyText"/>
              <w:rPr>
                <w:rFonts w:ascii="Times New Roman" w:hAnsi="Times New Roman"/>
                <w:szCs w:val="20"/>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pStyle w:val="BodyText"/>
              <w:rPr>
                <w:lang w:eastAsia="zh-CN"/>
              </w:rPr>
            </w:pPr>
            <w:r>
              <w:rPr>
                <w:rFonts w:hint="eastAsia"/>
                <w:lang w:eastAsia="zh-CN"/>
              </w:rPr>
              <w:t>We share same view as Nokia.</w:t>
            </w:r>
          </w:p>
        </w:tc>
      </w:tr>
      <w:tr w:rsidR="0009209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2097" w:rsidRDefault="00092097" w:rsidP="0096002D">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092097" w:rsidRDefault="00803708" w:rsidP="0096002D">
            <w:pPr>
              <w:pStyle w:val="BodyText"/>
              <w:rPr>
                <w:rFonts w:hint="eastAsia"/>
                <w:lang w:eastAsia="zh-CN"/>
              </w:rPr>
            </w:pPr>
            <w:r>
              <w:rPr>
                <w:lang w:eastAsia="zh-CN"/>
              </w:rPr>
              <w:t xml:space="preserve">Essentially, the discussion on the maximum SCS is a trade-off between signal processing complexity (assuming an ICI filter) and complexity brought about by the increased timing </w:t>
            </w:r>
            <w:r w:rsidR="0094036C">
              <w:rPr>
                <w:lang w:eastAsia="zh-CN"/>
              </w:rPr>
              <w:t>constraints</w:t>
            </w:r>
            <w:r>
              <w:rPr>
                <w:lang w:eastAsia="zh-CN"/>
              </w:rPr>
              <w:t xml:space="preserve"> as we increase the size of the SCS. Both </w:t>
            </w:r>
            <w:r w:rsidR="0094036C">
              <w:rPr>
                <w:lang w:eastAsia="zh-CN"/>
              </w:rPr>
              <w:t xml:space="preserve">issues </w:t>
            </w:r>
            <w:r>
              <w:rPr>
                <w:lang w:eastAsia="zh-CN"/>
              </w:rPr>
              <w:t xml:space="preserve">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w:t>
            </w:r>
            <w:proofErr w:type="gramStart"/>
            <w:r>
              <w:rPr>
                <w:lang w:val="sv-SE" w:eastAsia="zh-CN"/>
              </w:rPr>
              <w:t>by :</w:t>
            </w:r>
            <w:proofErr w:type="gramEnd"/>
            <w:r>
              <w:rPr>
                <w:lang w:val="sv-SE" w:eastAsia="zh-CN"/>
              </w:rPr>
              <w:t xml:space="preserve">{120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Motorola</w:t>
            </w:r>
          </w:p>
          <w:p w:rsidR="00166733" w:rsidRDefault="00CC298C">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w:t>
            </w:r>
            <w:proofErr w:type="gramStart"/>
            <w:r>
              <w:rPr>
                <w:rFonts w:hint="eastAsia"/>
                <w:lang w:val="sv-SE" w:eastAsia="zh-CN"/>
              </w:rPr>
              <w:t>designing solutions</w:t>
            </w:r>
            <w:proofErr w:type="gramEnd"/>
            <w:r>
              <w:rPr>
                <w:rFonts w:hint="eastAsia"/>
                <w:lang w:val="sv-SE" w:eastAsia="zh-CN"/>
              </w:rPr>
              <w:t xml:space="preserve">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 xml:space="preserve">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gramStart"/>
            <w:r>
              <w:rPr>
                <w:lang w:val="sv-SE" w:eastAsia="zh-CN"/>
              </w:rPr>
              <w:t>and as</w:t>
            </w:r>
            <w:proofErr w:type="gramEnd"/>
            <w:r>
              <w:rPr>
                <w:lang w:val="sv-SE" w:eastAsia="zh-CN"/>
              </w:rPr>
              <w:t xml:space="preserve">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proofErr w:type="gramStart"/>
            <w:r>
              <w:rPr>
                <w:lang w:val="sv-SE" w:eastAsia="zh-CN"/>
              </w:rPr>
              <w:t>spread,mainly</w:t>
            </w:r>
            <w:proofErr w:type="spellEnd"/>
            <w:proofErr w:type="gram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proofErr w:type="gramStart"/>
            <w:r>
              <w:rPr>
                <w:lang w:val="sv-SE" w:eastAsia="zh-CN"/>
              </w:rPr>
              <w:t>scenario,but</w:t>
            </w:r>
            <w:proofErr w:type="spellEnd"/>
            <w:proofErr w:type="gram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80370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708" w:rsidRDefault="00803708" w:rsidP="0096002D">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803708" w:rsidRDefault="00803708" w:rsidP="0096002D">
            <w:pPr>
              <w:pStyle w:val="BodyText"/>
              <w:rPr>
                <w:rFonts w:hint="eastAsia"/>
                <w:lang w:eastAsia="zh-CN"/>
              </w:rPr>
            </w:pPr>
            <w:r>
              <w:rPr>
                <w:lang w:eastAsia="zh-CN"/>
              </w:rPr>
              <w:t xml:space="preserve">We do not think it is necessary to tie SCSs to specific </w:t>
            </w:r>
            <w:r w:rsidR="0094036C">
              <w:rPr>
                <w:lang w:eastAsia="zh-CN"/>
              </w:rPr>
              <w:t>scenarios</w:t>
            </w:r>
            <w:r>
              <w:rPr>
                <w:lang w:eastAsia="zh-CN"/>
              </w:rPr>
              <w:t xml:space="preserve">. On the peak data rate issue, this can be achieved with CA. </w:t>
            </w:r>
          </w:p>
        </w:tc>
      </w:tr>
    </w:tbl>
    <w:p w:rsidR="00166733" w:rsidRDefault="00166733">
      <w:pPr>
        <w:pStyle w:val="BodyText"/>
        <w:spacing w:after="0"/>
        <w:rPr>
          <w:rFonts w:ascii="Times New Roman" w:hAnsi="Times New Roman"/>
          <w:sz w:val="22"/>
          <w:szCs w:val="22"/>
          <w:lang w:eastAsia="zh-CN"/>
        </w:rPr>
      </w:pPr>
    </w:p>
    <w:p w:rsidR="00166733" w:rsidRPr="00C26549"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2.2 System Bandwidth &amp; Channelization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n=[2, 3, 4, 5] as the supported channel BW options for CA operation within a 2.16 GHz channel.</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w:t>
      </w:r>
      <w:r w:rsidR="00803708">
        <w:rPr>
          <w:rFonts w:ascii="Times New Roman" w:hAnsi="Times New Roman"/>
          <w:sz w:val="22"/>
          <w:szCs w:val="22"/>
          <w:lang w:eastAsia="zh-CN"/>
        </w:rPr>
        <w:t>–</w:t>
      </w:r>
      <w:r>
        <w:rPr>
          <w:rFonts w:ascii="Times New Roman" w:hAnsi="Times New Roman"/>
          <w:sz w:val="22"/>
          <w:szCs w:val="22"/>
          <w:lang w:eastAsia="zh-CN"/>
        </w:rPr>
        <w:t xml:space="preserve"> 71 GHz) and support 2.16 GHz channel bandwidth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other licensed frequency band (e.g. 52.6 GHz </w:t>
      </w:r>
      <w:r w:rsidR="00803708">
        <w:rPr>
          <w:rFonts w:ascii="Times New Roman" w:hAnsi="Times New Roman"/>
          <w:sz w:val="22"/>
          <w:szCs w:val="22"/>
          <w:lang w:eastAsia="zh-CN"/>
        </w:rPr>
        <w:t>–</w:t>
      </w:r>
      <w:r>
        <w:rPr>
          <w:rFonts w:ascii="Times New Roman" w:hAnsi="Times New Roman"/>
          <w:sz w:val="22"/>
          <w:szCs w:val="22"/>
          <w:lang w:eastAsia="zh-CN"/>
        </w:rPr>
        <w:t xml:space="preserve"> 57 GHz) or in a controlled environment without Wi-Fi devices, it can be designed uniformly with unlicensed band (i.e. 2.16 GHz) or independently (e.g. 400/800/1600 MHz)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 on supported minimum and maximum channel bandwidth:</w:t>
      </w:r>
    </w:p>
    <w:p w:rsidR="00166733" w:rsidRDefault="00CC298C">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w:t>
            </w:r>
            <w:proofErr w:type="spellStart"/>
            <w:r>
              <w:rPr>
                <w:lang w:val="sv-SE" w:eastAsia="zh-CN"/>
              </w:rPr>
              <w:t>eight</w:t>
            </w:r>
            <w:proofErr w:type="spellEnd"/>
            <w:proofErr w:type="gram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rsidR="00166733" w:rsidRDefault="00166733">
            <w:pPr>
              <w:overflowPunct/>
              <w:autoSpaceDE/>
              <w:adjustRightInd/>
              <w:spacing w:after="0"/>
              <w:rPr>
                <w:rFonts w:eastAsiaTheme="minorEastAsia"/>
                <w:lang w:val="sv-SE" w:eastAsia="ko-KR"/>
              </w:rPr>
            </w:pPr>
          </w:p>
          <w:p w:rsidR="00166733" w:rsidRDefault="00CC298C">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w:t>
            </w:r>
            <w:proofErr w:type="gramStart"/>
            <w:r>
              <w:rPr>
                <w:rFonts w:eastAsiaTheme="minorEastAsia"/>
                <w:lang w:val="sv-SE" w:eastAsia="ko-KR"/>
              </w:rPr>
              <w:t>chip area</w:t>
            </w:r>
            <w:proofErr w:type="gram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For operation without CA, support two CBWs: 400 MHz (120 kHz SCS) and 2.16 GHz (960 kHz SCS):</w:t>
            </w:r>
          </w:p>
          <w:p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rsidR="00166733" w:rsidRDefault="00CC298C">
            <w:pPr>
              <w:pStyle w:val="ListParagraph"/>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166733" w:rsidRDefault="00CC298C">
            <w:pPr>
              <w:overflowPunct/>
              <w:autoSpaceDE/>
              <w:adjustRightInd/>
              <w:spacing w:after="0"/>
              <w:rPr>
                <w:rFonts w:eastAsiaTheme="minorEastAsia"/>
                <w:lang w:val="sv-SE" w:eastAsia="ko-KR"/>
              </w:rPr>
            </w:pPr>
            <w:proofErr w:type="spellStart"/>
            <w:r>
              <w:rPr>
                <w:lang w:eastAsia="zh-CN"/>
              </w:rPr>
              <w:lastRenderedPageBreak/>
              <w:t>W.r.t.</w:t>
            </w:r>
            <w:proofErr w:type="spellEnd"/>
            <w:r>
              <w:rPr>
                <w:lang w:eastAsia="zh-CN"/>
              </w:rPr>
              <w:t xml:space="preserve"> minimum BW, SSB/PRACH numerologies need to be decided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rsidR="00166733" w:rsidRDefault="00CC298C">
            <w:pPr>
              <w:overflowPunct/>
              <w:autoSpaceDE/>
              <w:adjustRightInd/>
              <w:spacing w:after="0"/>
              <w:rPr>
                <w:lang w:eastAsia="zh-CN"/>
              </w:rPr>
            </w:pPr>
            <w:r>
              <w:rPr>
                <w:rFonts w:eastAsia="MS Mincho"/>
                <w:lang w:val="sv-SE" w:eastAsia="ja-JP"/>
              </w:rPr>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rsidR="00166733" w:rsidRDefault="00CC298C">
            <w:pPr>
              <w:overflowPunct/>
              <w:autoSpaceDE/>
              <w:adjustRightInd/>
              <w:spacing w:after="0"/>
              <w:rPr>
                <w:lang w:eastAsia="zh-CN"/>
              </w:rPr>
            </w:pPr>
            <w:r>
              <w:rPr>
                <w:lang w:eastAsia="zh-CN"/>
              </w:rPr>
              <w:t xml:space="preserve"> </w:t>
            </w:r>
          </w:p>
          <w:p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rsidR="00166733" w:rsidRDefault="00CC298C">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proofErr w:type="spellStart"/>
            <w:r>
              <w:rPr>
                <w:lang w:val="sv-SE" w:eastAsia="zh-CN"/>
              </w:rPr>
              <w:t>We</w:t>
            </w:r>
            <w:proofErr w:type="spellEnd"/>
            <w:r>
              <w:rPr>
                <w:lang w:val="sv-SE" w:eastAsia="zh-CN"/>
              </w:rPr>
              <w:t xml:space="preserve"> </w:t>
            </w:r>
            <w:proofErr w:type="gramStart"/>
            <w:r>
              <w:rPr>
                <w:lang w:val="sv-SE" w:eastAsia="zh-CN"/>
              </w:rPr>
              <w:t>support maximum</w:t>
            </w:r>
            <w:proofErr w:type="gram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166733" w:rsidRPr="0046150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Minimum BW = 50 MHz (FR2 minimum BW)</w:t>
            </w:r>
          </w:p>
          <w:p w:rsidR="00166733" w:rsidRDefault="00CC298C">
            <w:pPr>
              <w:rPr>
                <w:lang w:val="sv-SE" w:eastAsia="zh-CN"/>
              </w:rPr>
            </w:pPr>
            <w:r>
              <w:rPr>
                <w:lang w:val="sv-SE" w:eastAsia="zh-CN"/>
              </w:rPr>
              <w:t>Maximum BW = 400 MHz, 800 MHz,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rsidR="00166733" w:rsidRDefault="00CC298C">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rsidR="00166733" w:rsidRDefault="00CC298C">
            <w:pPr>
              <w:rPr>
                <w:lang w:eastAsia="zh-CN"/>
              </w:rPr>
            </w:pPr>
            <w:r>
              <w:rPr>
                <w:lang w:val="sv-SE" w:eastAsia="zh-CN"/>
              </w:rPr>
              <w:lastRenderedPageBreak/>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410722"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rsidR="00410722" w:rsidRPr="00E92331" w:rsidRDefault="00410722" w:rsidP="00410722">
            <w:pPr>
              <w:rPr>
                <w:lang w:val="de-DE" w:eastAsia="zh-CN"/>
              </w:rPr>
            </w:pPr>
            <w:r w:rsidRPr="00E92331">
              <w:rPr>
                <w:rFonts w:hint="eastAsia"/>
                <w:lang w:val="de-DE" w:eastAsia="zh-CN"/>
              </w:rPr>
              <w:t xml:space="preserve">Support </w:t>
            </w:r>
            <w:proofErr w:type="spellStart"/>
            <w:r w:rsidRPr="00E92331">
              <w:rPr>
                <w:rFonts w:hint="eastAsia"/>
                <w:lang w:val="de-DE" w:eastAsia="zh-CN"/>
              </w:rPr>
              <w:t>maximum</w:t>
            </w:r>
            <w:proofErr w:type="spellEnd"/>
            <w:r w:rsidRPr="00E92331">
              <w:rPr>
                <w:rFonts w:hint="eastAsia"/>
                <w:lang w:val="de-DE" w:eastAsia="zh-CN"/>
              </w:rPr>
              <w:t xml:space="preserve"> </w:t>
            </w:r>
            <w:proofErr w:type="spellStart"/>
            <w:r w:rsidRPr="00E92331">
              <w:rPr>
                <w:lang w:val="de-DE" w:eastAsia="zh-CN"/>
              </w:rPr>
              <w:t>bandwidth</w:t>
            </w:r>
            <w:proofErr w:type="spellEnd"/>
            <w:r w:rsidRPr="00E92331">
              <w:rPr>
                <w:lang w:val="de-DE" w:eastAsia="zh-CN"/>
              </w:rPr>
              <w:t>:</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rPr>
                <w:lang w:eastAsia="zh-CN"/>
              </w:rPr>
            </w:pPr>
            <w:r>
              <w:rPr>
                <w:lang w:eastAsia="zh-CN"/>
              </w:rPr>
              <w:t>We prefer maximum channel bandwidth of 400MHz for 120kHz and 1600MHz for 480kHz.</w:t>
            </w:r>
          </w:p>
        </w:tc>
      </w:tr>
      <w:tr w:rsidR="00803708"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708" w:rsidRDefault="00803708" w:rsidP="001B1211">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803708" w:rsidRDefault="00803708" w:rsidP="001B1211">
            <w:pPr>
              <w:rPr>
                <w:lang w:eastAsia="zh-CN"/>
              </w:rPr>
            </w:pPr>
            <w:r>
              <w:rPr>
                <w:lang w:eastAsia="zh-CN"/>
              </w:rPr>
              <w:t xml:space="preserve">Maximum bandwidths </w:t>
            </w:r>
            <w:r w:rsidR="0094036C">
              <w:rPr>
                <w:lang w:eastAsia="zh-CN"/>
              </w:rPr>
              <w:t>of</w:t>
            </w:r>
            <w:r>
              <w:rPr>
                <w:lang w:eastAsia="zh-CN"/>
              </w:rPr>
              <w:t xml:space="preserve"> 400 MHz and 1.6 GHz. 2.16 GHz can be achieved by CA.</w:t>
            </w:r>
            <w:r w:rsidR="0094036C">
              <w:rPr>
                <w:lang w:eastAsia="zh-CN"/>
              </w:rPr>
              <w:t xml:space="preserve"> Minimum BWs can be selected to minimize the wastage of spectrum when aligning with existing 2.16 GHz 802.11ad/ay channels.</w:t>
            </w:r>
          </w:p>
        </w:tc>
      </w:tr>
    </w:tbl>
    <w:p w:rsidR="00166733" w:rsidRDefault="00166733">
      <w:pPr>
        <w:pStyle w:val="BodyText"/>
        <w:spacing w:after="0"/>
        <w:rPr>
          <w:rFonts w:ascii="Times New Roman" w:hAnsi="Times New Roman"/>
          <w:sz w:val="22"/>
          <w:szCs w:val="22"/>
          <w:lang w:val="sv-SE" w:eastAsia="zh-CN"/>
        </w:rPr>
      </w:pPr>
    </w:p>
    <w:p w:rsidR="00166733" w:rsidRPr="00E92331" w:rsidRDefault="00166733">
      <w:pPr>
        <w:pStyle w:val="BodyText"/>
        <w:spacing w:after="0"/>
        <w:rPr>
          <w:rFonts w:ascii="Times New Roman" w:hAnsi="Times New Roman"/>
          <w:sz w:val="22"/>
          <w:szCs w:val="22"/>
          <w:lang w:val="de-DE" w:eastAsia="zh-CN"/>
        </w:rPr>
      </w:pPr>
    </w:p>
    <w:p w:rsidR="00166733" w:rsidRDefault="00CC298C">
      <w:pPr>
        <w:pStyle w:val="Heading5"/>
        <w:rPr>
          <w:lang w:eastAsia="zh-CN"/>
        </w:rPr>
      </w:pPr>
      <w:r>
        <w:rPr>
          <w:lang w:eastAsia="zh-CN"/>
        </w:rPr>
        <w:t>Company Comments on channelization from RAN1 perspective:</w:t>
      </w:r>
    </w:p>
    <w:p w:rsidR="00166733" w:rsidRDefault="00CC298C">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w:t>
            </w:r>
            <w:proofErr w:type="gramStart"/>
            <w:r>
              <w:rPr>
                <w:lang w:val="sv-SE" w:eastAsia="zh-CN"/>
              </w:rPr>
              <w:t>access and</w:t>
            </w:r>
            <w:proofErr w:type="gramEnd"/>
            <w:r>
              <w:rPr>
                <w:lang w:val="sv-SE" w:eastAsia="zh-CN"/>
              </w:rPr>
              <w:t xml:space="preserve">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w:t>
            </w:r>
            <w:proofErr w:type="spellStart"/>
            <w:r>
              <w:rPr>
                <w:lang w:val="sv-SE" w:eastAsia="zh-CN"/>
              </w:rPr>
              <w:t>Europe</w:t>
            </w:r>
            <w:proofErr w:type="spellEnd"/>
            <w:r>
              <w:rPr>
                <w:lang w:val="sv-SE" w:eastAsia="zh-CN"/>
              </w:rPr>
              <w:t xml:space="preserv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rsidR="00166733" w:rsidRDefault="00166733">
            <w:pPr>
              <w:overflowPunct/>
              <w:autoSpaceDE/>
              <w:adjustRightInd/>
              <w:spacing w:after="0"/>
              <w:rPr>
                <w:lang w:val="sv-SE" w:eastAsia="zh-CN"/>
              </w:rPr>
            </w:pP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166733" w:rsidRDefault="00166733">
            <w:pPr>
              <w:overflowPunct/>
              <w:autoSpaceDE/>
              <w:adjustRightInd/>
              <w:spacing w:after="0"/>
              <w:rPr>
                <w:lang w:eastAsia="zh-CN"/>
              </w:rPr>
            </w:pPr>
          </w:p>
          <w:p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rsidR="00166733" w:rsidRDefault="00166733">
            <w:pPr>
              <w:overflowPunct/>
              <w:autoSpaceDE/>
              <w:adjustRightInd/>
              <w:spacing w:after="0"/>
              <w:rPr>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Share the same view as Samsung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rsidR="00166733" w:rsidRDefault="00166733">
            <w:pPr>
              <w:overflowPunct/>
              <w:autoSpaceDE/>
              <w:adjustRightInd/>
              <w:spacing w:after="0"/>
              <w:rPr>
                <w:lang w:eastAsia="zh-CN"/>
              </w:rPr>
            </w:pPr>
          </w:p>
          <w:p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80370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708" w:rsidRDefault="00803708" w:rsidP="001B1211">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803708" w:rsidRDefault="00803708" w:rsidP="001B1211">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 xml:space="preserve">2.3 SSB </w:t>
      </w:r>
    </w:p>
    <w:p w:rsidR="00166733" w:rsidRDefault="00CC298C">
      <w:pPr>
        <w:pStyle w:val="Heading3"/>
        <w:rPr>
          <w:lang w:eastAsia="zh-CN"/>
        </w:rPr>
      </w:pPr>
      <w:r>
        <w:rPr>
          <w:lang w:eastAsia="zh-CN"/>
        </w:rPr>
        <w:t>2.3.1 SSB numerology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highlight w:val="yellow"/>
          <w:lang w:eastAsia="zh-CN"/>
        </w:rPr>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would be great if we can also progress bit further on other aspects about SSB. I believe similar discussion for data SCS will also apply to SSB, which may include number of supported SSB SCS, specification impact for different supported numerologies, maximum supports SCS, implementation complexity, and scenarios enabled by different numerologies. There could be other aspects, please comment further.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numerology section can focus on (but not necessarily limited to) number of supported SSB SCS, implementation complexity, scenario enablement. The rest of the issues can be also discussed in SSB pattern and SSB/CORESET multiplexing section (section 2.3.2)</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applicable SSB and related issues (including number of supported SSB SCS, implementation complexity, scenario enablement):</w:t>
      </w:r>
    </w:p>
    <w:p w:rsidR="00166733" w:rsidRDefault="00CC298C">
      <w:pPr>
        <w:rPr>
          <w:i/>
          <w:iCs/>
          <w:lang w:val="en-GB" w:eastAsia="zh-CN"/>
        </w:rPr>
      </w:pPr>
      <w:r>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proofErr w:type="gramStart"/>
            <w:r>
              <w:rPr>
                <w:lang w:val="sv-SE" w:eastAsia="zh-CN"/>
              </w:rPr>
              <w:t>numerology</w:t>
            </w:r>
            <w:proofErr w:type="spellEnd"/>
            <w:r>
              <w:rPr>
                <w:lang w:val="sv-SE" w:eastAsia="zh-CN"/>
              </w:rPr>
              <w:t xml:space="preserve">  240</w:t>
            </w:r>
            <w:proofErr w:type="gramEnd"/>
            <w:r>
              <w:rPr>
                <w:lang w:val="sv-SE" w:eastAsia="zh-CN"/>
              </w:rPr>
              <w:t xml:space="preserve">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from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w:t>
            </w:r>
            <w:r w:rsidR="00C23D20">
              <w:rPr>
                <w:lang w:val="sv-SE" w:eastAsia="zh-CN"/>
              </w:rPr>
              <w:t>’</w:t>
            </w:r>
            <w:r>
              <w:rPr>
                <w:lang w:val="sv-SE" w:eastAsia="zh-CN"/>
              </w:rPr>
              <w:t>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w:t>
            </w:r>
            <w:r w:rsidR="00C23D20">
              <w:rPr>
                <w:lang w:val="sv-SE" w:eastAsia="zh-CN"/>
              </w:rPr>
              <w:t>’</w:t>
            </w:r>
            <w:r>
              <w:rPr>
                <w:lang w:val="sv-SE" w:eastAsia="zh-CN"/>
              </w:rPr>
              <w:t>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w:t>
            </w:r>
            <w:proofErr w:type="gramStart"/>
            <w:r>
              <w:rPr>
                <w:lang w:val="sv-SE" w:eastAsia="zh-CN"/>
              </w:rPr>
              <w:t>SCSs</w:t>
            </w:r>
            <w:proofErr w:type="gramEnd"/>
            <w:r>
              <w:rPr>
                <w:lang w:val="sv-SE" w:eastAsia="zh-CN"/>
              </w:rPr>
              <w:t xml:space="preserve">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gramStart"/>
            <w:r>
              <w:rPr>
                <w:lang w:val="sv-SE" w:eastAsia="zh-CN"/>
              </w:rPr>
              <w:t>and implementation</w:t>
            </w:r>
            <w:proofErr w:type="gram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w:t>
            </w:r>
            <w:proofErr w:type="gramStart"/>
            <w:r>
              <w:rPr>
                <w:lang w:val="sv-SE" w:eastAsia="zh-CN"/>
              </w:rPr>
              <w:t>in &gt;</w:t>
            </w:r>
            <w:proofErr w:type="gramEnd"/>
            <w:r>
              <w:rPr>
                <w:lang w:val="sv-SE" w:eastAsia="zh-CN"/>
              </w:rPr>
              <w:t xml:space="preserve">52.6GHz </w:t>
            </w:r>
            <w:proofErr w:type="spellStart"/>
            <w:r>
              <w:rPr>
                <w:lang w:val="sv-SE" w:eastAsia="zh-CN"/>
              </w:rPr>
              <w:t>spectrum</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w:t>
            </w:r>
            <w:r>
              <w:rPr>
                <w:lang w:val="sv-SE" w:eastAsia="zh-CN"/>
              </w:rPr>
              <w:lastRenderedPageBreak/>
              <w:t xml:space="preserve">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w:t>
            </w:r>
            <w:proofErr w:type="gramStart"/>
            <w:r>
              <w:rPr>
                <w:rFonts w:eastAsia="MS Mincho"/>
                <w:lang w:val="sv-SE" w:eastAsia="ja-JP"/>
              </w:rPr>
              <w:t>2,  new</w:t>
            </w:r>
            <w:proofErr w:type="gramEnd"/>
            <w:r>
              <w:rPr>
                <w:rFonts w:eastAsia="MS Mincho"/>
                <w:lang w:val="sv-SE" w:eastAsia="ja-JP"/>
              </w:rPr>
              <w:t xml:space="preserve">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rsidR="00166733" w:rsidRDefault="00CC298C">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w:t>
            </w:r>
            <w:proofErr w:type="gramStart"/>
            <w:r>
              <w:rPr>
                <w:lang w:val="sv-SE" w:eastAsia="zh-CN"/>
              </w:rPr>
              <w:t>SSBs</w:t>
            </w:r>
            <w:proofErr w:type="gram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rsidR="00166733" w:rsidRDefault="00CC298C">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rsidR="00166733" w:rsidRDefault="00CC298C">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rsidR="00166733" w:rsidRDefault="00CC298C">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r>
              <w:rPr>
                <w:rFonts w:hint="eastAsia"/>
                <w:lang w:eastAsia="zh-CN"/>
              </w:rPr>
              <w:t>n</w:t>
            </w:r>
            <w:r>
              <w:rPr>
                <w:lang w:eastAsia="zh-CN"/>
              </w:rPr>
              <w:t>’</w:t>
            </w:r>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C2654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549" w:rsidRDefault="00C26549" w:rsidP="00C26549">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rsidR="00C26549" w:rsidRDefault="00C26549" w:rsidP="00C2654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3F1765" w:rsidRDefault="00410722" w:rsidP="00410722">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410722" w:rsidRPr="003F1765" w:rsidRDefault="00410722" w:rsidP="00410722">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gramStart"/>
            <w:r>
              <w:rPr>
                <w:lang w:val="sv-SE" w:eastAsia="zh-CN"/>
              </w:rPr>
              <w:t>data transmission</w:t>
            </w:r>
            <w:proofErr w:type="gramEnd"/>
            <w:r>
              <w:rPr>
                <w:lang w:val="sv-SE" w:eastAsia="zh-CN"/>
              </w:rPr>
              <w:t>.</w:t>
            </w:r>
          </w:p>
        </w:tc>
      </w:tr>
      <w:tr w:rsid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2331" w:rsidRDefault="00E92331" w:rsidP="00E92331">
            <w:pPr>
              <w:spacing w:after="0"/>
              <w:rPr>
                <w:lang w:eastAsia="zh-CN"/>
              </w:rPr>
            </w:pPr>
            <w:r>
              <w:rPr>
                <w:lang w:eastAsia="zh-CN"/>
              </w:rPr>
              <w:t>Lenovo,</w:t>
            </w:r>
          </w:p>
          <w:p w:rsidR="00E92331" w:rsidRDefault="00E92331" w:rsidP="00E92331">
            <w:pPr>
              <w:spacing w:after="0"/>
              <w:rPr>
                <w:lang w:eastAsia="zh-CN"/>
              </w:rPr>
            </w:pPr>
            <w:r>
              <w:rPr>
                <w:lang w:eastAsia="zh-CN"/>
              </w:rPr>
              <w:t>Motorola</w:t>
            </w:r>
          </w:p>
          <w:p w:rsidR="00E92331" w:rsidRDefault="00E92331" w:rsidP="00E92331">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E92331" w:rsidRDefault="00E92331" w:rsidP="00E92331">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rsidR="00E92331" w:rsidRDefault="00E92331" w:rsidP="00E92331">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Pr="0098343A" w:rsidRDefault="001B1211" w:rsidP="001B1211">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Pr="0098343A" w:rsidRDefault="001B1211" w:rsidP="001B1211">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rsidP="001B1211">
            <w:pPr>
              <w:spacing w:after="0"/>
              <w:rPr>
                <w:rFonts w:hint="eastAsia"/>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rsidP="001B1211">
            <w:pPr>
              <w:tabs>
                <w:tab w:val="left" w:pos="799"/>
              </w:tabs>
              <w:overflowPunct/>
              <w:autoSpaceDE/>
              <w:adjustRightInd/>
              <w:spacing w:after="0"/>
              <w:rPr>
                <w:lang w:val="sv-SE" w:eastAsia="zh-CN"/>
              </w:rPr>
            </w:pPr>
            <w:proofErr w:type="spellStart"/>
            <w:proofErr w:type="gramStart"/>
            <w:r>
              <w:rPr>
                <w:lang w:val="sv-SE" w:eastAsia="zh-CN"/>
              </w:rPr>
              <w:t>We</w:t>
            </w:r>
            <w:proofErr w:type="spellEnd"/>
            <w:r>
              <w:rPr>
                <w:lang w:val="sv-SE" w:eastAsia="zh-CN"/>
              </w:rPr>
              <w:t xml:space="preserve">  </w:t>
            </w:r>
            <w:proofErr w:type="spellStart"/>
            <w:r>
              <w:rPr>
                <w:lang w:val="sv-SE" w:eastAsia="zh-CN"/>
              </w:rPr>
              <w:t>prefer</w:t>
            </w:r>
            <w:proofErr w:type="spellEnd"/>
            <w:proofErr w:type="gram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2.3.2 SSB pattern and SSB/CORESET multiplexing</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SSB patterns of Case D and Case E can be reused in frequency range above 52.6 GHz for licensed band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18: If LBT was used for the SSBs, to provide multiple SSB transmission opportunities for the same beam in the DRS window against LBT failures, two principles could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166733" w:rsidRDefault="00CC298C">
      <w:pPr>
        <w:pStyle w:val="BodyText"/>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Existing Rel-15/16 framework for initial access including SS/PBCH-CORESET0 multiplexing patterns, multiplexing of SS/PBCH and </w:t>
      </w:r>
      <w:r>
        <w:rPr>
          <w:rFonts w:eastAsia="SimSun"/>
          <w:lang w:eastAsia="zh-CN"/>
        </w:rPr>
        <w:lastRenderedPageBreak/>
        <w:t>other signals/channels, and Type0-PDCCH CSS configurations have significant flexibility to cover a large number of deployment scenarios in the 52.6 – 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highlight w:val="yellow"/>
          <w:lang w:eastAsia="zh-CN"/>
        </w:rPr>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lastRenderedPageBreak/>
        <w:t>Company Comments on SSB pattern and SSB/CORESET multiplexing and related issues (including specification impact, single numerology operation, scenario enablement):</w:t>
      </w:r>
    </w:p>
    <w:p w:rsidR="00166733" w:rsidRDefault="00CC298C">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proofErr w:type="gramStart"/>
            <w:r>
              <w:rPr>
                <w:lang w:val="sv-SE" w:eastAsia="zh-CN"/>
              </w:rPr>
              <w:t>additional</w:t>
            </w:r>
            <w:proofErr w:type="spellEnd"/>
            <w:r>
              <w:rPr>
                <w:lang w:val="sv-SE" w:eastAsia="zh-CN"/>
              </w:rPr>
              <w:t xml:space="preserve">  </w:t>
            </w:r>
            <w:proofErr w:type="spellStart"/>
            <w:r>
              <w:rPr>
                <w:lang w:val="sv-SE" w:eastAsia="zh-CN"/>
              </w:rPr>
              <w:t>beam</w:t>
            </w:r>
            <w:proofErr w:type="spellEnd"/>
            <w:proofErr w:type="gram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First shared channel and SSB SCS shall be agreed, to proceed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rsidR="00166733" w:rsidRDefault="00CC298C">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w:t>
            </w:r>
            <w:proofErr w:type="gramStart"/>
            <w:r>
              <w:rPr>
                <w:lang w:val="sv-SE" w:eastAsia="zh-CN"/>
              </w:rPr>
              <w:t>symbol duration</w:t>
            </w:r>
            <w:proofErr w:type="gram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rsidR="00166733" w:rsidRDefault="00CC298C">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rsidR="00166733" w:rsidRDefault="00CC298C">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4D00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098" w:rsidRDefault="004D0098" w:rsidP="004D0098">
            <w:pPr>
              <w:spacing w:after="0"/>
              <w:rPr>
                <w:lang w:val="sv-SE" w:eastAsia="zh-CN"/>
              </w:rPr>
            </w:pPr>
            <w:proofErr w:type="spellStart"/>
            <w:r>
              <w:rPr>
                <w:rFonts w:hint="eastAsia"/>
                <w:lang w:val="sv-SE" w:eastAsia="zh-CN"/>
              </w:rPr>
              <w:lastRenderedPageBreak/>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rsidR="004D0098" w:rsidRDefault="004D0098" w:rsidP="004D0098">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proofErr w:type="gramStart"/>
            <w:r>
              <w:rPr>
                <w:rFonts w:hint="eastAsia"/>
                <w:lang w:val="sv-SE" w:eastAsia="zh-CN"/>
              </w:rPr>
              <w:t>design</w:t>
            </w:r>
            <w:r>
              <w:rPr>
                <w:lang w:val="sv-SE" w:eastAsia="zh-CN"/>
              </w:rPr>
              <w:t xml:space="preserve"> </w:t>
            </w:r>
            <w:r>
              <w:rPr>
                <w:rFonts w:hint="eastAsia"/>
                <w:lang w:val="sv-SE" w:eastAsia="zh-CN"/>
              </w:rPr>
              <w:t>and</w:t>
            </w:r>
            <w:proofErr w:type="gramEnd"/>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F74878"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F74878" w:rsidRDefault="00410722" w:rsidP="00410722">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rsidP="001B1211">
            <w:pPr>
              <w:spacing w:after="0"/>
              <w:rPr>
                <w:rFonts w:hint="eastAsia"/>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rsidP="001B1211">
            <w:pPr>
              <w:overflowPunct/>
              <w:autoSpaceDE/>
              <w:adjustRightInd/>
              <w:spacing w:after="0"/>
              <w:rPr>
                <w:lang w:eastAsia="zh-CN"/>
              </w:rPr>
            </w:pPr>
            <w:r>
              <w:rPr>
                <w:lang w:eastAsia="zh-CN"/>
              </w:rPr>
              <w:t xml:space="preserve">Ideally, the SCSs for the SSB and data need to be decided first. However, we prefer to maximally </w:t>
            </w:r>
            <w:r w:rsidR="009234EC">
              <w:rPr>
                <w:lang w:eastAsia="zh-CN"/>
              </w:rPr>
              <w:t>reuse</w:t>
            </w:r>
            <w:r>
              <w:rPr>
                <w:lang w:eastAsia="zh-CN"/>
              </w:rPr>
              <w:t xml:space="preserve"> the R15 design.</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2.3.3 Initial access related aspects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w:t>
            </w:r>
            <w:proofErr w:type="gramStart"/>
            <w:r>
              <w:rPr>
                <w:lang w:val="sv-SE" w:eastAsia="zh-CN"/>
              </w:rPr>
              <w:t>access design</w:t>
            </w:r>
            <w:proofErr w:type="gramEnd"/>
            <w:r>
              <w:rPr>
                <w:lang w:val="sv-SE" w:eastAsia="zh-CN"/>
              </w:rPr>
              <w:t xml:space="preserve">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w:t>
            </w:r>
            <w:proofErr w:type="gramStart"/>
            <w:r>
              <w:rPr>
                <w:lang w:val="sv-SE" w:eastAsia="zh-CN"/>
              </w:rPr>
              <w:t>as the</w:t>
            </w:r>
            <w:proofErr w:type="gramEnd"/>
            <w:r>
              <w:rPr>
                <w:lang w:val="sv-SE" w:eastAsia="zh-CN"/>
              </w:rPr>
              <w:t xml:space="preserv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2.4 PRACH</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4"/>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166733">
      <w:pPr>
        <w:pStyle w:val="ListParagraph"/>
        <w:spacing w:line="256" w:lineRule="auto"/>
        <w:ind w:left="1296"/>
        <w:rPr>
          <w:lang w:eastAsia="zh-CN"/>
        </w:rPr>
      </w:pPr>
    </w:p>
    <w:p w:rsidR="00166733" w:rsidRDefault="00CC298C">
      <w:pPr>
        <w:pStyle w:val="Heading5"/>
        <w:rPr>
          <w:lang w:eastAsia="zh-CN"/>
        </w:rPr>
      </w:pPr>
      <w:r>
        <w:rPr>
          <w:highlight w:val="yellow"/>
          <w:lang w:eastAsia="zh-CN"/>
        </w:rPr>
        <w:lastRenderedPageBreak/>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proofErr w:type="gramStart"/>
            <w:r>
              <w:rPr>
                <w:lang w:val="sv-SE" w:eastAsia="zh-CN"/>
              </w:rPr>
              <w:t>sequences</w:t>
            </w:r>
            <w:proofErr w:type="spellEnd"/>
            <w:r>
              <w:rPr>
                <w:lang w:val="sv-SE" w:eastAsia="zh-CN"/>
              </w:rPr>
              <w:t xml:space="preserve"> </w:t>
            </w:r>
            <w:r>
              <w:rPr>
                <w:sz w:val="22"/>
                <w:szCs w:val="22"/>
                <w:lang w:eastAsia="zh-CN"/>
              </w:rPr>
              <w:t xml:space="preserve"> 571</w:t>
            </w:r>
            <w:proofErr w:type="gramEnd"/>
            <w:r>
              <w:rPr>
                <w:sz w:val="22"/>
                <w:szCs w:val="22"/>
                <w:lang w:eastAsia="zh-CN"/>
              </w:rPr>
              <w:t xml:space="preserve">/1151, support  non-consecutive RO with fixed (short) LBT , prefer SCS of 240 kHz for PRACH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w:t>
            </w:r>
            <w:proofErr w:type="gramStart"/>
            <w:r>
              <w:rPr>
                <w:lang w:val="sv-SE" w:eastAsia="zh-CN"/>
              </w:rPr>
              <w:t>PRACH,  (</w:t>
            </w:r>
            <w:proofErr w:type="gramEnd"/>
            <w:r>
              <w:rPr>
                <w:lang w:val="sv-SE" w:eastAsia="zh-CN"/>
              </w:rPr>
              <w:t xml:space="preserve">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limiting</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rsidR="00166733" w:rsidRDefault="00CC298C">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rsidR="00166733" w:rsidRDefault="00CC298C">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w:t>
            </w:r>
            <w:proofErr w:type="gramStart"/>
            <w:r>
              <w:rPr>
                <w:lang w:val="sv-SE" w:eastAsia="zh-CN"/>
              </w:rPr>
              <w:t>is not</w:t>
            </w:r>
            <w:proofErr w:type="gramEnd"/>
            <w:r>
              <w:rPr>
                <w:lang w:val="sv-SE" w:eastAsia="zh-CN"/>
              </w:rPr>
              <w:t xml:space="preserve"> </w:t>
            </w:r>
            <w:proofErr w:type="spellStart"/>
            <w:r>
              <w:rPr>
                <w:lang w:val="sv-SE" w:eastAsia="zh-CN"/>
              </w:rPr>
              <w:t>preferred</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w:t>
            </w:r>
            <w:proofErr w:type="gramStart"/>
            <w:r>
              <w:rPr>
                <w:lang w:val="sv-SE" w:eastAsia="zh-CN"/>
              </w:rPr>
              <w:t>52.6-71</w:t>
            </w:r>
            <w:proofErr w:type="gramEnd"/>
            <w:r>
              <w:rPr>
                <w:lang w:val="sv-SE" w:eastAsia="zh-CN"/>
              </w:rPr>
              <w:t xml:space="preserve">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Uplink</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rsidR="00166733" w:rsidRDefault="00CC298C">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rsidR="00166733" w:rsidRDefault="00CC298C">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rsidR="00166733" w:rsidRDefault="00CC298C">
            <w:pPr>
              <w:overflowPunct/>
              <w:autoSpaceDE/>
              <w:adjustRightInd/>
              <w:spacing w:after="0"/>
              <w:rPr>
                <w:lang w:val="sv-SE" w:eastAsia="zh-CN"/>
              </w:rPr>
            </w:pPr>
            <w:r>
              <w:rPr>
                <w:lang w:val="sv-SE" w:eastAsia="zh-CN"/>
              </w:rPr>
              <w:lastRenderedPageBreak/>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rsidR="00166733" w:rsidRDefault="00CC298C">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770FC1" w:rsidRDefault="00410722" w:rsidP="00410722">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rsidR="00410722" w:rsidRPr="00770FC1" w:rsidRDefault="00410722" w:rsidP="00410722">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Pr="00F51D5E" w:rsidRDefault="001B1211" w:rsidP="001B1211">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rsidR="001B1211" w:rsidRPr="00F51D5E" w:rsidRDefault="001B1211" w:rsidP="001B1211">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2.5 PDCCH</w:t>
      </w:r>
    </w:p>
    <w:p w:rsidR="00166733" w:rsidRDefault="00CC298C">
      <w:pPr>
        <w:pStyle w:val="Heading3"/>
        <w:rPr>
          <w:lang w:eastAsia="zh-CN"/>
        </w:rPr>
      </w:pPr>
      <w:r>
        <w:rPr>
          <w:lang w:eastAsia="zh-CN"/>
        </w:rPr>
        <w:t>2.5.1 PDCCH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SCS</w:t>
            </w:r>
            <w:proofErr w:type="gramEnd"/>
            <w:r>
              <w:rPr>
                <w:lang w:val="sv-SE" w:eastAsia="zh-CN"/>
              </w:rPr>
              <w:t xml:space="preserve">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w:t>
            </w:r>
            <w:proofErr w:type="gramStart"/>
            <w:r>
              <w:rPr>
                <w:lang w:val="sv-SE" w:eastAsia="zh-CN"/>
              </w:rPr>
              <w:t>SCSs</w:t>
            </w:r>
            <w:proofErr w:type="gram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proofErr w:type="gramStart"/>
            <w:r>
              <w:rPr>
                <w:lang w:val="sv-SE" w:eastAsia="zh-CN"/>
              </w:rPr>
              <w:t>CORESETs</w:t>
            </w:r>
            <w:proofErr w:type="spellEnd"/>
            <w:proofErr w:type="gram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9234E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4EC" w:rsidRDefault="009234E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9234EC" w:rsidRDefault="009234E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2.5.2 PDCCH Monitoring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166733" w:rsidRDefault="00166733">
      <w:pPr>
        <w:pStyle w:val="BodyText"/>
        <w:spacing w:after="0"/>
        <w:ind w:left="144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0"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0"/>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w:t>
            </w:r>
            <w:proofErr w:type="gramStart"/>
            <w:r>
              <w:rPr>
                <w:lang w:val="sv-SE" w:eastAsia="zh-CN"/>
              </w:rPr>
              <w:t>SCSs</w:t>
            </w:r>
            <w:proofErr w:type="gramEnd"/>
            <w:r>
              <w:rPr>
                <w:lang w:val="sv-SE" w:eastAsia="zh-CN"/>
              </w:rPr>
              <w:t xml:space="preserve"> </w:t>
            </w:r>
            <w:proofErr w:type="spellStart"/>
            <w:r>
              <w:rPr>
                <w:lang w:val="sv-SE" w:eastAsia="zh-CN"/>
              </w:rPr>
              <w:t>selected</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CC298C">
      <w:pPr>
        <w:pStyle w:val="Heading3"/>
        <w:rPr>
          <w:lang w:eastAsia="zh-CN"/>
        </w:rPr>
      </w:pPr>
      <w:r>
        <w:rPr>
          <w:lang w:eastAsia="zh-CN"/>
        </w:rPr>
        <w:t>2.5.3 DCI Formats</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w:t>
            </w:r>
            <w:proofErr w:type="gramStart"/>
            <w:r>
              <w:rPr>
                <w:lang w:val="sv-SE" w:eastAsia="zh-CN"/>
              </w:rPr>
              <w:t>signal overheads</w:t>
            </w:r>
            <w:proofErr w:type="gram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9234EC">
            <w:pPr>
              <w:overflowPunct/>
              <w:autoSpaceDE/>
              <w:adjustRightInd/>
              <w:spacing w:after="0"/>
              <w:rPr>
                <w:lang w:val="sv-SE" w:eastAsia="zh-CN"/>
              </w:rPr>
            </w:pPr>
            <w:r>
              <w:rPr>
                <w:lang w:val="sv-SE" w:eastAsia="zh-CN"/>
              </w:rPr>
              <w:t>S</w:t>
            </w:r>
            <w:r w:rsidR="00C23D20">
              <w:rPr>
                <w:lang w:val="sv-SE" w:eastAsia="zh-CN"/>
              </w:rPr>
              <w:t>upport multi-PDSCH/</w:t>
            </w:r>
            <w:r>
              <w:rPr>
                <w:lang w:val="sv-SE" w:eastAsia="zh-CN"/>
              </w:rPr>
              <w:t>multi-P</w:t>
            </w:r>
            <w:r w:rsidR="00C23D20">
              <w:rPr>
                <w:lang w:val="sv-SE" w:eastAsia="zh-CN"/>
              </w:rPr>
              <w:t xml:space="preserve">USCH </w:t>
            </w:r>
            <w:proofErr w:type="spellStart"/>
            <w:r w:rsidR="00C23D20">
              <w:rPr>
                <w:lang w:val="sv-SE" w:eastAsia="zh-CN"/>
              </w:rPr>
              <w:t>scheduling</w:t>
            </w:r>
            <w:proofErr w:type="spellEnd"/>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2.6 PDSCH/PUSCH</w:t>
      </w:r>
    </w:p>
    <w:p w:rsidR="00166733" w:rsidRDefault="00CC298C">
      <w:pPr>
        <w:pStyle w:val="Heading3"/>
        <w:rPr>
          <w:lang w:eastAsia="zh-CN"/>
        </w:rPr>
      </w:pPr>
      <w:r>
        <w:rPr>
          <w:lang w:eastAsia="zh-CN"/>
        </w:rPr>
        <w:t>2.6.1 Scheduling Aspects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gramStart"/>
            <w:r>
              <w:rPr>
                <w:lang w:val="sv-SE" w:eastAsia="zh-CN"/>
              </w:rPr>
              <w:t>TBs</w:t>
            </w:r>
            <w:proofErr w:type="gramEnd"/>
            <w:r>
              <w:rPr>
                <w:lang w:val="sv-SE" w:eastAsia="zh-CN"/>
              </w:rPr>
              <w:t xml:space="preserve">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rsidR="00166733" w:rsidRDefault="00CC298C">
            <w:pPr>
              <w:pStyle w:val="ListParagraph"/>
              <w:numPr>
                <w:ilvl w:val="0"/>
                <w:numId w:val="15"/>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rsidR="00166733" w:rsidRDefault="00CC298C">
            <w:pPr>
              <w:pStyle w:val="ListParagraph"/>
              <w:numPr>
                <w:ilvl w:val="0"/>
                <w:numId w:val="15"/>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rsidR="00166733" w:rsidRDefault="00CC298C">
            <w:pPr>
              <w:pStyle w:val="ListParagraph"/>
              <w:numPr>
                <w:ilvl w:val="0"/>
                <w:numId w:val="15"/>
              </w:numPr>
              <w:rPr>
                <w:lang w:val="sv-SE" w:eastAsia="zh-CN"/>
              </w:rPr>
            </w:pPr>
            <w:r>
              <w:rPr>
                <w:sz w:val="20"/>
                <w:szCs w:val="20"/>
                <w:lang w:val="sv-SE" w:eastAsia="zh-CN"/>
              </w:rPr>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rsidR="00166733" w:rsidRDefault="00CC298C">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sidR="009234EC">
              <w:rPr>
                <w:lang w:val="sv-SE" w:eastAsia="zh-CN"/>
              </w:rPr>
              <w:t>does</w:t>
            </w:r>
            <w:proofErr w:type="spellEnd"/>
            <w:r w:rsidR="009234EC">
              <w:rPr>
                <w:lang w:val="sv-SE" w:eastAsia="zh-CN"/>
              </w:rPr>
              <w:t xml:space="preserve"> not </w:t>
            </w:r>
            <w:proofErr w:type="spellStart"/>
            <w:r w:rsidR="009234EC">
              <w:rPr>
                <w:lang w:val="sv-SE" w:eastAsia="zh-CN"/>
              </w:rPr>
              <w:t>have</w:t>
            </w:r>
            <w:proofErr w:type="spellEnd"/>
            <w:r w:rsidR="009234EC">
              <w:rPr>
                <w:lang w:val="sv-SE" w:eastAsia="zh-CN"/>
              </w:rPr>
              <w:t xml:space="preserve"> to</w:t>
            </w:r>
            <w:r>
              <w:rPr>
                <w:lang w:val="sv-SE" w:eastAsia="zh-CN"/>
              </w:rPr>
              <w:t xml:space="preserve">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2.6.2 UL Interlace Transmission</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ListParagraph"/>
        <w:numPr>
          <w:ilvl w:val="1"/>
          <w:numId w:val="10"/>
        </w:numPr>
        <w:rPr>
          <w:rFonts w:eastAsia="SimSun"/>
          <w:lang w:eastAsia="zh-CN"/>
        </w:rPr>
      </w:pPr>
      <w:r>
        <w:rPr>
          <w:rFonts w:eastAsia="SimSun"/>
          <w:lang w:eastAsia="zh-CN"/>
        </w:rPr>
        <w:lastRenderedPageBreak/>
        <w:t>Both PRB and sub-PRB interlacing is not beneficial for large frequency resource allocations</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2.6.3 Transmission Rank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2.6.4 HARQ Processes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rsidR="00166733" w:rsidRDefault="00CC298C">
            <w:pPr>
              <w:pStyle w:val="ListParagraph"/>
              <w:numPr>
                <w:ilvl w:val="0"/>
                <w:numId w:val="16"/>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rsidR="00166733" w:rsidRDefault="00CC298C">
            <w:pPr>
              <w:pStyle w:val="ListParagraph"/>
              <w:numPr>
                <w:ilvl w:val="1"/>
                <w:numId w:val="16"/>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proofErr w:type="gramStart"/>
            <w:r>
              <w:rPr>
                <w:lang w:val="sv-SE" w:eastAsia="zh-CN"/>
              </w:rPr>
              <w:t>PUCCHs</w:t>
            </w:r>
            <w:proofErr w:type="spellEnd"/>
            <w:proofErr w:type="gram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rsidR="00166733" w:rsidRDefault="00CC298C">
            <w:pPr>
              <w:pStyle w:val="ListParagraph"/>
              <w:numPr>
                <w:ilvl w:val="0"/>
                <w:numId w:val="16"/>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C23D2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D20" w:rsidRDefault="00C23D20">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C23D20" w:rsidRDefault="00C23D20">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sidR="00D176CB">
              <w:rPr>
                <w:lang w:val="sv-SE" w:eastAsia="zh-CN"/>
              </w:rPr>
              <w:t>creating</w:t>
            </w:r>
            <w:proofErr w:type="spellEnd"/>
            <w:r w:rsidR="00D176CB">
              <w:rPr>
                <w:lang w:val="sv-SE" w:eastAsia="zh-CN"/>
              </w:rPr>
              <w:t xml:space="preserve"> HARQ </w:t>
            </w:r>
            <w:proofErr w:type="spellStart"/>
            <w:r w:rsidR="00D176CB">
              <w:rPr>
                <w:lang w:val="sv-SE" w:eastAsia="zh-CN"/>
              </w:rPr>
              <w:t>slot</w:t>
            </w:r>
            <w:proofErr w:type="spellEnd"/>
            <w:r w:rsidR="00D176CB">
              <w:rPr>
                <w:lang w:val="sv-SE" w:eastAsia="zh-CN"/>
              </w:rPr>
              <w:t xml:space="preserve"> </w:t>
            </w:r>
            <w:proofErr w:type="spellStart"/>
            <w:r w:rsidR="00D176CB">
              <w:rPr>
                <w:lang w:val="sv-SE" w:eastAsia="zh-CN"/>
              </w:rPr>
              <w:t>groups</w:t>
            </w:r>
            <w:proofErr w:type="spellEnd"/>
            <w:r w:rsidR="00D176CB">
              <w:rPr>
                <w:lang w:val="sv-SE" w:eastAsia="zh-CN"/>
              </w:rPr>
              <w:t xml:space="preserve"> i.e. </w:t>
            </w:r>
            <w:proofErr w:type="spellStart"/>
            <w:r w:rsidR="00D176CB">
              <w:rPr>
                <w:lang w:val="sv-SE" w:eastAsia="zh-CN"/>
              </w:rPr>
              <w:t>inverse</w:t>
            </w:r>
            <w:proofErr w:type="spellEnd"/>
            <w:r w:rsidR="00D176CB">
              <w:rPr>
                <w:lang w:val="sv-SE" w:eastAsia="zh-CN"/>
              </w:rPr>
              <w:t xml:space="preserve"> </w:t>
            </w:r>
            <w:proofErr w:type="spellStart"/>
            <w:r w:rsidR="00D176CB">
              <w:rPr>
                <w:lang w:val="sv-SE" w:eastAsia="zh-CN"/>
              </w:rPr>
              <w:t>of</w:t>
            </w:r>
            <w:proofErr w:type="spellEnd"/>
            <w:r w:rsidR="00D176CB">
              <w:rPr>
                <w:lang w:val="sv-SE" w:eastAsia="zh-CN"/>
              </w:rPr>
              <w:t xml:space="preserve"> the HARQ-</w:t>
            </w:r>
            <w:proofErr w:type="spellStart"/>
            <w:r w:rsidR="00D176CB">
              <w:rPr>
                <w:lang w:val="sv-SE" w:eastAsia="zh-CN"/>
              </w:rPr>
              <w:t>sub</w:t>
            </w:r>
            <w:proofErr w:type="spellEnd"/>
            <w:r w:rsidR="00D176CB">
              <w:rPr>
                <w:lang w:val="sv-SE" w:eastAsia="zh-CN"/>
              </w:rPr>
              <w:t>-</w:t>
            </w:r>
            <w:proofErr w:type="spellStart"/>
            <w:r w:rsidR="00D176CB">
              <w:rPr>
                <w:lang w:val="sv-SE" w:eastAsia="zh-CN"/>
              </w:rPr>
              <w:t>slots</w:t>
            </w:r>
            <w:proofErr w:type="spellEnd"/>
            <w:r w:rsidR="00D176CB">
              <w:rPr>
                <w:lang w:val="sv-SE" w:eastAsia="zh-CN"/>
              </w:rPr>
              <w:t xml:space="preserve"> in Rel-16.</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2.6.5 Processing Timelines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166733" w:rsidRDefault="00166733">
      <w:pPr>
        <w:pStyle w:val="BodyText"/>
        <w:numPr>
          <w:ilvl w:val="1"/>
          <w:numId w:val="10"/>
        </w:numPr>
        <w:spacing w:after="0"/>
        <w:rPr>
          <w:rFonts w:ascii="Times New Roman" w:hAnsi="Times New Roman"/>
          <w:sz w:val="22"/>
          <w:szCs w:val="22"/>
          <w:lang w:eastAsia="zh-CN"/>
        </w:rPr>
      </w:pP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2.7 Reference Signals</w:t>
      </w:r>
    </w:p>
    <w:p w:rsidR="00166733" w:rsidRDefault="00CC298C">
      <w:pPr>
        <w:pStyle w:val="Heading3"/>
        <w:rPr>
          <w:lang w:eastAsia="zh-CN"/>
        </w:rPr>
      </w:pPr>
      <w:r>
        <w:rPr>
          <w:lang w:eastAsia="zh-CN"/>
        </w:rPr>
        <w:t>2.7.1 PT-RS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46150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506" w:rsidRDefault="00461506" w:rsidP="00461506">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461506" w:rsidRDefault="00461506" w:rsidP="00461506">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w:t>
            </w:r>
            <w:proofErr w:type="gramStart"/>
            <w:r>
              <w:t>symbol not</w:t>
            </w:r>
            <w:proofErr w:type="gramEnd"/>
            <w:r>
              <w:t xml:space="preserve">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2.7.2 DM-RS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166733" w:rsidRDefault="00166733">
      <w:pPr>
        <w:pStyle w:val="BodyText"/>
        <w:spacing w:after="0"/>
        <w:rPr>
          <w:rFonts w:ascii="Times New Roman" w:hAnsi="Times New Roman"/>
          <w:b/>
          <w:bCs/>
          <w:i/>
          <w:iCs/>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DM-</w:t>
            </w:r>
            <w:proofErr w:type="gramStart"/>
            <w:r>
              <w:rPr>
                <w:lang w:val="sv-SE" w:eastAsia="zh-CN"/>
              </w:rPr>
              <w:t xml:space="preserve">RS  </w:t>
            </w:r>
            <w:proofErr w:type="spellStart"/>
            <w:r>
              <w:rPr>
                <w:lang w:val="sv-SE" w:eastAsia="zh-CN"/>
              </w:rPr>
              <w:t>pattern</w:t>
            </w:r>
            <w:proofErr w:type="spellEnd"/>
            <w:proofErr w:type="gramEnd"/>
            <w:r>
              <w:rPr>
                <w:lang w:val="sv-SE" w:eastAsia="zh-CN"/>
              </w:rPr>
              <w:t xml:space="preserve"> is </w:t>
            </w:r>
            <w:proofErr w:type="spellStart"/>
            <w:r>
              <w:rPr>
                <w:lang w:val="sv-SE" w:eastAsia="zh-CN"/>
              </w:rPr>
              <w:t>needed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D176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CB" w:rsidRDefault="00D176C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D176CB" w:rsidRDefault="00D176CB">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2.7.3 TRS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2.8 PUCCH</w:t>
      </w:r>
    </w:p>
    <w:p w:rsidR="00166733" w:rsidRDefault="00CC298C">
      <w:pPr>
        <w:pStyle w:val="Heading3"/>
        <w:rPr>
          <w:lang w:eastAsia="zh-CN"/>
        </w:rPr>
      </w:pPr>
      <w:r>
        <w:rPr>
          <w:lang w:eastAsia="zh-CN"/>
        </w:rPr>
        <w:t>2.8.1 PUCCH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2.8.2 SR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2.8.3 UL Interlace Transmission</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rsidR="00166733" w:rsidRDefault="00CC298C">
      <w:pPr>
        <w:pStyle w:val="ListParagraph"/>
        <w:numPr>
          <w:ilvl w:val="1"/>
          <w:numId w:val="10"/>
        </w:numPr>
        <w:rPr>
          <w:rFonts w:eastAsia="SimSun"/>
          <w:lang w:eastAsia="zh-CN"/>
        </w:rPr>
      </w:pPr>
      <w:r>
        <w:rPr>
          <w:rFonts w:eastAsia="SimSun"/>
          <w:lang w:eastAsia="zh-CN"/>
        </w:rPr>
        <w:lastRenderedPageBreak/>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2.9 Measurements</w:t>
      </w:r>
    </w:p>
    <w:p w:rsidR="00166733" w:rsidRDefault="00CC298C">
      <w:pPr>
        <w:pStyle w:val="Heading3"/>
        <w:rPr>
          <w:lang w:eastAsia="zh-CN"/>
        </w:rPr>
      </w:pPr>
      <w:r>
        <w:rPr>
          <w:lang w:eastAsia="zh-CN"/>
        </w:rPr>
        <w:t>2.9.1 RLM and RRM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2.9.2 CSI Processing Timelines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Motorola</w:t>
            </w:r>
          </w:p>
          <w:p w:rsidR="00166733" w:rsidRDefault="00CC298C">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w:t>
            </w:r>
            <w:proofErr w:type="gramStart"/>
            <w:r>
              <w:rPr>
                <w:lang w:val="sv-SE" w:eastAsia="zh-CN"/>
              </w:rPr>
              <w:t>CPUs</w:t>
            </w:r>
            <w:proofErr w:type="gramEnd"/>
            <w:r>
              <w:rPr>
                <w:lang w:val="sv-SE" w:eastAsia="zh-CN"/>
              </w:rPr>
              <w:t xml:space="preserve">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2.10 TDD Configuration and Transition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lastRenderedPageBreak/>
        <w:t>2.11 Multi-Carrier Operations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t>CA should be supported</w:t>
            </w:r>
          </w:p>
        </w:tc>
      </w:tr>
      <w:tr w:rsidR="00D176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CB" w:rsidRDefault="00D176C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rsidR="00D176CB" w:rsidRDefault="00D176CB">
            <w:pPr>
              <w:overflowPunct/>
              <w:autoSpaceDE/>
              <w:adjustRightInd/>
              <w:spacing w:after="0"/>
            </w:pPr>
            <w:r>
              <w:t>Support CA for wider bandwidth operation.</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720"/>
        <w:rPr>
          <w:rFonts w:ascii="Times New Roman" w:hAnsi="Times New Roman"/>
          <w:sz w:val="22"/>
          <w:szCs w:val="22"/>
          <w:lang w:eastAsia="zh-CN"/>
        </w:rPr>
      </w:pPr>
    </w:p>
    <w:p w:rsidR="00166733" w:rsidRDefault="00CC298C">
      <w:pPr>
        <w:pStyle w:val="Heading2"/>
        <w:rPr>
          <w:lang w:eastAsia="zh-CN"/>
        </w:rPr>
      </w:pPr>
      <w:r>
        <w:rPr>
          <w:lang w:eastAsia="zh-CN"/>
        </w:rPr>
        <w:t>2.12 Beam Management</w:t>
      </w:r>
    </w:p>
    <w:p w:rsidR="00166733" w:rsidRDefault="00CC298C">
      <w:pPr>
        <w:pStyle w:val="Heading3"/>
        <w:rPr>
          <w:lang w:eastAsia="zh-CN"/>
        </w:rPr>
      </w:pPr>
      <w:r>
        <w:rPr>
          <w:lang w:eastAsia="zh-CN"/>
        </w:rPr>
        <w:t>2.12.1 Beam Management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166733" w:rsidRDefault="00CC298C">
      <w:pPr>
        <w:pStyle w:val="BodyText"/>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166733" w:rsidRDefault="00166733">
      <w:pPr>
        <w:pStyle w:val="BodyText"/>
        <w:spacing w:after="0"/>
        <w:ind w:left="144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w:t>
            </w:r>
            <w:proofErr w:type="gramStart"/>
            <w:r>
              <w:rPr>
                <w:lang w:val="sv-SE" w:eastAsia="zh-CN"/>
              </w:rPr>
              <w:t>data transmission</w:t>
            </w:r>
            <w:proofErr w:type="gram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proofErr w:type="spellStart"/>
            <w:r>
              <w:rPr>
                <w:lang w:val="sv-SE" w:eastAsia="zh-CN"/>
              </w:rPr>
              <w:t>Mobility</w:t>
            </w:r>
            <w:proofErr w:type="spellEnd"/>
          </w:p>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proofErr w:type="gramStart"/>
            <w:r>
              <w:rPr>
                <w:lang w:val="sv-SE" w:eastAsia="zh-CN"/>
              </w:rPr>
              <w:t>enhancement</w:t>
            </w:r>
            <w:proofErr w:type="spellEnd"/>
            <w:r>
              <w:rPr>
                <w:lang w:val="sv-SE" w:eastAsia="zh-CN"/>
              </w:rPr>
              <w:t xml:space="preserve">  </w:t>
            </w:r>
            <w:proofErr w:type="spellStart"/>
            <w:r>
              <w:rPr>
                <w:lang w:val="sv-SE" w:eastAsia="zh-CN"/>
              </w:rPr>
              <w:t>needed</w:t>
            </w:r>
            <w:proofErr w:type="spellEnd"/>
            <w:proofErr w:type="gram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Coverage enhancement for SSB beam could be considered and discussed.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Beam management enhancement should be considered </w:t>
            </w:r>
          </w:p>
        </w:tc>
      </w:tr>
      <w:tr w:rsidR="00D176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CB" w:rsidRDefault="00D176C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D176CB" w:rsidRDefault="00D176C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720"/>
        <w:rPr>
          <w:rFonts w:ascii="Times New Roman" w:hAnsi="Times New Roman"/>
          <w:sz w:val="22"/>
          <w:szCs w:val="22"/>
          <w:lang w:eastAsia="zh-CN"/>
        </w:rPr>
      </w:pPr>
    </w:p>
    <w:p w:rsidR="00166733" w:rsidRDefault="00CC298C">
      <w:pPr>
        <w:pStyle w:val="Heading3"/>
        <w:rPr>
          <w:lang w:eastAsia="zh-CN"/>
        </w:rPr>
      </w:pPr>
      <w:r>
        <w:rPr>
          <w:lang w:eastAsia="zh-CN"/>
        </w:rPr>
        <w:t>2.12.2 Beam Switching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rsidR="00166733" w:rsidRDefault="00CC298C">
      <w:pPr>
        <w:pStyle w:val="ListParagraph"/>
        <w:numPr>
          <w:ilvl w:val="0"/>
          <w:numId w:val="10"/>
        </w:numPr>
        <w:rPr>
          <w:rFonts w:eastAsia="SimSun"/>
          <w:lang w:eastAsia="zh-CN"/>
        </w:rPr>
      </w:pPr>
      <w:r>
        <w:rPr>
          <w:rFonts w:eastAsia="SimSun"/>
          <w:lang w:eastAsia="zh-CN"/>
        </w:rPr>
        <w:t>From [31]:</w:t>
      </w:r>
    </w:p>
    <w:p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Lenovo</w:t>
            </w:r>
            <w:proofErr w:type="spellEnd"/>
            <w:r>
              <w:rPr>
                <w:lang w:val="sv-SE" w:eastAsia="zh-CN"/>
              </w:rPr>
              <w:t>/</w:t>
            </w:r>
          </w:p>
          <w:p w:rsidR="00166733" w:rsidRDefault="00CC298C">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D176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76CB" w:rsidRDefault="00D176C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D176CB" w:rsidRDefault="00D176CB">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2.13 Issues with RF impairments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proofErr w:type="spellStart"/>
            <w:r>
              <w:rPr>
                <w:rStyle w:val="Strong"/>
                <w:color w:val="000000"/>
                <w:lang w:val="sv-SE"/>
              </w:rPr>
              <w:t>Comments</w:t>
            </w:r>
            <w:proofErr w:type="spellEnd"/>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RAN1 </w:t>
            </w:r>
            <w:proofErr w:type="gramStart"/>
            <w:r>
              <w:rPr>
                <w:lang w:val="sv-SE" w:eastAsia="zh-CN"/>
              </w:rPr>
              <w:t>is not</w:t>
            </w:r>
            <w:proofErr w:type="gramEnd"/>
            <w:r>
              <w:rPr>
                <w:lang w:val="sv-SE" w:eastAsia="zh-CN"/>
              </w:rPr>
              <w:t xml:space="preserve">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1"/>
        <w:numPr>
          <w:ilvl w:val="0"/>
          <w:numId w:val="5"/>
        </w:numPr>
        <w:ind w:left="360"/>
        <w:rPr>
          <w:rFonts w:cs="Arial"/>
          <w:sz w:val="32"/>
          <w:szCs w:val="32"/>
          <w:lang w:val="en-US"/>
        </w:rPr>
      </w:pPr>
      <w:r>
        <w:rPr>
          <w:rFonts w:cs="Arial"/>
          <w:sz w:val="32"/>
          <w:szCs w:val="32"/>
        </w:rPr>
        <w:t>Summary of Conclusions</w:t>
      </w:r>
    </w:p>
    <w:p w:rsidR="00166733" w:rsidRDefault="00CC298C">
      <w:pPr>
        <w:spacing w:line="254" w:lineRule="auto"/>
      </w:pPr>
      <w:r>
        <w:rPr>
          <w:highlight w:val="yellow"/>
        </w:rPr>
        <w:t>To be filled once agreements/conclusions are made in RAN1.</w:t>
      </w:r>
    </w:p>
    <w:p w:rsidR="00166733" w:rsidRDefault="00166733">
      <w:pPr>
        <w:pStyle w:val="BodyText"/>
        <w:spacing w:after="0"/>
        <w:rPr>
          <w:rFonts w:ascii="Times New Roman" w:hAnsi="Times New Roman"/>
          <w:sz w:val="22"/>
          <w:szCs w:val="22"/>
          <w:lang w:eastAsia="zh-CN"/>
        </w:rPr>
      </w:pPr>
    </w:p>
    <w:p w:rsidR="00166733" w:rsidRDefault="00166733">
      <w:pPr>
        <w:spacing w:line="256" w:lineRule="auto"/>
      </w:pPr>
    </w:p>
    <w:p w:rsidR="00166733" w:rsidRDefault="00CC298C">
      <w:pPr>
        <w:pStyle w:val="Heading1"/>
        <w:textAlignment w:val="auto"/>
        <w:rPr>
          <w:rFonts w:cs="Arial"/>
          <w:sz w:val="32"/>
          <w:szCs w:val="32"/>
          <w:lang w:val="en-US"/>
        </w:rPr>
      </w:pPr>
      <w:r>
        <w:rPr>
          <w:rFonts w:cs="Arial"/>
          <w:sz w:val="32"/>
          <w:szCs w:val="32"/>
          <w:lang w:val="en-US"/>
        </w:rPr>
        <w:t>Reference</w:t>
      </w:r>
    </w:p>
    <w:p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rsidR="00166733" w:rsidRDefault="00CC298C">
      <w:pPr>
        <w:pStyle w:val="ListParagraph"/>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rsidR="00166733" w:rsidRDefault="00CC298C">
      <w:pPr>
        <w:pStyle w:val="ListParagraph"/>
        <w:numPr>
          <w:ilvl w:val="0"/>
          <w:numId w:val="17"/>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rsidR="00166733" w:rsidRDefault="00166733">
      <w:pPr>
        <w:pStyle w:val="ListParagraph"/>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0FC1" w:rsidRDefault="005F0FC1">
      <w:pPr>
        <w:spacing w:after="0" w:line="240" w:lineRule="auto"/>
      </w:pPr>
      <w:r>
        <w:separator/>
      </w:r>
    </w:p>
  </w:endnote>
  <w:endnote w:type="continuationSeparator" w:id="0">
    <w:p w:rsidR="005F0FC1" w:rsidRDefault="005F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696E" w:rsidRDefault="005F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696E" w:rsidRDefault="005F6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696E" w:rsidRDefault="005F696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0FC1" w:rsidRDefault="005F0FC1">
      <w:pPr>
        <w:spacing w:after="0" w:line="240" w:lineRule="auto"/>
      </w:pPr>
      <w:r>
        <w:separator/>
      </w:r>
    </w:p>
  </w:footnote>
  <w:footnote w:type="continuationSeparator" w:id="0">
    <w:p w:rsidR="005F0FC1" w:rsidRDefault="005F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696E" w:rsidRDefault="005F69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4"/>
  </w:num>
  <w:num w:numId="10">
    <w:abstractNumId w:val="10"/>
  </w:num>
  <w:num w:numId="11">
    <w:abstractNumId w:val="9"/>
  </w:num>
  <w:num w:numId="12">
    <w:abstractNumId w:val="7"/>
  </w:num>
  <w:num w:numId="13">
    <w:abstractNumId w:val="5"/>
  </w:num>
  <w:num w:numId="14">
    <w:abstractNumId w:val="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097"/>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B6F"/>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1230"/>
    <w:rsid w:val="00411758"/>
    <w:rsid w:val="004118C9"/>
    <w:rsid w:val="0041195D"/>
    <w:rsid w:val="004122E9"/>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0FC1"/>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96E"/>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1D04"/>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6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708"/>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4EC"/>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36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3D20"/>
    <w:rsid w:val="00C2423A"/>
    <w:rsid w:val="00C24CA2"/>
    <w:rsid w:val="00C24EE5"/>
    <w:rsid w:val="00C24F74"/>
    <w:rsid w:val="00C250CF"/>
    <w:rsid w:val="00C2544D"/>
    <w:rsid w:val="00C25D3A"/>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650"/>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6CB"/>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D1FCB9"/>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C2946"/>
    <w:rsid w:val="009D250D"/>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41767BB-E471-4FAD-9F8F-7DFA9EA39829}">
  <ds:schemaRefs>
    <ds:schemaRef ds:uri="http://schemas.openxmlformats.org/officeDocument/2006/bibliography"/>
  </ds:schemaRefs>
</ds:datastoreItem>
</file>

<file path=customXml/itemProps4.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CF048B-26C9-402E-8FE8-D9F2E8EE097B}">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54</TotalTime>
  <Pages>58</Pages>
  <Words>24343</Words>
  <Characters>138761</Characters>
  <Application>Microsoft Office Word</Application>
  <DocSecurity>0</DocSecurity>
  <Lines>1156</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#1</vt:lpstr>
      <vt:lpstr>[103-e-NR-52-71-Waveform-Changes] Discussions Summary #1</vt:lpstr>
    </vt:vector>
  </TitlesOfParts>
  <Company>Intel</Company>
  <LinksUpToDate>false</LinksUpToDate>
  <CharactersWithSpaces>162779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Kome Oteri</cp:lastModifiedBy>
  <cp:revision>4</cp:revision>
  <cp:lastPrinted>2011-11-09T07:49:00Z</cp:lastPrinted>
  <dcterms:created xsi:type="dcterms:W3CDTF">2020-10-28T10:30:00Z</dcterms:created>
  <dcterms:modified xsi:type="dcterms:W3CDTF">2020-10-28T11:24:00Z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