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zh-CN"/>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zh-CN"/>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zh-CN"/>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part..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 xml:space="preserve">Case D (MT </w:t>
                  </w:r>
                  <w:proofErr w:type="spellStart"/>
                  <w:r>
                    <w:rPr>
                      <w:rFonts w:eastAsia="SimSun"/>
                      <w:sz w:val="22"/>
                      <w:szCs w:val="22"/>
                      <w:lang w:val="sv-SE" w:eastAsia="zh-CN"/>
                    </w:rPr>
                    <w:t>Tx</w:t>
                  </w:r>
                  <w:proofErr w:type="spellEnd"/>
                  <w:r>
                    <w:rPr>
                      <w:rFonts w:eastAsia="SimSun"/>
                      <w:sz w:val="22"/>
                      <w:szCs w:val="22"/>
                      <w:lang w:val="sv-SE" w:eastAsia="zh-CN"/>
                    </w:rPr>
                    <w:t xml:space="preserve">/DU </w:t>
                  </w:r>
                  <w:proofErr w:type="spellStart"/>
                  <w:r>
                    <w:rPr>
                      <w:rFonts w:eastAsia="SimSun"/>
                      <w:sz w:val="22"/>
                      <w:szCs w:val="22"/>
                      <w:lang w:val="sv-SE" w:eastAsia="zh-CN"/>
                    </w:rPr>
                    <w:t>Rx</w:t>
                  </w:r>
                  <w:proofErr w:type="spellEnd"/>
                  <w:r>
                    <w:rPr>
                      <w:rFonts w:eastAsia="SimSun"/>
                      <w:sz w:val="22"/>
                      <w:szCs w:val="22"/>
                      <w:lang w:val="sv-SE" w:eastAsia="zh-CN"/>
                    </w:rPr>
                    <w:t>)</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OK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because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w:t>
            </w:r>
            <w:r>
              <w:rPr>
                <w:rFonts w:ascii="Calibri" w:eastAsia="Malgun Gothic" w:hAnsi="Calibri" w:hint="eastAsia"/>
                <w:bCs/>
                <w:sz w:val="22"/>
                <w:szCs w:val="22"/>
                <w:lang w:eastAsia="ko-KR"/>
              </w:rPr>
              <w:t>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think</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Rel-16 IAB </w:t>
            </w:r>
            <w:proofErr w:type="spellStart"/>
            <w:r>
              <w:rPr>
                <w:rFonts w:ascii="Calibri" w:eastAsia="Malgun Gothic" w:hAnsi="Calibri" w:hint="eastAsia"/>
                <w:bCs/>
                <w:sz w:val="22"/>
                <w:szCs w:val="22"/>
                <w:lang w:eastAsia="ko-KR"/>
              </w:rPr>
              <w:t>resource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configuration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can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be</w:t>
            </w:r>
            <w:proofErr w:type="spellEnd"/>
            <w:r>
              <w:rPr>
                <w:rFonts w:ascii="Calibri" w:eastAsia="Malgun Gothic" w:hAnsi="Calibri" w:hint="eastAsia"/>
                <w:bCs/>
                <w:sz w:val="22"/>
                <w:szCs w:val="22"/>
                <w:lang w:eastAsia="ko-KR"/>
              </w:rPr>
              <w:t xml:space="preserve"> a </w:t>
            </w:r>
            <w:proofErr w:type="spellStart"/>
            <w:r>
              <w:rPr>
                <w:rFonts w:ascii="Calibri" w:eastAsia="Malgun Gothic" w:hAnsi="Calibri" w:hint="eastAsia"/>
                <w:bCs/>
                <w:sz w:val="22"/>
                <w:szCs w:val="22"/>
                <w:lang w:eastAsia="ko-KR"/>
              </w:rPr>
              <w:t>starting</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point</w:t>
            </w:r>
            <w:proofErr w:type="spellEnd"/>
            <w:r>
              <w:rPr>
                <w:rFonts w:ascii="Calibri" w:eastAsia="Malgun Gothic" w:hAnsi="Calibri" w:hint="eastAsia"/>
                <w:bCs/>
                <w:sz w:val="22"/>
                <w:szCs w:val="22"/>
                <w:lang w:eastAsia="ko-KR"/>
              </w:rPr>
              <w:t xml:space="preserve"> for Rel-17.</w:t>
            </w:r>
            <w:r>
              <w:rPr>
                <w:rFonts w:ascii="Calibri" w:eastAsia="Malgun Gothic" w:hAnsi="Calibri"/>
                <w:bCs/>
                <w:sz w:val="22"/>
                <w:szCs w:val="22"/>
                <w:lang w:eastAsia="ko-KR"/>
              </w:rPr>
              <w:t xml:space="preserve"> In general,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sub-bullets</w:t>
            </w:r>
            <w:proofErr w:type="spellEnd"/>
            <w:r>
              <w:rPr>
                <w:rFonts w:ascii="Calibri" w:eastAsia="Malgun Gothic" w:hAnsi="Calibri"/>
                <w:bCs/>
                <w:sz w:val="22"/>
                <w:szCs w:val="22"/>
                <w:lang w:eastAsia="ko-KR"/>
              </w:rPr>
              <w:t xml:space="preserve">, it is </w:t>
            </w:r>
            <w:proofErr w:type="spellStart"/>
            <w:r>
              <w:rPr>
                <w:rFonts w:ascii="Calibri" w:eastAsia="Malgun Gothic" w:hAnsi="Calibri"/>
                <w:bCs/>
                <w:sz w:val="22"/>
                <w:szCs w:val="22"/>
                <w:lang w:eastAsia="ko-KR"/>
              </w:rPr>
              <w:t>better</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identify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is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issue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addressed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using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Rel-16 </w:t>
            </w:r>
            <w:proofErr w:type="spellStart"/>
            <w:r>
              <w:rPr>
                <w:rFonts w:ascii="Calibri" w:eastAsia="Malgun Gothic" w:hAnsi="Calibri"/>
                <w:bCs/>
                <w:sz w:val="22"/>
                <w:szCs w:val="22"/>
                <w:lang w:eastAsia="ko-KR"/>
              </w:rPr>
              <w:t>mechanisms</w:t>
            </w:r>
            <w:proofErr w:type="spellEnd"/>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 xml:space="preserve">If </w:t>
            </w:r>
            <w:proofErr w:type="spellStart"/>
            <w:r>
              <w:rPr>
                <w:rFonts w:ascii="Calibri" w:eastAsia="Malgun Gothic" w:hAnsi="Calibri"/>
                <w:bCs/>
                <w:sz w:val="22"/>
                <w:szCs w:val="22"/>
                <w:lang w:eastAsia="ko-KR"/>
              </w:rPr>
              <w:t>justified</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agreed</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kind</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enhancements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needed</w:t>
            </w:r>
            <w:proofErr w:type="spellEnd"/>
            <w:r>
              <w:rPr>
                <w:rFonts w:ascii="Calibri" w:eastAsia="Malgun Gothic" w:hAnsi="Calibri"/>
                <w:bCs/>
                <w:sz w:val="22"/>
                <w:szCs w:val="22"/>
                <w:lang w:eastAsia="ko-KR"/>
              </w:rPr>
              <w:t>.</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well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2nd and 3rd FFS </w:t>
            </w:r>
            <w:proofErr w:type="spellStart"/>
            <w:r>
              <w:rPr>
                <w:rFonts w:ascii="Calibri" w:eastAsia="Malgun Gothic" w:hAnsi="Calibri"/>
                <w:bCs/>
                <w:sz w:val="22"/>
                <w:szCs w:val="22"/>
                <w:lang w:eastAsia="ko-KR"/>
              </w:rPr>
              <w:t>items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other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companies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have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also</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argued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shared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add</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management </w:t>
            </w:r>
            <w:proofErr w:type="spellStart"/>
            <w:r>
              <w:rPr>
                <w:rFonts w:ascii="Calibri" w:eastAsia="Malgun Gothic" w:hAnsi="Calibri"/>
                <w:bCs/>
                <w:sz w:val="22"/>
                <w:szCs w:val="22"/>
                <w:lang w:eastAsia="ko-KR"/>
              </w:rPr>
              <w:t>flexibility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an H/S/NA </w:t>
            </w:r>
            <w:proofErr w:type="spellStart"/>
            <w:r>
              <w:rPr>
                <w:rFonts w:ascii="Calibri" w:eastAsia="Malgun Gothic" w:hAnsi="Calibri"/>
                <w:bCs/>
                <w:sz w:val="22"/>
                <w:szCs w:val="22"/>
                <w:lang w:eastAsia="ko-KR"/>
              </w:rPr>
              <w:t>framework</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sufficiently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provide</w:t>
            </w:r>
            <w:proofErr w:type="spellEnd"/>
            <w:r>
              <w:rPr>
                <w:rFonts w:ascii="Calibri" w:eastAsia="Malgun Gothic" w:hAnsi="Calibri"/>
                <w:bCs/>
                <w:sz w:val="22"/>
                <w:szCs w:val="22"/>
                <w:lang w:eastAsia="ko-KR"/>
              </w:rPr>
              <w:t>.</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w:t>
            </w:r>
            <w:proofErr w:type="spellStart"/>
            <w:r>
              <w:rPr>
                <w:rStyle w:val="normaltextrun"/>
                <w:rFonts w:asciiTheme="minorHAnsi" w:eastAsia="Yu Mincho" w:hAnsiTheme="minorHAnsi" w:cs="Calibri"/>
                <w:sz w:val="22"/>
                <w:szCs w:val="22"/>
              </w:rPr>
              <w:t>support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FL </w:t>
            </w:r>
            <w:proofErr w:type="spellStart"/>
            <w:r>
              <w:rPr>
                <w:rStyle w:val="normaltextrun"/>
                <w:rFonts w:asciiTheme="minorHAnsi" w:eastAsia="Yu Mincho" w:hAnsiTheme="minorHAnsi" w:cs="Calibri"/>
                <w:sz w:val="22"/>
                <w:szCs w:val="22"/>
              </w:rPr>
              <w:t>proposal</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Regarding</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1st FFS </w:t>
            </w:r>
            <w:proofErr w:type="spellStart"/>
            <w:r>
              <w:rPr>
                <w:rStyle w:val="normaltextrun"/>
                <w:rFonts w:asciiTheme="minorHAnsi" w:eastAsia="Yu Mincho" w:hAnsiTheme="minorHAnsi" w:cs="Calibri"/>
                <w:sz w:val="22"/>
                <w:szCs w:val="22"/>
              </w:rPr>
              <w:t>point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we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also</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think</w:t>
            </w:r>
            <w:proofErr w:type="spellEnd"/>
            <w:r>
              <w:rPr>
                <w:rStyle w:val="normaltextrun"/>
                <w:rFonts w:asciiTheme="minorHAnsi" w:eastAsia="Yu Mincho" w:hAnsiTheme="minorHAnsi" w:cs="Calibri"/>
                <w:sz w:val="22"/>
                <w:szCs w:val="22"/>
              </w:rPr>
              <w:t xml:space="preserve"> it is </w:t>
            </w:r>
            <w:proofErr w:type="spellStart"/>
            <w:r>
              <w:rPr>
                <w:rStyle w:val="normaltextrun"/>
                <w:rFonts w:asciiTheme="minorHAnsi" w:eastAsia="Yu Mincho" w:hAnsiTheme="minorHAnsi" w:cs="Calibri"/>
                <w:sz w:val="22"/>
                <w:szCs w:val="22"/>
              </w:rPr>
              <w:t>not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necessary</w:t>
            </w:r>
            <w:proofErr w:type="spellEnd"/>
            <w:r>
              <w:rPr>
                <w:rStyle w:val="normaltextrun"/>
                <w:rFonts w:asciiTheme="minorHAnsi" w:eastAsia="Yu Mincho" w:hAnsiTheme="minorHAnsi" w:cs="Calibri"/>
                <w:sz w:val="22"/>
                <w:szCs w:val="22"/>
              </w:rPr>
              <w:t xml:space="preserve"> to </w:t>
            </w:r>
            <w:proofErr w:type="spellStart"/>
            <w:r>
              <w:rPr>
                <w:rStyle w:val="normaltextrun"/>
                <w:rFonts w:asciiTheme="minorHAnsi" w:eastAsia="Yu Mincho" w:hAnsiTheme="minorHAnsi" w:cs="Calibri"/>
                <w:sz w:val="22"/>
                <w:szCs w:val="22"/>
              </w:rPr>
              <w:t>introduce</w:t>
            </w:r>
            <w:proofErr w:type="spellEnd"/>
            <w:r>
              <w:rPr>
                <w:rStyle w:val="normaltextrun"/>
                <w:rFonts w:asciiTheme="minorHAnsi" w:eastAsia="Yu Mincho" w:hAnsiTheme="minorHAnsi" w:cs="Calibri"/>
                <w:sz w:val="22"/>
                <w:szCs w:val="22"/>
              </w:rPr>
              <w:t xml:space="preserve"> a </w:t>
            </w:r>
            <w:proofErr w:type="spellStart"/>
            <w:r>
              <w:rPr>
                <w:rStyle w:val="normaltextrun"/>
                <w:rFonts w:asciiTheme="minorHAnsi" w:eastAsia="Yu Mincho" w:hAnsiTheme="minorHAnsi" w:cs="Calibri"/>
                <w:sz w:val="22"/>
                <w:szCs w:val="22"/>
              </w:rPr>
              <w:t>new</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Shared</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resource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type</w:t>
            </w:r>
            <w:proofErr w:type="spellEnd"/>
            <w:r>
              <w:rPr>
                <w:rStyle w:val="normaltextrun"/>
                <w:rFonts w:asciiTheme="minorHAnsi" w:eastAsia="Yu Mincho" w:hAnsiTheme="minorHAnsi" w:cs="Calibri"/>
                <w:sz w:val="22"/>
                <w:szCs w:val="22"/>
              </w:rPr>
              <w:t xml:space="preserve"> in </w:t>
            </w:r>
            <w:proofErr w:type="spellStart"/>
            <w:r>
              <w:rPr>
                <w:rStyle w:val="normaltextrun"/>
                <w:rFonts w:asciiTheme="minorHAnsi" w:eastAsia="Yu Mincho" w:hAnsiTheme="minorHAnsi" w:cs="Calibri"/>
                <w:sz w:val="22"/>
                <w:szCs w:val="22"/>
              </w:rPr>
              <w:t>addition</w:t>
            </w:r>
            <w:proofErr w:type="spellEnd"/>
            <w:r>
              <w:rPr>
                <w:rStyle w:val="normaltextrun"/>
                <w:rFonts w:asciiTheme="minorHAnsi" w:eastAsia="Yu Mincho" w:hAnsiTheme="minorHAnsi" w:cs="Calibri"/>
                <w:sz w:val="22"/>
                <w:szCs w:val="22"/>
              </w:rPr>
              <w:t xml:space="preserve"> to </w:t>
            </w:r>
            <w:r>
              <w:rPr>
                <w:rFonts w:asciiTheme="minorHAnsi" w:eastAsiaTheme="minorEastAsia" w:hAnsiTheme="minorHAnsi"/>
                <w:sz w:val="22"/>
                <w:szCs w:val="22"/>
              </w:rPr>
              <w:t xml:space="preserve">H/S/NA. </w:t>
            </w:r>
            <w:proofErr w:type="spellStart"/>
            <w:r>
              <w:rPr>
                <w:rFonts w:asciiTheme="minorHAnsi" w:eastAsiaTheme="minorEastAsia" w:hAnsiTheme="minorHAnsi"/>
                <w:sz w:val="22"/>
                <w:szCs w:val="22"/>
              </w:rPr>
              <w:t>Instead</w:t>
            </w:r>
            <w:proofErr w:type="spellEnd"/>
            <w:r>
              <w:rPr>
                <w:rFonts w:asciiTheme="minorHAnsi" w:eastAsiaTheme="minorEastAsia" w:hAnsiTheme="minorHAnsi"/>
                <w:sz w:val="22"/>
                <w:szCs w:val="22"/>
              </w:rPr>
              <w:t xml:space="preserve">, it </w:t>
            </w:r>
            <w:proofErr w:type="spellStart"/>
            <w:r>
              <w:rPr>
                <w:rFonts w:asciiTheme="minorHAnsi" w:eastAsiaTheme="minorEastAsia" w:hAnsiTheme="minorHAnsi"/>
                <w:sz w:val="22"/>
                <w:szCs w:val="22"/>
              </w:rPr>
              <w:t>can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be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further</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discussed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how</w:t>
            </w:r>
            <w:proofErr w:type="spellEnd"/>
            <w:r>
              <w:rPr>
                <w:rFonts w:asciiTheme="minorHAnsi" w:eastAsiaTheme="minorEastAsia" w:hAnsiTheme="minorHAnsi"/>
                <w:sz w:val="22"/>
                <w:szCs w:val="22"/>
              </w:rPr>
              <w:t xml:space="preserve"> and </w:t>
            </w:r>
            <w:proofErr w:type="spellStart"/>
            <w:r>
              <w:rPr>
                <w:rFonts w:asciiTheme="minorHAnsi" w:eastAsiaTheme="minorEastAsia" w:hAnsiTheme="minorHAnsi"/>
                <w:sz w:val="22"/>
                <w:szCs w:val="22"/>
              </w:rPr>
              <w:t>when</w:t>
            </w:r>
            <w:proofErr w:type="spellEnd"/>
            <w:r>
              <w:rPr>
                <w:rFonts w:asciiTheme="minorHAnsi" w:eastAsiaTheme="minorEastAsia" w:hAnsiTheme="minorHAnsi"/>
                <w:sz w:val="22"/>
                <w:szCs w:val="22"/>
              </w:rPr>
              <w:t xml:space="preserve"> to </w:t>
            </w:r>
            <w:proofErr w:type="spellStart"/>
            <w:r>
              <w:rPr>
                <w:rFonts w:asciiTheme="minorHAnsi" w:eastAsiaTheme="minorEastAsia" w:hAnsiTheme="minorHAnsi"/>
                <w:sz w:val="22"/>
                <w:szCs w:val="22"/>
              </w:rPr>
              <w:t>align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common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understanding</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with</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parent</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node</w:t>
            </w:r>
            <w:proofErr w:type="spellEnd"/>
            <w:r>
              <w:rPr>
                <w:rFonts w:asciiTheme="minorHAnsi" w:eastAsiaTheme="minorEastAsia" w:hAnsiTheme="minorHAnsi"/>
                <w:sz w:val="22"/>
                <w:szCs w:val="22"/>
              </w:rPr>
              <w:t xml:space="preserve"> on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shared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state</w:t>
            </w:r>
            <w:proofErr w:type="spellEnd"/>
            <w:r>
              <w:rPr>
                <w:rFonts w:asciiTheme="minorHAnsi" w:eastAsiaTheme="minorEastAsia" w:hAnsiTheme="minorHAnsi"/>
                <w:sz w:val="22"/>
                <w:szCs w:val="22"/>
              </w:rPr>
              <w:t xml:space="preserv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third</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rules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proposed</w:t>
            </w:r>
            <w:proofErr w:type="spellEnd"/>
            <w:r>
              <w:rPr>
                <w:rFonts w:ascii="Calibri" w:eastAsia="Malgun Gothic" w:hAnsi="Calibri"/>
                <w:bCs/>
                <w:sz w:val="22"/>
                <w:szCs w:val="22"/>
                <w:lang w:eastAsia="ko-KR"/>
              </w:rPr>
              <w:t xml:space="preserve"> for CSSC in </w:t>
            </w:r>
            <w:proofErr w:type="spellStart"/>
            <w:r>
              <w:rPr>
                <w:rFonts w:ascii="Calibri" w:eastAsia="Malgun Gothic" w:hAnsi="Calibri"/>
                <w:bCs/>
                <w:sz w:val="22"/>
                <w:szCs w:val="22"/>
                <w:lang w:eastAsia="ko-KR"/>
              </w:rPr>
              <w:t>Rel</w:t>
            </w:r>
            <w:proofErr w:type="spellEnd"/>
            <w:r>
              <w:rPr>
                <w:rFonts w:ascii="Calibri" w:eastAsia="Malgun Gothic" w:hAnsi="Calibri"/>
                <w:bCs/>
                <w:sz w:val="22"/>
                <w:szCs w:val="22"/>
                <w:lang w:eastAsia="ko-KR"/>
              </w:rPr>
              <w:t xml:space="preserve">. 16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baseline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Therefore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rewording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Feasibility of resource availability indication of a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xtension</w:t>
            </w:r>
            <w:proofErr w:type="spellEnd"/>
            <w:r>
              <w:rPr>
                <w:rFonts w:ascii="Calibri" w:eastAsia="Calibri" w:hAnsi="Calibri"/>
                <w:b/>
                <w:bCs/>
                <w:sz w:val="22"/>
                <w:szCs w:val="22"/>
              </w:rPr>
              <w:t xml:space="preserve">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easibility of resource availability indication of a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Do you mean: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generally agree with the main bullet, but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proofErr w:type="spellStart"/>
            <w:r>
              <w:rPr>
                <w:rFonts w:ascii="Calibri" w:eastAsia="Malgun Gothic" w:hAnsi="Calibri" w:hint="eastAsia"/>
                <w:bCs/>
                <w:sz w:val="22"/>
                <w:szCs w:val="22"/>
                <w:lang w:eastAsia="ko-KR"/>
              </w:rPr>
              <w:t>We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are</w:t>
            </w:r>
            <w:proofErr w:type="spellEnd"/>
            <w:r>
              <w:rPr>
                <w:rFonts w:ascii="Calibri" w:eastAsia="Malgun Gothic" w:hAnsi="Calibri" w:hint="eastAsia"/>
                <w:bCs/>
                <w:sz w:val="22"/>
                <w:szCs w:val="22"/>
                <w:lang w:eastAsia="ko-KR"/>
              </w:rPr>
              <w:t xml:space="preserve"> OK </w:t>
            </w:r>
            <w:proofErr w:type="spellStart"/>
            <w:r>
              <w:rPr>
                <w:rFonts w:ascii="Calibri" w:eastAsia="Malgun Gothic" w:hAnsi="Calibri" w:hint="eastAsia"/>
                <w:bCs/>
                <w:sz w:val="22"/>
                <w:szCs w:val="22"/>
                <w:lang w:eastAsia="ko-KR"/>
              </w:rPr>
              <w:t>with</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main </w:t>
            </w:r>
            <w:proofErr w:type="spellStart"/>
            <w:r>
              <w:rPr>
                <w:rFonts w:ascii="Calibri" w:eastAsia="Malgun Gothic" w:hAnsi="Calibri" w:hint="eastAsia"/>
                <w:bCs/>
                <w:sz w:val="22"/>
                <w:szCs w:val="22"/>
                <w:lang w:eastAsia="ko-KR"/>
              </w:rPr>
              <w:t>bullet</w:t>
            </w:r>
            <w:proofErr w:type="spellEnd"/>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clarified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supported</w:t>
            </w:r>
            <w:proofErr w:type="spellEnd"/>
            <w:r>
              <w:rPr>
                <w:rFonts w:ascii="Calibri" w:eastAsia="Malgun Gothic" w:hAnsi="Calibri"/>
                <w:bCs/>
                <w:sz w:val="22"/>
                <w:szCs w:val="22"/>
                <w:lang w:eastAsia="ko-KR"/>
              </w:rPr>
              <w:t xml:space="preserve"> in Rel-17. And </w:t>
            </w:r>
            <w:proofErr w:type="spellStart"/>
            <w:r>
              <w:rPr>
                <w:rFonts w:ascii="Calibri" w:eastAsia="Malgun Gothic" w:hAnsi="Calibri"/>
                <w:bCs/>
                <w:sz w:val="22"/>
                <w:szCs w:val="22"/>
                <w:lang w:eastAsia="ko-KR"/>
              </w:rPr>
              <w:t>then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details</w:t>
            </w:r>
            <w:proofErr w:type="spellEnd"/>
            <w:r>
              <w:rPr>
                <w:rFonts w:ascii="Calibri" w:eastAsia="Malgun Gothic" w:hAnsi="Calibri"/>
                <w:bCs/>
                <w:sz w:val="22"/>
                <w:szCs w:val="22"/>
                <w:lang w:eastAsia="ko-KR"/>
              </w:rPr>
              <w:t xml:space="preserve">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mostly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except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RAN1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specify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simultaneous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operations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leave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their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application</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implementation</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course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implmentation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make</w:t>
            </w:r>
            <w:proofErr w:type="spellEnd"/>
            <w:r>
              <w:rPr>
                <w:rFonts w:ascii="Calibri" w:eastAsia="Malgun Gothic" w:hAnsi="Calibri"/>
                <w:bCs/>
                <w:sz w:val="22"/>
                <w:szCs w:val="22"/>
                <w:lang w:eastAsia="ko-KR"/>
              </w:rPr>
              <w:t xml:space="preserve"> sure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legacy</w:t>
            </w:r>
            <w:proofErr w:type="spellEnd"/>
            <w:r>
              <w:rPr>
                <w:rFonts w:ascii="Calibri" w:eastAsia="Malgun Gothic" w:hAnsi="Calibri"/>
                <w:bCs/>
                <w:sz w:val="22"/>
                <w:szCs w:val="22"/>
                <w:lang w:eastAsia="ko-KR"/>
              </w:rPr>
              <w:t xml:space="preserve"> UE </w:t>
            </w:r>
            <w:proofErr w:type="spellStart"/>
            <w:r>
              <w:rPr>
                <w:rFonts w:ascii="Calibri" w:eastAsia="Malgun Gothic" w:hAnsi="Calibri"/>
                <w:bCs/>
                <w:sz w:val="22"/>
                <w:szCs w:val="22"/>
                <w:lang w:eastAsia="ko-KR"/>
              </w:rPr>
              <w:t>will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impacted</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stated</w:t>
            </w:r>
            <w:proofErr w:type="spellEnd"/>
            <w:r>
              <w:rPr>
                <w:rFonts w:ascii="Calibri" w:eastAsia="Malgun Gothic" w:hAnsi="Calibri"/>
                <w:bCs/>
                <w:sz w:val="22"/>
                <w:szCs w:val="22"/>
                <w:lang w:eastAsia="ko-KR"/>
              </w:rPr>
              <w:t xml:space="preserve"> in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Given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redundant</w:t>
            </w:r>
            <w:proofErr w:type="spellEnd"/>
            <w:r>
              <w:rPr>
                <w:rFonts w:ascii="Calibri" w:eastAsia="Malgun Gothic" w:hAnsi="Calibri"/>
                <w:bCs/>
                <w:sz w:val="22"/>
                <w:szCs w:val="22"/>
                <w:lang w:eastAsia="ko-KR"/>
              </w:rPr>
              <w: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 xml:space="preserve">e </w:t>
            </w:r>
            <w:proofErr w:type="spellStart"/>
            <w:r>
              <w:rPr>
                <w:rStyle w:val="normaltextrun"/>
                <w:rFonts w:ascii="Calibri" w:eastAsia="Yu Mincho" w:hAnsi="Calibri" w:cs="Calibri"/>
                <w:sz w:val="22"/>
                <w:szCs w:val="22"/>
                <w:lang w:eastAsia="ja-JP"/>
              </w:rPr>
              <w:t>agree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with</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FL </w:t>
            </w:r>
            <w:proofErr w:type="spellStart"/>
            <w:r>
              <w:rPr>
                <w:rStyle w:val="normaltextrun"/>
                <w:rFonts w:ascii="Calibri" w:eastAsia="Yu Mincho" w:hAnsi="Calibri" w:cs="Calibri"/>
                <w:sz w:val="22"/>
                <w:szCs w:val="22"/>
                <w:lang w:eastAsia="ja-JP"/>
              </w:rPr>
              <w:t>proposal</w:t>
            </w:r>
            <w:proofErr w:type="spellEnd"/>
            <w:r>
              <w:rPr>
                <w:rStyle w:val="normaltextrun"/>
                <w:rFonts w:ascii="Calibri" w:eastAsia="Yu Mincho" w:hAnsi="Calibri" w:cs="Calibri"/>
                <w:sz w:val="22"/>
                <w:szCs w:val="22"/>
                <w:lang w:eastAsia="ja-JP"/>
              </w:rPr>
              <w:t xml:space="preserve"> and </w:t>
            </w:r>
            <w:proofErr w:type="spellStart"/>
            <w:r>
              <w:rPr>
                <w:rStyle w:val="normaltextrun"/>
                <w:rFonts w:ascii="Calibri" w:eastAsia="Yu Mincho" w:hAnsi="Calibri" w:cs="Calibri"/>
                <w:sz w:val="22"/>
                <w:szCs w:val="22"/>
                <w:lang w:eastAsia="ja-JP"/>
              </w:rPr>
              <w:t>Nokia’s</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modification</w:t>
            </w:r>
            <w:proofErr w:type="spellEnd"/>
            <w:r>
              <w:rPr>
                <w:rStyle w:val="normaltextrun"/>
                <w:rFonts w:ascii="Calibri" w:eastAsia="Yu Mincho" w:hAnsi="Calibri" w:cs="Calibri"/>
                <w:sz w:val="22"/>
                <w:szCs w:val="22"/>
                <w:lang w:eastAsia="ja-JP"/>
              </w:rPr>
              <w:t xml:space="preserve"> on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second</w:t>
            </w:r>
            <w:proofErr w:type="spellEnd"/>
            <w:r>
              <w:rPr>
                <w:rStyle w:val="normaltextrun"/>
                <w:rFonts w:ascii="Calibri" w:eastAsia="Yu Mincho" w:hAnsi="Calibri" w:cs="Calibri"/>
                <w:sz w:val="22"/>
                <w:szCs w:val="22"/>
                <w:lang w:eastAsia="ja-JP"/>
              </w:rPr>
              <w:t xml:space="preserve"> FFS </w:t>
            </w:r>
            <w:proofErr w:type="spellStart"/>
            <w:r>
              <w:rPr>
                <w:rStyle w:val="normaltextrun"/>
                <w:rFonts w:ascii="Calibri" w:eastAsia="Yu Mincho" w:hAnsi="Calibri" w:cs="Calibri"/>
                <w:sz w:val="22"/>
                <w:szCs w:val="22"/>
                <w:lang w:eastAsia="ja-JP"/>
              </w:rPr>
              <w:t>point</w:t>
            </w:r>
            <w:proofErr w:type="spellEnd"/>
            <w:r>
              <w:rPr>
                <w:rStyle w:val="normaltextrun"/>
                <w:rFonts w:ascii="Calibri" w:eastAsia="Yu Mincho" w:hAnsi="Calibri" w:cs="Calibri"/>
                <w:sz w:val="22"/>
                <w:szCs w:val="22"/>
                <w:lang w:eastAsia="ja-JP"/>
              </w:rPr>
              <w: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proofErr w:type="spellStart"/>
            <w:r>
              <w:rPr>
                <w:rFonts w:ascii="Calibri" w:eastAsiaTheme="minorEastAsia" w:hAnsi="Calibri"/>
                <w:sz w:val="22"/>
                <w:szCs w:val="22"/>
                <w:lang w:eastAsia="zh-CN"/>
              </w:rPr>
              <w:t>We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agree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with</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the</w:t>
            </w:r>
            <w:proofErr w:type="spellEnd"/>
            <w:r>
              <w:rPr>
                <w:rFonts w:ascii="Calibri" w:eastAsiaTheme="minorEastAsia" w:hAnsi="Calibri"/>
                <w:sz w:val="22"/>
                <w:szCs w:val="22"/>
                <w:lang w:eastAsia="zh-CN"/>
              </w:rPr>
              <w:t xml:space="preserve"> FL </w:t>
            </w:r>
            <w:proofErr w:type="spellStart"/>
            <w:r>
              <w:rPr>
                <w:rFonts w:ascii="Calibri" w:eastAsiaTheme="minorEastAsia" w:hAnsi="Calibri"/>
                <w:sz w:val="22"/>
                <w:szCs w:val="22"/>
                <w:lang w:eastAsia="zh-CN"/>
              </w:rPr>
              <w:t>proposal</w:t>
            </w:r>
            <w:proofErr w:type="spellEnd"/>
            <w:r>
              <w:rPr>
                <w:rFonts w:ascii="Calibri" w:eastAsiaTheme="minorEastAsia" w:hAnsi="Calibri"/>
                <w:sz w:val="22"/>
                <w:szCs w:val="22"/>
                <w:lang w:eastAsia="zh-CN"/>
              </w:rPr>
              <w:t xml:space="preserve">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proofErr w:type="spellStart"/>
            <w:r>
              <w:rPr>
                <w:rFonts w:ascii="Calibri" w:eastAsiaTheme="minorEastAsia" w:hAnsi="Calibri"/>
                <w:sz w:val="22"/>
                <w:szCs w:val="22"/>
                <w:lang w:eastAsia="zh-CN"/>
              </w:rPr>
              <w:t>CEWiT</w:t>
            </w:r>
            <w:proofErr w:type="spellEnd"/>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r w:rsidR="007115E5" w14:paraId="254E9D22" w14:textId="77777777">
        <w:tc>
          <w:tcPr>
            <w:tcW w:w="1885" w:type="dxa"/>
            <w:shd w:val="clear" w:color="auto" w:fill="auto"/>
          </w:tcPr>
          <w:p w14:paraId="28C5AF4B" w14:textId="3677D6E7"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1710" w:type="dxa"/>
          </w:tcPr>
          <w:p w14:paraId="42E2A969" w14:textId="2E7C3828"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6475" w:type="dxa"/>
            <w:shd w:val="clear" w:color="auto" w:fill="auto"/>
          </w:tcPr>
          <w:p w14:paraId="0C8A00D5" w14:textId="77777777" w:rsidR="007115E5" w:rsidRPr="00C72C82" w:rsidRDefault="007115E5" w:rsidP="007115E5">
            <w:pPr>
              <w:rPr>
                <w:rFonts w:ascii="Calibri" w:eastAsia="Calibri" w:hAnsi="Calibri"/>
                <w:sz w:val="22"/>
                <w:szCs w:val="22"/>
              </w:rPr>
            </w:pPr>
          </w:p>
        </w:tc>
      </w:tr>
      <w:tr w:rsidR="00626545" w14:paraId="7A6C594E" w14:textId="77777777">
        <w:tc>
          <w:tcPr>
            <w:tcW w:w="1885" w:type="dxa"/>
            <w:shd w:val="clear" w:color="auto" w:fill="auto"/>
          </w:tcPr>
          <w:p w14:paraId="44C71083" w14:textId="40959C78" w:rsidR="00626545" w:rsidRPr="00626545" w:rsidRDefault="00626545"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1710" w:type="dxa"/>
          </w:tcPr>
          <w:p w14:paraId="23D152EC" w14:textId="669171E2" w:rsidR="00626545" w:rsidRPr="00626545" w:rsidRDefault="00626545" w:rsidP="007115E5">
            <w:pPr>
              <w:rPr>
                <w:rFonts w:ascii="Calibri" w:eastAsiaTheme="minorEastAsia" w:hAnsi="Calibri"/>
                <w:sz w:val="22"/>
                <w:szCs w:val="22"/>
                <w:lang w:eastAsia="zh-CN"/>
              </w:rPr>
            </w:pPr>
            <w:r>
              <w:rPr>
                <w:rFonts w:ascii="Calibri" w:eastAsiaTheme="minorEastAsia" w:hAnsi="Calibri"/>
                <w:sz w:val="22"/>
                <w:szCs w:val="22"/>
                <w:lang w:eastAsia="zh-CN"/>
              </w:rPr>
              <w:t>Mostly</w:t>
            </w:r>
          </w:p>
        </w:tc>
        <w:tc>
          <w:tcPr>
            <w:tcW w:w="6475" w:type="dxa"/>
            <w:shd w:val="clear" w:color="auto" w:fill="auto"/>
          </w:tcPr>
          <w:p w14:paraId="5604E6B0" w14:textId="521E24C4" w:rsidR="00626545" w:rsidRDefault="00626545" w:rsidP="00626545">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 intention of the main bullet is that the </w:t>
            </w:r>
            <w:r w:rsidRPr="00626545">
              <w:rPr>
                <w:rFonts w:ascii="Calibri" w:eastAsiaTheme="minorEastAsia" w:hAnsi="Calibri"/>
                <w:b/>
                <w:sz w:val="22"/>
                <w:szCs w:val="22"/>
                <w:lang w:eastAsia="zh-CN"/>
              </w:rPr>
              <w:t>Rel-16</w:t>
            </w:r>
            <w:r>
              <w:rPr>
                <w:rFonts w:ascii="Calibri" w:eastAsiaTheme="minorEastAsia" w:hAnsi="Calibri"/>
                <w:sz w:val="22"/>
                <w:szCs w:val="22"/>
                <w:lang w:eastAsia="zh-CN"/>
              </w:rPr>
              <w:t xml:space="preserve"> </w:t>
            </w:r>
            <w:r w:rsidRPr="00626545">
              <w:rPr>
                <w:rFonts w:ascii="Calibri" w:eastAsiaTheme="minorEastAsia" w:hAnsi="Calibri"/>
                <w:sz w:val="22"/>
                <w:szCs w:val="22"/>
                <w:lang w:eastAsia="zh-CN"/>
              </w:rPr>
              <w:t>explicit indication of soft resources by DCI Format 2_5</w:t>
            </w:r>
            <w:r>
              <w:rPr>
                <w:rFonts w:ascii="Calibri" w:eastAsiaTheme="minorEastAsia" w:hAnsi="Calibri"/>
                <w:sz w:val="22"/>
                <w:szCs w:val="22"/>
                <w:lang w:eastAsia="zh-CN"/>
              </w:rPr>
              <w:t xml:space="preserve"> is supported for simulation operation cases in Rel-17. As an example, </w:t>
            </w:r>
            <w:r>
              <w:rPr>
                <w:rFonts w:ascii="Calibri" w:eastAsiaTheme="minorEastAsia" w:hAnsi="Calibri" w:hint="eastAsia"/>
                <w:sz w:val="22"/>
                <w:szCs w:val="22"/>
                <w:lang w:eastAsia="zh-CN"/>
              </w:rPr>
              <w:t>a</w:t>
            </w:r>
            <w:r>
              <w:rPr>
                <w:rFonts w:ascii="Calibri" w:eastAsiaTheme="minorEastAsia" w:hAnsi="Calibri"/>
                <w:sz w:val="22"/>
                <w:szCs w:val="22"/>
                <w:lang w:eastAsia="zh-CN"/>
              </w:rPr>
              <w:t>n IAB-MT can be scheduled by its parent node and at the same time the parent node can indicate an overlapping IAB-DU soft resource as available so that simultaneous operation is possible between parent link and child link. Hence we would suggest a slight change below</w:t>
            </w:r>
          </w:p>
          <w:p w14:paraId="3066FFB4" w14:textId="051D058B" w:rsidR="00626545" w:rsidRPr="00626545" w:rsidRDefault="00626545" w:rsidP="00626545">
            <w:pPr>
              <w:rPr>
                <w:rFonts w:ascii="Calibri" w:eastAsiaTheme="minorEastAsia" w:hAnsi="Calibri"/>
                <w:sz w:val="22"/>
                <w:szCs w:val="22"/>
                <w:lang w:eastAsia="zh-CN"/>
              </w:rPr>
            </w:pPr>
            <w:r>
              <w:rPr>
                <w:rFonts w:ascii="Calibri" w:eastAsia="MS PGothic" w:hAnsi="Calibri" w:cs="Calibri"/>
                <w:b/>
                <w:iCs/>
                <w:sz w:val="22"/>
                <w:szCs w:val="16"/>
              </w:rPr>
              <w:t xml:space="preserve">The </w:t>
            </w:r>
            <w:r w:rsidRPr="00626545">
              <w:rPr>
                <w:rFonts w:ascii="Calibri" w:eastAsia="MS PGothic" w:hAnsi="Calibri" w:cs="Calibri"/>
                <w:b/>
                <w:iCs/>
                <w:color w:val="FF0000"/>
                <w:sz w:val="22"/>
                <w:szCs w:val="16"/>
              </w:rPr>
              <w:t>Rel-16</w:t>
            </w:r>
            <w:r>
              <w:rPr>
                <w:rFonts w:ascii="Calibri" w:eastAsia="MS PGothic" w:hAnsi="Calibri" w:cs="Calibri"/>
                <w:b/>
                <w:iCs/>
                <w:sz w:val="22"/>
                <w:szCs w:val="16"/>
              </w:rPr>
              <w:t xml:space="preserv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for simultaneous operation cases in Rel-17.</w:t>
            </w:r>
          </w:p>
        </w:tc>
      </w:tr>
      <w:tr w:rsidR="0013440D" w14:paraId="5BF8E604" w14:textId="77777777">
        <w:tc>
          <w:tcPr>
            <w:tcW w:w="1885" w:type="dxa"/>
            <w:shd w:val="clear" w:color="auto" w:fill="auto"/>
          </w:tcPr>
          <w:p w14:paraId="1BB3A6C1" w14:textId="55E2E0A9"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1710" w:type="dxa"/>
          </w:tcPr>
          <w:p w14:paraId="5610F827" w14:textId="288F3846"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475" w:type="dxa"/>
            <w:shd w:val="clear" w:color="auto" w:fill="auto"/>
          </w:tcPr>
          <w:p w14:paraId="640CD94A" w14:textId="77777777" w:rsidR="0013440D" w:rsidRDefault="0013440D" w:rsidP="00626545">
            <w:pPr>
              <w:rPr>
                <w:rFonts w:ascii="Calibri" w:eastAsiaTheme="minorEastAsia" w:hAnsi="Calibri"/>
                <w:sz w:val="22"/>
                <w:szCs w:val="22"/>
                <w:lang w:eastAsia="zh-CN"/>
              </w:rPr>
            </w:pPr>
          </w:p>
        </w:tc>
      </w:tr>
      <w:tr w:rsidR="00F70FC5" w14:paraId="352B39AB" w14:textId="77777777">
        <w:tc>
          <w:tcPr>
            <w:tcW w:w="1885" w:type="dxa"/>
            <w:shd w:val="clear" w:color="auto" w:fill="auto"/>
          </w:tcPr>
          <w:p w14:paraId="486E2D12" w14:textId="6DD805BA"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1710" w:type="dxa"/>
          </w:tcPr>
          <w:p w14:paraId="45C3F6C3" w14:textId="75DBDD99"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9DE6DE9" w14:textId="77777777" w:rsidR="00F70FC5" w:rsidRDefault="00F70FC5" w:rsidP="00626545">
            <w:pPr>
              <w:rPr>
                <w:rFonts w:ascii="Calibri" w:eastAsiaTheme="minorEastAsia" w:hAnsi="Calibri"/>
                <w:sz w:val="22"/>
                <w:szCs w:val="22"/>
                <w:lang w:eastAsia="zh-CN"/>
              </w:rPr>
            </w:pPr>
          </w:p>
        </w:tc>
      </w:tr>
      <w:tr w:rsidR="00037687" w14:paraId="0412D827" w14:textId="77777777">
        <w:tc>
          <w:tcPr>
            <w:tcW w:w="1885" w:type="dxa"/>
            <w:shd w:val="clear" w:color="auto" w:fill="auto"/>
          </w:tcPr>
          <w:p w14:paraId="0DC8724D" w14:textId="450DCE03"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v</w:t>
            </w:r>
            <w:r>
              <w:rPr>
                <w:rFonts w:ascii="Calibri" w:eastAsiaTheme="minorEastAsia" w:hAnsi="Calibri" w:hint="eastAsia"/>
                <w:sz w:val="22"/>
                <w:szCs w:val="22"/>
                <w:lang w:eastAsia="zh-CN"/>
              </w:rPr>
              <w:t>ivo</w:t>
            </w:r>
          </w:p>
        </w:tc>
        <w:tc>
          <w:tcPr>
            <w:tcW w:w="1710" w:type="dxa"/>
          </w:tcPr>
          <w:p w14:paraId="5DD5BE13" w14:textId="4EF3BF5C"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K, with clarification</w:t>
            </w:r>
          </w:p>
        </w:tc>
        <w:tc>
          <w:tcPr>
            <w:tcW w:w="6475" w:type="dxa"/>
            <w:shd w:val="clear" w:color="auto" w:fill="auto"/>
          </w:tcPr>
          <w:p w14:paraId="6BE9D164" w14:textId="5CF9AABE"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For clarification, ‘</w:t>
            </w:r>
            <w:r w:rsidRPr="00FE2746">
              <w:rPr>
                <w:rFonts w:ascii="Calibri" w:eastAsiaTheme="minorEastAsia" w:hAnsi="Calibri"/>
                <w:sz w:val="22"/>
                <w:szCs w:val="22"/>
                <w:lang w:eastAsia="zh-CN"/>
              </w:rPr>
              <w:t>DCI Format 2_5 is supported for simultaneous operation cases’ means soft resource can be used for simultaneous operation, correct?</w:t>
            </w:r>
            <w:r>
              <w:rPr>
                <w:rFonts w:ascii="Calibri" w:eastAsiaTheme="minorEastAsia" w:hAnsi="Calibri"/>
                <w:sz w:val="22"/>
                <w:szCs w:val="22"/>
                <w:lang w:eastAsia="zh-CN"/>
              </w:rPr>
              <w:t xml:space="preserve"> Then it is conflict with 2</w:t>
            </w:r>
            <w:r w:rsidRPr="00037687">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subbullet</w:t>
            </w:r>
            <w:proofErr w:type="spellEnd"/>
            <w:r>
              <w:rPr>
                <w:rFonts w:ascii="Calibri" w:eastAsiaTheme="minorEastAsia" w:hAnsi="Calibri"/>
                <w:sz w:val="22"/>
                <w:szCs w:val="22"/>
                <w:lang w:eastAsia="zh-CN"/>
              </w:rPr>
              <w:t>, partially?</w:t>
            </w:r>
          </w:p>
        </w:tc>
      </w:tr>
      <w:tr w:rsidR="007219FA" w14:paraId="3C1245A7" w14:textId="77777777">
        <w:tc>
          <w:tcPr>
            <w:tcW w:w="1885" w:type="dxa"/>
            <w:shd w:val="clear" w:color="auto" w:fill="auto"/>
          </w:tcPr>
          <w:p w14:paraId="54678670" w14:textId="3550CB54" w:rsidR="007219FA" w:rsidRDefault="007219FA" w:rsidP="00037687">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1710" w:type="dxa"/>
          </w:tcPr>
          <w:p w14:paraId="229D50AE" w14:textId="02282939" w:rsidR="007219FA" w:rsidRDefault="007219FA"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82CDC76" w14:textId="77777777" w:rsidR="007219FA" w:rsidRDefault="007219FA" w:rsidP="00037687">
            <w:pPr>
              <w:rPr>
                <w:rFonts w:ascii="Calibri" w:eastAsiaTheme="minorEastAsia" w:hAnsi="Calibri"/>
                <w:sz w:val="22"/>
                <w:szCs w:val="22"/>
                <w:lang w:eastAsia="zh-CN"/>
              </w:rPr>
            </w:pPr>
          </w:p>
        </w:tc>
      </w:tr>
      <w:tr w:rsidR="002564EB" w14:paraId="3FB2D49D" w14:textId="77777777">
        <w:tc>
          <w:tcPr>
            <w:tcW w:w="1885" w:type="dxa"/>
            <w:shd w:val="clear" w:color="auto" w:fill="auto"/>
          </w:tcPr>
          <w:p w14:paraId="3D882205" w14:textId="06EC9361"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Nokia/NSB</w:t>
            </w:r>
          </w:p>
        </w:tc>
        <w:tc>
          <w:tcPr>
            <w:tcW w:w="1710" w:type="dxa"/>
          </w:tcPr>
          <w:p w14:paraId="2A8DFF6C" w14:textId="5D6248C8"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248C9167" w14:textId="7ED19C73"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the Fl proposal. </w:t>
            </w: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Pr>
                <w:rFonts w:ascii="Calibri" w:hAnsi="Calibri"/>
                <w:b/>
                <w:bCs/>
                <w:color w:val="000000"/>
                <w:kern w:val="24"/>
                <w:lang w:val="en-US"/>
              </w:rPr>
              <w:t>signalling</w:t>
            </w:r>
            <w:proofErr w:type="spellEnd"/>
            <w:r>
              <w:rPr>
                <w:rFonts w:ascii="Calibri" w:hAnsi="Calibri"/>
                <w:b/>
                <w:bCs/>
                <w:color w:val="000000"/>
                <w:kern w:val="24"/>
                <w:lang w:val="en-US"/>
              </w:rPr>
              <w:t>.</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proofErr w:type="spellStart"/>
            <w:r>
              <w:rPr>
                <w:color w:val="000000"/>
                <w:lang w:eastAsia="zh-CN"/>
              </w:rPr>
              <w:t>ignaled</w:t>
            </w:r>
            <w:proofErr w:type="spellEnd"/>
            <w:r>
              <w:rPr>
                <w:color w:val="000000"/>
                <w:lang w:eastAsia="zh-CN"/>
              </w:rPr>
              <w:t xml:space="preserve"> enhancements. No additional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proofErr w:type="spellStart"/>
            <w:r>
              <w:rPr>
                <w:sz w:val="20"/>
                <w:szCs w:val="20"/>
              </w:rPr>
              <w:t>ignaled</w:t>
            </w:r>
            <w:proofErr w:type="spellEnd"/>
            <w:r>
              <w:rPr>
                <w:sz w:val="20"/>
                <w:szCs w:val="20"/>
              </w:rPr>
              <w:t xml:space="preserve">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w:t>
            </w:r>
            <w:proofErr w:type="spellStart"/>
            <w:r>
              <w:rPr>
                <w:b/>
                <w:bCs/>
              </w:rPr>
              <w:t>Dus</w:t>
            </w:r>
            <w:proofErr w:type="spellEnd"/>
            <w:r>
              <w:rPr>
                <w:b/>
                <w:bCs/>
              </w:rPr>
              <w:t>.</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A conflict rule should be considered for IAB when the two parent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r w:rsidR="009354A4" w14:paraId="06E9314C" w14:textId="77777777">
        <w:tc>
          <w:tcPr>
            <w:tcW w:w="1563" w:type="dxa"/>
            <w:shd w:val="clear" w:color="auto" w:fill="auto"/>
          </w:tcPr>
          <w:p w14:paraId="21B8D969" w14:textId="0D5BA79A" w:rsidR="009354A4" w:rsidRDefault="009354A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1942" w:type="dxa"/>
          </w:tcPr>
          <w:p w14:paraId="4B794598" w14:textId="591F8289" w:rsidR="009354A4" w:rsidRDefault="009354A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66FB7C2" w14:textId="77777777" w:rsidR="009354A4" w:rsidRDefault="009354A4">
            <w:pPr>
              <w:rPr>
                <w:rFonts w:ascii="Calibri" w:eastAsia="Malgun Gothic" w:hAnsi="Calibri"/>
                <w:bCs/>
                <w:sz w:val="22"/>
                <w:szCs w:val="22"/>
                <w:lang w:eastAsia="ko-KR"/>
              </w:rPr>
            </w:pP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w:t>
            </w:r>
            <w:proofErr w:type="spellStart"/>
            <w:r>
              <w:rPr>
                <w:rFonts w:ascii="Calibri" w:eastAsia="SimSun" w:hAnsi="Calibri"/>
                <w:sz w:val="22"/>
                <w:szCs w:val="22"/>
                <w:lang w:eastAsia="zh-CN"/>
              </w:rPr>
              <w:t>ing</w:t>
            </w:r>
            <w:proofErr w:type="spellEnd"/>
            <w:r>
              <w:rPr>
                <w:rFonts w:ascii="Calibri" w:eastAsia="SimSun" w:hAnsi="Calibri"/>
                <w:sz w:val="22"/>
                <w:szCs w:val="22"/>
                <w:lang w:eastAsia="zh-CN"/>
              </w:rPr>
              <w:t>]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reuse existing framework for dual-connectivity. Also, for inter-</w:t>
            </w:r>
            <w:r>
              <w:rPr>
                <w:rFonts w:ascii="Calibri" w:eastAsia="Malgun Gothic" w:hAnsi="Calibri"/>
                <w:sz w:val="22"/>
                <w:szCs w:val="22"/>
                <w:lang w:eastAsia="ko-KR"/>
              </w:rPr>
              <w:lastRenderedPageBreak/>
              <w:t>carrier DC for intra-band scenario, clarification whether existing framework can be reused or not is necessity. But, if simple modification is expected, we may consider to operate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Yes for only inter-carrier DC for inter-band</w:t>
            </w:r>
          </w:p>
        </w:tc>
        <w:tc>
          <w:tcPr>
            <w:tcW w:w="6295" w:type="dxa"/>
            <w:shd w:val="clear" w:color="auto" w:fill="auto"/>
          </w:tcPr>
          <w:p w14:paraId="43090365" w14:textId="7C805BE1"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is no such cases for access </w:t>
            </w:r>
            <w:proofErr w:type="spellStart"/>
            <w:r>
              <w:rPr>
                <w:rFonts w:ascii="Calibri" w:eastAsia="Malgun Gothic" w:hAnsi="Calibri"/>
                <w:bCs/>
                <w:sz w:val="22"/>
                <w:szCs w:val="22"/>
                <w:lang w:eastAsia="ko-KR"/>
              </w:rPr>
              <w:t>U</w:t>
            </w:r>
            <w:r w:rsidR="002564EB">
              <w:rPr>
                <w:rFonts w:ascii="Calibri" w:eastAsia="Malgun Gothic" w:hAnsi="Calibri"/>
                <w:bCs/>
                <w:sz w:val="22"/>
                <w:szCs w:val="22"/>
                <w:lang w:eastAsia="ko-KR"/>
              </w:rPr>
              <w:t>e</w:t>
            </w:r>
            <w:r>
              <w:rPr>
                <w:rFonts w:ascii="Calibri" w:eastAsia="Malgun Gothic" w:hAnsi="Calibri"/>
                <w:bCs/>
                <w:sz w:val="22"/>
                <w:szCs w:val="22"/>
                <w:lang w:eastAsia="ko-KR"/>
              </w:rPr>
              <w:t>s</w:t>
            </w:r>
            <w:proofErr w:type="spellEnd"/>
            <w:r>
              <w:rPr>
                <w:rFonts w:ascii="Calibri" w:eastAsia="Malgun Gothic" w:hAnsi="Calibri"/>
                <w:bCs/>
                <w:sz w:val="22"/>
                <w:szCs w:val="22"/>
                <w:lang w:eastAsia="ko-KR"/>
              </w:rPr>
              <w:t xml:space="preserve">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lastRenderedPageBreak/>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246F560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SimSun" w:hAnsi="Calibri"/>
                <w:sz w:val="22"/>
                <w:szCs w:val="22"/>
                <w:lang w:eastAsia="zh-CN"/>
              </w:rPr>
            </w:pPr>
            <w:r>
              <w:rPr>
                <w:rFonts w:ascii="Calibri" w:eastAsia="SimSun"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r w:rsidR="00092ABA" w14:paraId="0D05CE37" w14:textId="77777777">
        <w:tc>
          <w:tcPr>
            <w:tcW w:w="1563" w:type="dxa"/>
            <w:shd w:val="clear" w:color="auto" w:fill="auto"/>
          </w:tcPr>
          <w:p w14:paraId="79F93FDE" w14:textId="0F630227" w:rsidR="00092ABA" w:rsidRDefault="00092ABA" w:rsidP="00092ABA">
            <w:pPr>
              <w:rPr>
                <w:rFonts w:ascii="Calibri" w:eastAsiaTheme="minorEastAsia" w:hAnsi="Calibri"/>
                <w:sz w:val="22"/>
                <w:szCs w:val="22"/>
                <w:lang w:eastAsia="zh-CN"/>
              </w:rPr>
            </w:pPr>
            <w:r>
              <w:rPr>
                <w:rFonts w:ascii="Calibri" w:eastAsia="Malgun Gothic" w:hAnsi="Calibri" w:hint="eastAsia"/>
                <w:bCs/>
                <w:sz w:val="22"/>
                <w:szCs w:val="22"/>
                <w:lang w:eastAsia="ko-KR"/>
              </w:rPr>
              <w:t>Samsung</w:t>
            </w:r>
          </w:p>
        </w:tc>
        <w:tc>
          <w:tcPr>
            <w:tcW w:w="2212" w:type="dxa"/>
          </w:tcPr>
          <w:p w14:paraId="6A1413C5" w14:textId="64564ABD" w:rsidR="00092ABA" w:rsidRDefault="00092ABA" w:rsidP="00092ABA">
            <w:pPr>
              <w:rPr>
                <w:rFonts w:ascii="Calibri" w:eastAsia="SimSun" w:hAnsi="Calibri"/>
                <w:sz w:val="22"/>
                <w:szCs w:val="22"/>
                <w:lang w:eastAsia="zh-CN"/>
              </w:rPr>
            </w:pPr>
            <w:r>
              <w:rPr>
                <w:rFonts w:ascii="Calibri" w:eastAsia="Malgun Gothic" w:hAnsi="Calibri" w:hint="eastAsia"/>
                <w:bCs/>
                <w:sz w:val="22"/>
                <w:szCs w:val="22"/>
                <w:lang w:eastAsia="ko-KR"/>
              </w:rPr>
              <w:t>Yes for only inter-carrier inter-band</w:t>
            </w:r>
          </w:p>
        </w:tc>
        <w:tc>
          <w:tcPr>
            <w:tcW w:w="6295" w:type="dxa"/>
            <w:shd w:val="clear" w:color="auto" w:fill="auto"/>
          </w:tcPr>
          <w:p w14:paraId="1F474A9B" w14:textId="5D7E13D1" w:rsidR="00092ABA" w:rsidRDefault="00092ABA" w:rsidP="00092ABA">
            <w:pPr>
              <w:rPr>
                <w:rFonts w:ascii="Calibri" w:eastAsia="Calibri" w:hAnsi="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is unclear whether it can work with solutions for inter-carrier inter-band. S</w:t>
            </w:r>
            <w:r>
              <w:rPr>
                <w:rFonts w:ascii="Calibri" w:eastAsia="Malgun Gothic" w:hAnsi="Calibri" w:hint="eastAsia"/>
                <w:bCs/>
                <w:sz w:val="22"/>
                <w:szCs w:val="22"/>
                <w:lang w:eastAsia="ko-KR"/>
              </w:rPr>
              <w:t xml:space="preserve">o, our suggestion is to </w:t>
            </w:r>
            <w:r>
              <w:rPr>
                <w:rFonts w:ascii="Calibri" w:eastAsia="Malgun Gothic" w:hAnsi="Calibri"/>
                <w:bCs/>
                <w:sz w:val="22"/>
                <w:szCs w:val="22"/>
                <w:lang w:eastAsia="ko-KR"/>
              </w:rPr>
              <w:t>“</w:t>
            </w:r>
            <w:r w:rsidRPr="007035B3">
              <w:rPr>
                <w:rFonts w:ascii="Calibri" w:eastAsia="Malgun Gothic" w:hAnsi="Calibri" w:hint="eastAsia"/>
                <w:b/>
                <w:bCs/>
                <w:sz w:val="22"/>
                <w:szCs w:val="22"/>
                <w:lang w:eastAsia="ko-KR"/>
              </w:rPr>
              <w:t xml:space="preserve">study whether </w:t>
            </w:r>
            <w:r>
              <w:rPr>
                <w:rFonts w:ascii="Calibri" w:eastAsia="Calibri" w:hAnsi="Calibri"/>
                <w:b/>
                <w:bCs/>
                <w:sz w:val="22"/>
                <w:szCs w:val="22"/>
              </w:rPr>
              <w:t>inter-carrier, intra-band is additionally supported at least for FR2 to the extent it reuses solutions for supporting Inter-carrier, inter-band”</w:t>
            </w:r>
            <w:r w:rsidRPr="007035B3">
              <w:rPr>
                <w:rFonts w:ascii="Calibri" w:eastAsia="Calibri" w:hAnsi="Calibri"/>
                <w:bCs/>
                <w:sz w:val="22"/>
                <w:szCs w:val="22"/>
              </w:rPr>
              <w:t xml:space="preserve">. </w:t>
            </w:r>
            <w:r>
              <w:rPr>
                <w:rFonts w:ascii="Calibri" w:eastAsia="Malgun Gothic" w:hAnsi="Calibri"/>
                <w:bCs/>
                <w:sz w:val="22"/>
                <w:szCs w:val="22"/>
                <w:lang w:eastAsia="ko-KR"/>
              </w:rPr>
              <w:t xml:space="preserve">Regarding intra-carrier DC, our view is not changed. We still don’t think intra-carrier DC is a part of Rel-17 WID </w:t>
            </w:r>
            <w:r>
              <w:rPr>
                <w:rFonts w:ascii="Calibri" w:eastAsia="Malgun Gothic" w:hAnsi="Calibri" w:hint="eastAsia"/>
                <w:bCs/>
                <w:sz w:val="22"/>
                <w:szCs w:val="22"/>
                <w:lang w:eastAsia="ko-KR"/>
              </w:rPr>
              <w:t>without a response from RAN plenary.</w:t>
            </w:r>
          </w:p>
        </w:tc>
      </w:tr>
      <w:tr w:rsidR="00626545" w14:paraId="5100283B" w14:textId="77777777">
        <w:tc>
          <w:tcPr>
            <w:tcW w:w="1563" w:type="dxa"/>
            <w:shd w:val="clear" w:color="auto" w:fill="auto"/>
          </w:tcPr>
          <w:p w14:paraId="361887D2" w14:textId="0E144C4F" w:rsidR="00626545" w:rsidRDefault="00626545"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Huawei</w:t>
            </w:r>
          </w:p>
        </w:tc>
        <w:tc>
          <w:tcPr>
            <w:tcW w:w="2212" w:type="dxa"/>
          </w:tcPr>
          <w:p w14:paraId="661F53E9" w14:textId="2496BC9D" w:rsidR="00626545" w:rsidRDefault="00BF5514"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295" w:type="dxa"/>
            <w:shd w:val="clear" w:color="auto" w:fill="auto"/>
          </w:tcPr>
          <w:p w14:paraId="5AE2FC91" w14:textId="7F861758" w:rsidR="00626545" w:rsidRPr="00BF5514" w:rsidRDefault="00BF5514" w:rsidP="00092ABA">
            <w:pPr>
              <w:rPr>
                <w:rFonts w:ascii="Calibri" w:eastAsia="Malgun Gothic" w:hAnsi="Calibri"/>
                <w:bCs/>
                <w:sz w:val="22"/>
                <w:szCs w:val="22"/>
                <w:lang w:eastAsia="ko-KR"/>
              </w:rPr>
            </w:pPr>
            <w:r>
              <w:rPr>
                <w:rFonts w:ascii="Calibri" w:eastAsia="Malgun Gothic" w:hAnsi="Calibri"/>
                <w:bCs/>
                <w:sz w:val="22"/>
                <w:szCs w:val="22"/>
                <w:lang w:eastAsia="ko-KR"/>
              </w:rPr>
              <w:t>None</w:t>
            </w:r>
          </w:p>
        </w:tc>
      </w:tr>
      <w:tr w:rsidR="001D4094" w14:paraId="11EA6E6B" w14:textId="77777777">
        <w:tc>
          <w:tcPr>
            <w:tcW w:w="1563" w:type="dxa"/>
            <w:shd w:val="clear" w:color="auto" w:fill="auto"/>
          </w:tcPr>
          <w:p w14:paraId="5E883603" w14:textId="4289CCC9" w:rsidR="001D4094" w:rsidRDefault="001D4094" w:rsidP="001D4094">
            <w:pPr>
              <w:rPr>
                <w:rFonts w:ascii="Calibri" w:eastAsia="Malgun Gothic" w:hAnsi="Calibri"/>
                <w:bCs/>
                <w:sz w:val="22"/>
                <w:szCs w:val="22"/>
                <w:lang w:eastAsia="ko-KR"/>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A8CEFF3" w14:textId="79730710" w:rsidR="001D4094" w:rsidRDefault="001D4094" w:rsidP="001D4094">
            <w:pPr>
              <w:rPr>
                <w:rFonts w:ascii="Calibri" w:eastAsia="Malgun Gothic" w:hAnsi="Calibri"/>
                <w:bCs/>
                <w:sz w:val="22"/>
                <w:szCs w:val="22"/>
                <w:lang w:eastAsia="ko-KR"/>
              </w:rPr>
            </w:pPr>
            <w:r>
              <w:rPr>
                <w:rFonts w:ascii="Calibri" w:eastAsiaTheme="minorEastAsia" w:hAnsi="Calibri"/>
                <w:sz w:val="22"/>
                <w:szCs w:val="22"/>
                <w:lang w:eastAsia="zh-CN"/>
              </w:rPr>
              <w:t>Yes for inter-carrier DC</w:t>
            </w:r>
          </w:p>
        </w:tc>
        <w:tc>
          <w:tcPr>
            <w:tcW w:w="6295" w:type="dxa"/>
            <w:shd w:val="clear" w:color="auto" w:fill="auto"/>
          </w:tcPr>
          <w:p w14:paraId="7BDE1577" w14:textId="06D1BFD5" w:rsidR="001D4094" w:rsidRDefault="001D4094" w:rsidP="001D4094">
            <w:pPr>
              <w:rPr>
                <w:rFonts w:ascii="Calibri" w:eastAsia="Malgun Gothic" w:hAnsi="Calibri"/>
                <w:bCs/>
                <w:sz w:val="22"/>
                <w:szCs w:val="22"/>
                <w:lang w:eastAsia="ko-KR"/>
              </w:rPr>
            </w:pPr>
            <w:r>
              <w:rPr>
                <w:rFonts w:ascii="Calibri" w:eastAsiaTheme="minorEastAsia" w:hAnsi="Calibri"/>
                <w:sz w:val="22"/>
                <w:szCs w:val="22"/>
                <w:lang w:eastAsia="zh-CN"/>
              </w:rPr>
              <w:t>We are not sure intra-carrier DC can work well reusing solutions for inter-carrier DC without additional enhancements. So we suggest to at least make it FFS.</w:t>
            </w:r>
          </w:p>
        </w:tc>
      </w:tr>
      <w:tr w:rsidR="00F70FC5" w14:paraId="09E33965" w14:textId="77777777">
        <w:tc>
          <w:tcPr>
            <w:tcW w:w="1563" w:type="dxa"/>
            <w:shd w:val="clear" w:color="auto" w:fill="auto"/>
          </w:tcPr>
          <w:p w14:paraId="0182F550" w14:textId="554E8A86"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2212" w:type="dxa"/>
          </w:tcPr>
          <w:p w14:paraId="18099E96" w14:textId="412527D2"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44158D86" w14:textId="77777777" w:rsidR="00F70FC5" w:rsidRDefault="00F70FC5" w:rsidP="00F70FC5">
            <w:pPr>
              <w:rPr>
                <w:rFonts w:ascii="Calibri" w:eastAsiaTheme="minorEastAsia" w:hAnsi="Calibri"/>
                <w:sz w:val="22"/>
                <w:szCs w:val="22"/>
                <w:lang w:eastAsia="zh-CN"/>
              </w:rPr>
            </w:pPr>
          </w:p>
        </w:tc>
      </w:tr>
      <w:tr w:rsidR="00037687" w14:paraId="077D8921" w14:textId="77777777">
        <w:tc>
          <w:tcPr>
            <w:tcW w:w="1563" w:type="dxa"/>
            <w:shd w:val="clear" w:color="auto" w:fill="auto"/>
          </w:tcPr>
          <w:p w14:paraId="661F3968" w14:textId="7A9D8498"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12" w:type="dxa"/>
          </w:tcPr>
          <w:p w14:paraId="56EA2C90" w14:textId="07F4BE0C"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295" w:type="dxa"/>
            <w:shd w:val="clear" w:color="auto" w:fill="auto"/>
          </w:tcPr>
          <w:p w14:paraId="70BC6BB9" w14:textId="512D759C" w:rsidR="00037687" w:rsidRDefault="00037687" w:rsidP="00037687">
            <w:pPr>
              <w:rPr>
                <w:rFonts w:ascii="Calibri" w:eastAsiaTheme="minorEastAsia" w:hAnsi="Calibri"/>
                <w:sz w:val="22"/>
                <w:szCs w:val="22"/>
                <w:lang w:eastAsia="zh-CN"/>
              </w:rPr>
            </w:pPr>
            <w:r>
              <w:rPr>
                <w:rFonts w:ascii="Calibri" w:eastAsiaTheme="minorEastAsia" w:hAnsi="Calibri"/>
                <w:bCs/>
                <w:sz w:val="22"/>
                <w:szCs w:val="22"/>
                <w:lang w:eastAsia="zh-CN"/>
              </w:rPr>
              <w:t xml:space="preserve">For intra-carrier, the spec. impact can be discussed, if we assume common </w:t>
            </w:r>
            <w:proofErr w:type="spellStart"/>
            <w:r>
              <w:rPr>
                <w:rFonts w:ascii="Calibri" w:eastAsiaTheme="minorEastAsia" w:hAnsi="Calibri"/>
                <w:bCs/>
                <w:sz w:val="22"/>
                <w:szCs w:val="22"/>
                <w:lang w:eastAsia="zh-CN"/>
              </w:rPr>
              <w:t>enh</w:t>
            </w:r>
            <w:proofErr w:type="spellEnd"/>
            <w:r>
              <w:rPr>
                <w:rFonts w:ascii="Calibri" w:eastAsiaTheme="minorEastAsia" w:hAnsi="Calibri"/>
                <w:bCs/>
                <w:sz w:val="22"/>
                <w:szCs w:val="22"/>
                <w:lang w:eastAsia="zh-CN"/>
              </w:rPr>
              <w:t xml:space="preserve">. </w:t>
            </w:r>
            <w:r w:rsidR="002564EB">
              <w:rPr>
                <w:rFonts w:ascii="Calibri" w:eastAsiaTheme="minorEastAsia" w:hAnsi="Calibri"/>
                <w:bCs/>
                <w:sz w:val="22"/>
                <w:szCs w:val="22"/>
                <w:lang w:eastAsia="zh-CN"/>
              </w:rPr>
              <w:t>C</w:t>
            </w:r>
            <w:r>
              <w:rPr>
                <w:rFonts w:ascii="Calibri" w:eastAsiaTheme="minorEastAsia" w:hAnsi="Calibri"/>
                <w:bCs/>
                <w:sz w:val="22"/>
                <w:szCs w:val="22"/>
                <w:lang w:eastAsia="zh-CN"/>
              </w:rPr>
              <w:t>an be applied for intra and inter-carrier.</w:t>
            </w:r>
          </w:p>
        </w:tc>
      </w:tr>
      <w:tr w:rsidR="002A6556" w14:paraId="49789E92" w14:textId="77777777">
        <w:tc>
          <w:tcPr>
            <w:tcW w:w="1563" w:type="dxa"/>
            <w:shd w:val="clear" w:color="auto" w:fill="auto"/>
          </w:tcPr>
          <w:p w14:paraId="13E58F4E" w14:textId="11FE63DD" w:rsidR="002A6556" w:rsidRDefault="002A6556" w:rsidP="00037687">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12" w:type="dxa"/>
          </w:tcPr>
          <w:p w14:paraId="68B766FE" w14:textId="68E6E779" w:rsidR="002A6556" w:rsidRDefault="002A6556" w:rsidP="00037687">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295" w:type="dxa"/>
            <w:shd w:val="clear" w:color="auto" w:fill="auto"/>
          </w:tcPr>
          <w:p w14:paraId="5EF71F4C" w14:textId="63F977CA" w:rsidR="002A6556" w:rsidRDefault="002A6556" w:rsidP="00037687">
            <w:pPr>
              <w:rPr>
                <w:rFonts w:ascii="Calibri" w:eastAsiaTheme="minorEastAsia" w:hAnsi="Calibri"/>
                <w:bCs/>
                <w:sz w:val="22"/>
                <w:szCs w:val="22"/>
                <w:lang w:eastAsia="zh-CN"/>
              </w:rPr>
            </w:pPr>
          </w:p>
        </w:tc>
      </w:tr>
      <w:tr w:rsidR="002564EB" w14:paraId="2F88BBF2" w14:textId="77777777">
        <w:tc>
          <w:tcPr>
            <w:tcW w:w="1563" w:type="dxa"/>
            <w:shd w:val="clear" w:color="auto" w:fill="auto"/>
          </w:tcPr>
          <w:p w14:paraId="0D974826" w14:textId="227FD314" w:rsidR="002564EB" w:rsidRDefault="002564EB" w:rsidP="00037687">
            <w:pPr>
              <w:rPr>
                <w:rFonts w:ascii="Calibri" w:eastAsiaTheme="minorEastAsia" w:hAnsi="Calibri"/>
                <w:bCs/>
                <w:sz w:val="22"/>
                <w:szCs w:val="22"/>
                <w:lang w:eastAsia="zh-CN"/>
              </w:rPr>
            </w:pPr>
            <w:r>
              <w:rPr>
                <w:rFonts w:ascii="Calibri" w:eastAsiaTheme="minorEastAsia" w:hAnsi="Calibri"/>
                <w:bCs/>
                <w:sz w:val="22"/>
                <w:szCs w:val="22"/>
                <w:lang w:eastAsia="zh-CN"/>
              </w:rPr>
              <w:t>Nokia/NSB</w:t>
            </w:r>
          </w:p>
        </w:tc>
        <w:tc>
          <w:tcPr>
            <w:tcW w:w="2212" w:type="dxa"/>
          </w:tcPr>
          <w:p w14:paraId="7FB79F69" w14:textId="376F112F" w:rsidR="002564EB" w:rsidRDefault="002564EB" w:rsidP="00037687">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295" w:type="dxa"/>
            <w:shd w:val="clear" w:color="auto" w:fill="auto"/>
          </w:tcPr>
          <w:p w14:paraId="2DE76D2A" w14:textId="77777777" w:rsidR="00E779AE" w:rsidRDefault="00E779AE" w:rsidP="00E779AE">
            <w:pPr>
              <w:rPr>
                <w:rFonts w:ascii="Calibri" w:eastAsia="Calibri" w:hAnsi="Calibri"/>
                <w:sz w:val="22"/>
                <w:szCs w:val="22"/>
              </w:rPr>
            </w:pPr>
            <w:r>
              <w:rPr>
                <w:rFonts w:ascii="Calibri" w:eastAsia="Calibri" w:hAnsi="Calibri"/>
                <w:sz w:val="22"/>
                <w:szCs w:val="22"/>
              </w:rPr>
              <w:t xml:space="preserve">We think that company views are captured well in the FL proposal. But we would like to have more specific wording on main text. </w:t>
            </w:r>
          </w:p>
          <w:p w14:paraId="2253C0DF" w14:textId="77777777" w:rsidR="00E779AE" w:rsidRDefault="00E779AE" w:rsidP="00E779AE">
            <w:pPr>
              <w:rPr>
                <w:rFonts w:ascii="Calibri" w:eastAsia="Calibri" w:hAnsi="Calibri"/>
                <w:sz w:val="22"/>
                <w:szCs w:val="22"/>
              </w:rPr>
            </w:pPr>
            <w:r>
              <w:rPr>
                <w:rFonts w:ascii="Calibri" w:eastAsia="Calibri" w:hAnsi="Calibri"/>
                <w:sz w:val="22"/>
                <w:szCs w:val="22"/>
              </w:rPr>
              <w:t xml:space="preserve">Also, second sub-bullet is not fully clear. If we are discussing inter-carrier DC, why do we need to handle the inter-band and intra-band separately. May be what we foresee as the differently required should be justified. </w:t>
            </w:r>
          </w:p>
          <w:p w14:paraId="021AF1F9" w14:textId="77777777" w:rsidR="00E779AE" w:rsidRDefault="00E779AE" w:rsidP="00E779AE">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From a RAN1 perspective, the following DC scenarios are </w:t>
            </w:r>
            <w:r w:rsidRPr="00F04767">
              <w:rPr>
                <w:rFonts w:ascii="Calibri" w:eastAsia="Calibri" w:hAnsi="Calibri"/>
                <w:b/>
                <w:bCs/>
                <w:strike/>
                <w:color w:val="FF0000"/>
                <w:sz w:val="22"/>
                <w:szCs w:val="22"/>
              </w:rPr>
              <w:t>supported</w:t>
            </w:r>
            <w:r w:rsidRPr="00F04767">
              <w:rPr>
                <w:rFonts w:ascii="Calibri" w:eastAsia="Calibri" w:hAnsi="Calibri"/>
                <w:b/>
                <w:bCs/>
                <w:color w:val="FF0000"/>
                <w:sz w:val="22"/>
                <w:szCs w:val="22"/>
              </w:rPr>
              <w:t xml:space="preserve"> </w:t>
            </w:r>
            <w:r w:rsidRPr="00AD3523">
              <w:rPr>
                <w:rFonts w:ascii="Calibri" w:eastAsia="Calibri" w:hAnsi="Calibri"/>
                <w:b/>
                <w:bCs/>
                <w:color w:val="FF0000"/>
                <w:sz w:val="22"/>
                <w:szCs w:val="22"/>
              </w:rPr>
              <w:t>considered for resource multiplexing discussion</w:t>
            </w:r>
            <w:r>
              <w:rPr>
                <w:rFonts w:ascii="Calibri" w:eastAsia="Calibri" w:hAnsi="Calibri"/>
                <w:b/>
                <w:bCs/>
                <w:sz w:val="22"/>
                <w:szCs w:val="22"/>
              </w:rPr>
              <w:t xml:space="preserve"> in Rel-17:</w:t>
            </w:r>
          </w:p>
          <w:p w14:paraId="5EC19175" w14:textId="77777777" w:rsidR="00E779AE" w:rsidRDefault="00E779AE" w:rsidP="00E779AE">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w:t>
            </w:r>
            <w:r w:rsidRPr="005A6500">
              <w:rPr>
                <w:rFonts w:ascii="Calibri" w:eastAsiaTheme="minorEastAsia" w:hAnsi="Calibri"/>
                <w:b/>
                <w:bCs/>
                <w:color w:val="FF0000"/>
                <w:sz w:val="22"/>
                <w:szCs w:val="22"/>
                <w:lang w:eastAsia="zh-CN"/>
              </w:rPr>
              <w:t xml:space="preserve">both </w:t>
            </w:r>
            <w:r>
              <w:rPr>
                <w:rFonts w:ascii="Calibri" w:eastAsiaTheme="minorEastAsia" w:hAnsi="Calibri"/>
                <w:b/>
                <w:bCs/>
                <w:sz w:val="22"/>
                <w:szCs w:val="22"/>
                <w:lang w:eastAsia="zh-CN"/>
              </w:rPr>
              <w:t xml:space="preserve">inter-band </w:t>
            </w:r>
            <w:r w:rsidRPr="005A6500">
              <w:rPr>
                <w:rFonts w:ascii="Calibri" w:eastAsiaTheme="minorEastAsia" w:hAnsi="Calibri"/>
                <w:b/>
                <w:bCs/>
                <w:color w:val="FF0000"/>
                <w:sz w:val="22"/>
                <w:szCs w:val="22"/>
                <w:lang w:eastAsia="zh-CN"/>
              </w:rPr>
              <w:t xml:space="preserve">and </w:t>
            </w:r>
            <w:r w:rsidRPr="005A6500">
              <w:rPr>
                <w:rFonts w:ascii="Calibri" w:eastAsia="Calibri" w:hAnsi="Calibri"/>
                <w:b/>
                <w:bCs/>
                <w:color w:val="FF0000"/>
                <w:sz w:val="22"/>
                <w:szCs w:val="22"/>
              </w:rPr>
              <w:t>intra-band</w:t>
            </w:r>
          </w:p>
          <w:p w14:paraId="42F61198" w14:textId="77777777" w:rsidR="00E779AE" w:rsidRPr="005A6500" w:rsidRDefault="00E779AE" w:rsidP="00E779AE">
            <w:pPr>
              <w:pStyle w:val="ListParagraph"/>
              <w:numPr>
                <w:ilvl w:val="0"/>
                <w:numId w:val="15"/>
              </w:numPr>
              <w:rPr>
                <w:rFonts w:ascii="Calibri" w:eastAsia="Calibri" w:hAnsi="Calibri"/>
                <w:b/>
                <w:bCs/>
                <w:strike/>
                <w:color w:val="FF0000"/>
                <w:sz w:val="22"/>
                <w:szCs w:val="22"/>
              </w:rPr>
            </w:pPr>
            <w:r w:rsidRPr="005A6500">
              <w:rPr>
                <w:rFonts w:ascii="Calibri" w:eastAsia="Calibri" w:hAnsi="Calibri"/>
                <w:b/>
                <w:bCs/>
                <w:strike/>
                <w:color w:val="FF0000"/>
                <w:sz w:val="22"/>
                <w:szCs w:val="22"/>
              </w:rPr>
              <w:t>Inter-carrier, intra-band is additionally supported at least for FR2 to the extent it reuses solutions for supporting Inter-carrier, inter-band</w:t>
            </w:r>
          </w:p>
          <w:p w14:paraId="750DC7C3" w14:textId="77777777" w:rsidR="00E779AE" w:rsidRPr="005A6500" w:rsidRDefault="00E779AE" w:rsidP="00E779AE">
            <w:pPr>
              <w:pStyle w:val="ListParagraph"/>
              <w:numPr>
                <w:ilvl w:val="1"/>
                <w:numId w:val="15"/>
              </w:numPr>
              <w:rPr>
                <w:rFonts w:ascii="Calibri" w:eastAsiaTheme="minorEastAsia" w:hAnsi="Calibri"/>
                <w:b/>
                <w:bCs/>
                <w:strike/>
                <w:color w:val="FF0000"/>
                <w:sz w:val="22"/>
                <w:szCs w:val="22"/>
                <w:lang w:eastAsia="zh-CN"/>
              </w:rPr>
            </w:pPr>
            <w:r w:rsidRPr="005A6500">
              <w:rPr>
                <w:rFonts w:ascii="Calibri" w:eastAsia="Calibri" w:hAnsi="Calibri"/>
                <w:b/>
                <w:bCs/>
                <w:strike/>
                <w:color w:val="FF0000"/>
                <w:sz w:val="22"/>
                <w:szCs w:val="22"/>
              </w:rPr>
              <w:t>FFS: whether specific enhancements for Inter-carrier, intra-band DC are introduced in Rel-17</w:t>
            </w:r>
          </w:p>
          <w:p w14:paraId="2CB571FC" w14:textId="77777777" w:rsidR="00E779AE" w:rsidRDefault="00E779AE" w:rsidP="00E779AE">
            <w:pPr>
              <w:pStyle w:val="ListParagraph"/>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47E2AAFC" w14:textId="77777777" w:rsidR="00E779AE" w:rsidRDefault="00E779AE" w:rsidP="00E779AE">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426B7588" w14:textId="24F3AD34" w:rsidR="002564EB" w:rsidRDefault="002564EB" w:rsidP="00037687">
            <w:pPr>
              <w:rPr>
                <w:rFonts w:ascii="Calibri" w:eastAsiaTheme="minorEastAsia" w:hAnsi="Calibri"/>
                <w:bCs/>
                <w:sz w:val="22"/>
                <w:szCs w:val="22"/>
                <w:lang w:eastAsia="zh-CN"/>
              </w:rPr>
            </w:pP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r>
              <w:rPr>
                <w:rFonts w:ascii="Calibri" w:eastAsia="SimSun" w:hAnsi="Calibri"/>
                <w:sz w:val="22"/>
                <w:szCs w:val="22"/>
                <w:lang w:eastAsia="zh-CN"/>
              </w:rPr>
              <w:t>a</w:t>
            </w:r>
            <w:proofErr w:type="spellEnd"/>
            <w:r>
              <w:rPr>
                <w:rFonts w:ascii="Calibri" w:eastAsia="SimSun" w:hAnsi="Calibri"/>
                <w:sz w:val="22"/>
                <w:szCs w:val="22"/>
                <w:lang w:eastAsia="zh-CN"/>
              </w:rPr>
              <w:t xml:space="preserve">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lastRenderedPageBreak/>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r>
              <w:rPr>
                <w:rFonts w:ascii="Calibri" w:eastAsiaTheme="minorEastAsia" w:hAnsi="Calibri"/>
                <w:sz w:val="22"/>
                <w:szCs w:val="22"/>
                <w:lang w:eastAsia="zh-CN"/>
              </w:rPr>
              <w:t>Yes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to change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p>
        </w:tc>
      </w:tr>
      <w:tr w:rsidR="00092ABA" w14:paraId="02C2BEC5" w14:textId="77777777">
        <w:tc>
          <w:tcPr>
            <w:tcW w:w="1563" w:type="dxa"/>
            <w:shd w:val="clear" w:color="auto" w:fill="auto"/>
          </w:tcPr>
          <w:p w14:paraId="0187B713" w14:textId="6B4DD99E" w:rsidR="00092ABA" w:rsidRDefault="00092ABA" w:rsidP="00092ABA">
            <w:pPr>
              <w:rPr>
                <w:rFonts w:ascii="Calibri" w:eastAsiaTheme="minorEastAsia" w:hAnsi="Calibri"/>
                <w:b/>
                <w:bCs/>
                <w:sz w:val="22"/>
                <w:szCs w:val="22"/>
                <w:lang w:eastAsia="zh-CN"/>
              </w:rPr>
            </w:pPr>
            <w:r>
              <w:rPr>
                <w:rFonts w:ascii="Calibri" w:eastAsia="Malgun Gothic" w:hAnsi="Calibri" w:hint="eastAsia"/>
                <w:b/>
                <w:bCs/>
                <w:sz w:val="22"/>
                <w:szCs w:val="22"/>
                <w:lang w:eastAsia="ko-KR"/>
              </w:rPr>
              <w:t>Samsung</w:t>
            </w:r>
          </w:p>
        </w:tc>
        <w:tc>
          <w:tcPr>
            <w:tcW w:w="1402" w:type="dxa"/>
          </w:tcPr>
          <w:p w14:paraId="4E870EC2" w14:textId="24A26980" w:rsidR="00092ABA" w:rsidRDefault="00092ABA" w:rsidP="00092ABA">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7105" w:type="dxa"/>
            <w:shd w:val="clear" w:color="auto" w:fill="auto"/>
          </w:tcPr>
          <w:p w14:paraId="2E4E092D" w14:textId="77777777" w:rsidR="00092ABA" w:rsidRDefault="00092ABA" w:rsidP="00092ABA">
            <w:pPr>
              <w:rPr>
                <w:rFonts w:ascii="Calibri" w:eastAsia="Calibri" w:hAnsi="Calibri"/>
                <w:sz w:val="22"/>
                <w:szCs w:val="22"/>
              </w:rPr>
            </w:pPr>
          </w:p>
        </w:tc>
      </w:tr>
      <w:tr w:rsidR="00BF5514" w14:paraId="4EFC2677" w14:textId="77777777">
        <w:tc>
          <w:tcPr>
            <w:tcW w:w="1563" w:type="dxa"/>
            <w:shd w:val="clear" w:color="auto" w:fill="auto"/>
          </w:tcPr>
          <w:p w14:paraId="4B56E29F" w14:textId="0045D3CC" w:rsidR="00BF5514" w:rsidRPr="00BF5514" w:rsidRDefault="00BF551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5F40D16A" w14:textId="44EC2D40" w:rsidR="00BF5514" w:rsidRPr="00BF5514" w:rsidRDefault="00BF551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slight change</w:t>
            </w:r>
          </w:p>
        </w:tc>
        <w:tc>
          <w:tcPr>
            <w:tcW w:w="7105" w:type="dxa"/>
            <w:shd w:val="clear" w:color="auto" w:fill="auto"/>
          </w:tcPr>
          <w:p w14:paraId="412B78AB" w14:textId="12780732" w:rsidR="00BF5514" w:rsidRPr="00BF5514" w:rsidRDefault="00BF5514" w:rsidP="00BF5514">
            <w:pPr>
              <w:rPr>
                <w:rFonts w:ascii="Calibri" w:eastAsiaTheme="minorEastAsia" w:hAnsi="Calibri"/>
                <w:bCs/>
                <w:sz w:val="22"/>
                <w:szCs w:val="22"/>
                <w:lang w:eastAsia="zh-CN"/>
              </w:rPr>
            </w:pPr>
            <w:r w:rsidRPr="00BF5514">
              <w:rPr>
                <w:rFonts w:ascii="Calibri" w:eastAsiaTheme="minorEastAsia" w:hAnsi="Calibri"/>
                <w:bCs/>
                <w:sz w:val="22"/>
                <w:szCs w:val="22"/>
                <w:lang w:eastAsia="zh-CN"/>
              </w:rPr>
              <w:t xml:space="preserve">On the sub-bullet, it is not clear </w:t>
            </w:r>
            <w:r>
              <w:rPr>
                <w:rFonts w:ascii="Calibri" w:eastAsiaTheme="minorEastAsia" w:hAnsi="Calibri"/>
                <w:bCs/>
                <w:sz w:val="22"/>
                <w:szCs w:val="22"/>
                <w:lang w:eastAsia="zh-CN"/>
              </w:rPr>
              <w:t xml:space="preserve">to us </w:t>
            </w:r>
            <w:r w:rsidRPr="00BF5514">
              <w:rPr>
                <w:rFonts w:ascii="Calibri" w:eastAsiaTheme="minorEastAsia" w:hAnsi="Calibri"/>
                <w:bCs/>
                <w:sz w:val="22"/>
                <w:szCs w:val="22"/>
                <w:lang w:eastAsia="zh-CN"/>
              </w:rPr>
              <w:t>how this dynamic indication can be coordinated between different parent nodes. Hence we would like make the enhancement</w:t>
            </w:r>
            <w:r>
              <w:rPr>
                <w:rFonts w:ascii="Calibri" w:eastAsiaTheme="minorEastAsia" w:hAnsi="Calibri"/>
                <w:bCs/>
                <w:sz w:val="22"/>
                <w:szCs w:val="22"/>
                <w:lang w:eastAsia="zh-CN"/>
              </w:rPr>
              <w:t xml:space="preserve"> part</w:t>
            </w:r>
            <w:r w:rsidRPr="00BF5514">
              <w:rPr>
                <w:rFonts w:ascii="Calibri" w:eastAsiaTheme="minorEastAsia" w:hAnsi="Calibri"/>
                <w:bCs/>
                <w:sz w:val="22"/>
                <w:szCs w:val="22"/>
                <w:lang w:eastAsia="zh-CN"/>
              </w:rPr>
              <w:t xml:space="preserve"> more generic</w:t>
            </w:r>
          </w:p>
          <w:p w14:paraId="54AEBFAD" w14:textId="625D50AA" w:rsidR="00BF5514" w:rsidRDefault="00BF5514" w:rsidP="009612BC">
            <w:pPr>
              <w:pStyle w:val="ListParagraph"/>
              <w:numPr>
                <w:ilvl w:val="0"/>
                <w:numId w:val="54"/>
              </w:numPr>
              <w:rPr>
                <w:rFonts w:ascii="Calibri" w:eastAsia="Calibri" w:hAnsi="Calibri"/>
                <w:sz w:val="22"/>
                <w:szCs w:val="22"/>
              </w:rPr>
            </w:pPr>
            <w:r>
              <w:rPr>
                <w:rFonts w:ascii="Calibri" w:eastAsia="Calibri" w:hAnsi="Calibri"/>
                <w:b/>
                <w:bCs/>
                <w:sz w:val="22"/>
                <w:szCs w:val="22"/>
              </w:rPr>
              <w:t xml:space="preserve">FFS: Whether any additional </w:t>
            </w:r>
            <w:r w:rsidRPr="00BF5514">
              <w:rPr>
                <w:rFonts w:ascii="Calibri" w:eastAsia="Calibri" w:hAnsi="Calibri"/>
                <w:b/>
                <w:bCs/>
                <w:strike/>
                <w:color w:val="FF0000"/>
                <w:sz w:val="22"/>
                <w:szCs w:val="22"/>
              </w:rPr>
              <w:t>coordination or signaling</w:t>
            </w:r>
            <w:r>
              <w:rPr>
                <w:rFonts w:ascii="Calibri" w:eastAsia="Calibri" w:hAnsi="Calibri"/>
                <w:b/>
                <w:bCs/>
                <w:sz w:val="22"/>
                <w:szCs w:val="22"/>
              </w:rPr>
              <w:t xml:space="preserve"> enhancements over the Rel-16 solution are needed</w:t>
            </w:r>
          </w:p>
        </w:tc>
      </w:tr>
      <w:tr w:rsidR="001D4094" w14:paraId="2D819125" w14:textId="77777777">
        <w:tc>
          <w:tcPr>
            <w:tcW w:w="1563" w:type="dxa"/>
            <w:shd w:val="clear" w:color="auto" w:fill="auto"/>
          </w:tcPr>
          <w:p w14:paraId="1EEA961C" w14:textId="788B33CE" w:rsidR="001D4094" w:rsidRDefault="001D409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288D7D0D" w14:textId="0613942A" w:rsidR="001D4094" w:rsidRDefault="001D409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7105" w:type="dxa"/>
            <w:shd w:val="clear" w:color="auto" w:fill="auto"/>
          </w:tcPr>
          <w:p w14:paraId="57031D22" w14:textId="77777777" w:rsidR="001D4094" w:rsidRPr="00BF5514" w:rsidRDefault="001D4094" w:rsidP="00BF5514">
            <w:pPr>
              <w:rPr>
                <w:rFonts w:ascii="Calibri" w:eastAsiaTheme="minorEastAsia" w:hAnsi="Calibri"/>
                <w:bCs/>
                <w:sz w:val="22"/>
                <w:szCs w:val="22"/>
                <w:lang w:eastAsia="zh-CN"/>
              </w:rPr>
            </w:pPr>
          </w:p>
        </w:tc>
      </w:tr>
      <w:tr w:rsidR="00F70FC5" w14:paraId="3E2B7A2F" w14:textId="77777777">
        <w:tc>
          <w:tcPr>
            <w:tcW w:w="1563" w:type="dxa"/>
            <w:shd w:val="clear" w:color="auto" w:fill="auto"/>
          </w:tcPr>
          <w:p w14:paraId="11C1F20A" w14:textId="3DE54105" w:rsidR="00F70FC5" w:rsidRPr="00F70FC5" w:rsidRDefault="00F70FC5" w:rsidP="00F70FC5">
            <w:pPr>
              <w:rPr>
                <w:rFonts w:ascii="Calibri" w:eastAsiaTheme="minorEastAsia" w:hAnsi="Calibri"/>
                <w:b/>
                <w:bCs/>
                <w:sz w:val="22"/>
                <w:szCs w:val="22"/>
                <w:lang w:eastAsia="zh-CN"/>
              </w:rPr>
            </w:pPr>
            <w:r w:rsidRPr="00F70FC5">
              <w:rPr>
                <w:rFonts w:ascii="Calibri" w:eastAsiaTheme="minorEastAsia" w:hAnsi="Calibri"/>
                <w:b/>
                <w:bCs/>
                <w:sz w:val="22"/>
                <w:szCs w:val="22"/>
                <w:lang w:eastAsia="zh-CN"/>
              </w:rPr>
              <w:t>Lenovo, Motorola Mobility</w:t>
            </w:r>
          </w:p>
        </w:tc>
        <w:tc>
          <w:tcPr>
            <w:tcW w:w="1402" w:type="dxa"/>
          </w:tcPr>
          <w:p w14:paraId="586F342F" w14:textId="1EFC2CC4"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3D31E503" w14:textId="77777777" w:rsidR="00F70FC5" w:rsidRPr="00BF5514" w:rsidRDefault="00F70FC5" w:rsidP="00F70FC5">
            <w:pPr>
              <w:rPr>
                <w:rFonts w:ascii="Calibri" w:eastAsiaTheme="minorEastAsia" w:hAnsi="Calibri"/>
                <w:bCs/>
                <w:sz w:val="22"/>
                <w:szCs w:val="22"/>
                <w:lang w:eastAsia="zh-CN"/>
              </w:rPr>
            </w:pPr>
          </w:p>
        </w:tc>
      </w:tr>
      <w:tr w:rsidR="00037687" w14:paraId="6B97B7FE" w14:textId="77777777">
        <w:tc>
          <w:tcPr>
            <w:tcW w:w="1563" w:type="dxa"/>
            <w:shd w:val="clear" w:color="auto" w:fill="auto"/>
          </w:tcPr>
          <w:p w14:paraId="315BA657" w14:textId="06CE474B" w:rsidR="00037687" w:rsidRPr="00F70FC5" w:rsidRDefault="00037687" w:rsidP="0003768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1402" w:type="dxa"/>
          </w:tcPr>
          <w:p w14:paraId="24091C77" w14:textId="3291B5BB"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comment</w:t>
            </w:r>
          </w:p>
        </w:tc>
        <w:tc>
          <w:tcPr>
            <w:tcW w:w="7105" w:type="dxa"/>
            <w:shd w:val="clear" w:color="auto" w:fill="auto"/>
          </w:tcPr>
          <w:p w14:paraId="0C95D84D" w14:textId="1AF5843A" w:rsidR="00037687" w:rsidRPr="00BF5514" w:rsidRDefault="00037687" w:rsidP="00037687">
            <w:pPr>
              <w:rPr>
                <w:rFonts w:ascii="Calibri" w:eastAsiaTheme="minorEastAsia" w:hAnsi="Calibri"/>
                <w:bCs/>
                <w:sz w:val="22"/>
                <w:szCs w:val="22"/>
                <w:lang w:eastAsia="zh-CN"/>
              </w:rPr>
            </w:pPr>
            <w:r>
              <w:rPr>
                <w:rFonts w:ascii="Calibri" w:eastAsiaTheme="minorEastAsia" w:hAnsi="Calibri"/>
                <w:bCs/>
                <w:sz w:val="22"/>
                <w:szCs w:val="22"/>
                <w:lang w:eastAsia="zh-CN"/>
              </w:rPr>
              <w:t>In FFS, the coordination means to address indication conflict between parent nodes? It is better to make it clear.</w:t>
            </w:r>
          </w:p>
        </w:tc>
      </w:tr>
      <w:tr w:rsidR="00051DFA" w14:paraId="06EB0FF6" w14:textId="77777777">
        <w:tc>
          <w:tcPr>
            <w:tcW w:w="1563" w:type="dxa"/>
            <w:shd w:val="clear" w:color="auto" w:fill="auto"/>
          </w:tcPr>
          <w:p w14:paraId="0C1A8707" w14:textId="6D69D5C4" w:rsidR="00051DFA" w:rsidRDefault="00051DFA" w:rsidP="00037687">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1402" w:type="dxa"/>
          </w:tcPr>
          <w:p w14:paraId="70BAD967" w14:textId="31BAE65E" w:rsidR="00051DFA" w:rsidRDefault="00051DFA"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B3337A8" w14:textId="77777777" w:rsidR="00051DFA" w:rsidRDefault="00051DFA" w:rsidP="00037687">
            <w:pPr>
              <w:rPr>
                <w:rFonts w:ascii="Calibri" w:eastAsiaTheme="minorEastAsia" w:hAnsi="Calibri"/>
                <w:bCs/>
                <w:sz w:val="22"/>
                <w:szCs w:val="22"/>
                <w:lang w:eastAsia="zh-CN"/>
              </w:rPr>
            </w:pPr>
          </w:p>
        </w:tc>
      </w:tr>
      <w:tr w:rsidR="00B3542F" w14:paraId="32A99262" w14:textId="77777777">
        <w:tc>
          <w:tcPr>
            <w:tcW w:w="1563" w:type="dxa"/>
            <w:shd w:val="clear" w:color="auto" w:fill="auto"/>
          </w:tcPr>
          <w:p w14:paraId="111C22AD" w14:textId="0EFB2DAB" w:rsidR="00B3542F" w:rsidRDefault="00B3542F" w:rsidP="00037687">
            <w:pPr>
              <w:rPr>
                <w:rFonts w:ascii="Calibri" w:eastAsiaTheme="minorEastAsia" w:hAnsi="Calibri"/>
                <w:b/>
                <w:bCs/>
                <w:sz w:val="22"/>
                <w:szCs w:val="22"/>
                <w:lang w:eastAsia="zh-CN"/>
              </w:rPr>
            </w:pPr>
            <w:r>
              <w:rPr>
                <w:rFonts w:ascii="Calibri" w:eastAsiaTheme="minorEastAsia" w:hAnsi="Calibri"/>
                <w:b/>
                <w:bCs/>
                <w:sz w:val="22"/>
                <w:szCs w:val="22"/>
                <w:lang w:eastAsia="zh-CN"/>
              </w:rPr>
              <w:t>Nokia/NSB</w:t>
            </w:r>
          </w:p>
        </w:tc>
        <w:tc>
          <w:tcPr>
            <w:tcW w:w="1402" w:type="dxa"/>
          </w:tcPr>
          <w:p w14:paraId="7F6AFD9E" w14:textId="2B25CE30" w:rsidR="00B3542F" w:rsidRDefault="00B3542F"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6908E22" w14:textId="66FF734E" w:rsidR="00B3542F" w:rsidRDefault="00B3542F" w:rsidP="000376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t>
            </w:r>
            <w:bookmarkStart w:id="3" w:name="_GoBack"/>
            <w:bookmarkEnd w:id="3"/>
          </w:p>
        </w:tc>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lastRenderedPageBreak/>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9384" w14:textId="77777777" w:rsidR="002564EB" w:rsidRDefault="002564EB" w:rsidP="00581403">
      <w:pPr>
        <w:spacing w:after="0" w:line="240" w:lineRule="auto"/>
      </w:pPr>
      <w:r>
        <w:separator/>
      </w:r>
    </w:p>
  </w:endnote>
  <w:endnote w:type="continuationSeparator" w:id="0">
    <w:p w14:paraId="66F20B7F" w14:textId="77777777" w:rsidR="002564EB" w:rsidRDefault="002564EB"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5004" w14:textId="77777777" w:rsidR="002564EB" w:rsidRDefault="002564EB" w:rsidP="00581403">
      <w:pPr>
        <w:spacing w:after="0" w:line="240" w:lineRule="auto"/>
      </w:pPr>
      <w:r>
        <w:separator/>
      </w:r>
    </w:p>
  </w:footnote>
  <w:footnote w:type="continuationSeparator" w:id="0">
    <w:p w14:paraId="65B90165" w14:textId="77777777" w:rsidR="002564EB" w:rsidRDefault="002564EB" w:rsidP="0058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qgUA+0IF/SwAAAA="/>
  </w:docVars>
  <w:rsids>
    <w:rsidRoot w:val="00CF3D60"/>
    <w:rsid w:val="000139F7"/>
    <w:rsid w:val="00013B8A"/>
    <w:rsid w:val="00020C7E"/>
    <w:rsid w:val="000217C5"/>
    <w:rsid w:val="000264D5"/>
    <w:rsid w:val="00032894"/>
    <w:rsid w:val="00034C82"/>
    <w:rsid w:val="00037687"/>
    <w:rsid w:val="00043C73"/>
    <w:rsid w:val="00051DFA"/>
    <w:rsid w:val="00057763"/>
    <w:rsid w:val="0006122A"/>
    <w:rsid w:val="00062FBB"/>
    <w:rsid w:val="0007045B"/>
    <w:rsid w:val="00085994"/>
    <w:rsid w:val="000860E0"/>
    <w:rsid w:val="00090EE0"/>
    <w:rsid w:val="00092ABA"/>
    <w:rsid w:val="000B6406"/>
    <w:rsid w:val="000C168F"/>
    <w:rsid w:val="000D2918"/>
    <w:rsid w:val="000E2DB4"/>
    <w:rsid w:val="000E7430"/>
    <w:rsid w:val="000F5617"/>
    <w:rsid w:val="001005D6"/>
    <w:rsid w:val="00100866"/>
    <w:rsid w:val="00105735"/>
    <w:rsid w:val="00106069"/>
    <w:rsid w:val="0013440D"/>
    <w:rsid w:val="001370AB"/>
    <w:rsid w:val="00137DE1"/>
    <w:rsid w:val="00140742"/>
    <w:rsid w:val="00156F5B"/>
    <w:rsid w:val="001604C1"/>
    <w:rsid w:val="00166096"/>
    <w:rsid w:val="001661BE"/>
    <w:rsid w:val="001707CF"/>
    <w:rsid w:val="00174193"/>
    <w:rsid w:val="001A2686"/>
    <w:rsid w:val="001B3B61"/>
    <w:rsid w:val="001C0FBC"/>
    <w:rsid w:val="001D4094"/>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564EB"/>
    <w:rsid w:val="002601EC"/>
    <w:rsid w:val="0026513B"/>
    <w:rsid w:val="00270461"/>
    <w:rsid w:val="00290CE1"/>
    <w:rsid w:val="00294A44"/>
    <w:rsid w:val="00295240"/>
    <w:rsid w:val="00295766"/>
    <w:rsid w:val="002962EC"/>
    <w:rsid w:val="002A0927"/>
    <w:rsid w:val="002A1138"/>
    <w:rsid w:val="002A2D83"/>
    <w:rsid w:val="002A6556"/>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A5E16"/>
    <w:rsid w:val="005B4924"/>
    <w:rsid w:val="005C0B93"/>
    <w:rsid w:val="005D1D97"/>
    <w:rsid w:val="005D2D0C"/>
    <w:rsid w:val="005F2794"/>
    <w:rsid w:val="005F670F"/>
    <w:rsid w:val="005F6712"/>
    <w:rsid w:val="0061707D"/>
    <w:rsid w:val="006178B5"/>
    <w:rsid w:val="0062023F"/>
    <w:rsid w:val="00620815"/>
    <w:rsid w:val="0062654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115E5"/>
    <w:rsid w:val="007219FA"/>
    <w:rsid w:val="00721FFE"/>
    <w:rsid w:val="00723278"/>
    <w:rsid w:val="0072636F"/>
    <w:rsid w:val="00726D70"/>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354A4"/>
    <w:rsid w:val="009416C6"/>
    <w:rsid w:val="0095067A"/>
    <w:rsid w:val="00950E26"/>
    <w:rsid w:val="0095359B"/>
    <w:rsid w:val="009612BC"/>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42F"/>
    <w:rsid w:val="00B35B51"/>
    <w:rsid w:val="00B35D41"/>
    <w:rsid w:val="00B35E02"/>
    <w:rsid w:val="00B375AD"/>
    <w:rsid w:val="00B40142"/>
    <w:rsid w:val="00B414BA"/>
    <w:rsid w:val="00B54BCC"/>
    <w:rsid w:val="00B56F6C"/>
    <w:rsid w:val="00B621DF"/>
    <w:rsid w:val="00B717DC"/>
    <w:rsid w:val="00B723E6"/>
    <w:rsid w:val="00B72C7F"/>
    <w:rsid w:val="00B749D2"/>
    <w:rsid w:val="00B80529"/>
    <w:rsid w:val="00B8718D"/>
    <w:rsid w:val="00BA4C80"/>
    <w:rsid w:val="00BF5514"/>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76597"/>
    <w:rsid w:val="00D8668E"/>
    <w:rsid w:val="00D96878"/>
    <w:rsid w:val="00DC3AD7"/>
    <w:rsid w:val="00DC42B7"/>
    <w:rsid w:val="00DD2A5E"/>
    <w:rsid w:val="00DE7B5A"/>
    <w:rsid w:val="00E01E71"/>
    <w:rsid w:val="00E13DF6"/>
    <w:rsid w:val="00E16EB5"/>
    <w:rsid w:val="00E230E1"/>
    <w:rsid w:val="00E269FC"/>
    <w:rsid w:val="00E433BD"/>
    <w:rsid w:val="00E608B8"/>
    <w:rsid w:val="00E620A2"/>
    <w:rsid w:val="00E63425"/>
    <w:rsid w:val="00E65083"/>
    <w:rsid w:val="00E65FC2"/>
    <w:rsid w:val="00E71E05"/>
    <w:rsid w:val="00E779AE"/>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0FC5"/>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5AIRPNAIUNRU-1830940522-9252</_dlc_DocId>
    <_dlc_DocIdUrl xmlns="71c5aaf6-e6ce-465b-b873-5148d2a4c105">
      <Url>https://nokia.sharepoint.com/sites/c5g/5gradio/_layouts/15/DocIdRedir.aspx?ID=5AIRPNAIUNRU-1830940522-9252</Url>
      <Description>5AIRPNAIUNRU-1830940522-9252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abf6ce-2443-438c-9946-ecc878e7654a"/>
    <ds:schemaRef ds:uri="71c5aaf6-e6ce-465b-b873-5148d2a4c105"/>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60F29CFE-6E53-43EC-AD77-7D3A0178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A3B99E-DEF7-4B30-A438-67E44F7E6C67}">
  <ds:schemaRefs>
    <ds:schemaRef ds:uri="Microsoft.SharePoint.Taxonomy.ContentTypeSync"/>
  </ds:schemaRefs>
</ds:datastoreItem>
</file>

<file path=customXml/itemProps6.xml><?xml version="1.0" encoding="utf-8"?>
<ds:datastoreItem xmlns:ds="http://schemas.openxmlformats.org/officeDocument/2006/customXml" ds:itemID="{9590B1B8-731C-457C-92BB-FA1B7B488A02}">
  <ds:schemaRefs>
    <ds:schemaRef ds:uri="http://schemas.microsoft.com/sharepoint/events"/>
  </ds:schemaRefs>
</ds:datastoreItem>
</file>

<file path=customXml/itemProps7.xml><?xml version="1.0" encoding="utf-8"?>
<ds:datastoreItem xmlns:ds="http://schemas.openxmlformats.org/officeDocument/2006/customXml" ds:itemID="{B6F88FC7-6D15-43F6-B221-48358B59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11410</Words>
  <Characters>65042</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76300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Jayasinghe, Keeth (Nokia - FI/Espoo)</cp:lastModifiedBy>
  <cp:revision>2</cp:revision>
  <cp:lastPrinted>2016-02-23T10:51:00Z</cp:lastPrinted>
  <dcterms:created xsi:type="dcterms:W3CDTF">2020-11-10T09:58:00Z</dcterms:created>
  <dcterms:modified xsi:type="dcterms:W3CDTF">2020-11-10T09:58:00Z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(3)D8SLykmsi3bjnCPJSCD68zBGRnqhebkdELoXORlNQUJuqtO1Ql6BXuT7lwSLEFgm0RjWgEt0
lQNGiMVwH9NA31niPxVYGLSxH0me1GGPiFEHMmdEMPt+xQ5bSO8JddUCza7BSJtlQ2THD3Q1
0IqGVKruZ1rUZ+X32Kv1gtUWhBQ7C0to7oGMtPYOqiCHv7hOcgfwI8fD/LgHEYzcEAzpuK4f
CiFXMh+iZlRvru/ivF</vt:lpwstr>
  </property>
  <property fmtid="{D5CDD505-2E9C-101B-9397-08002B2CF9AE}" pid="18" name="_2015_ms_pID_7253431">
    <vt:lpwstr>PuC1zzZ+M386sVEC8MhOeXcfJbdC8Rio9RReON7NaQoR/8FncBoQlR
3wTe5vh6BZ4B+C5CWSrBbrMYN/bsiYUkuyIjxzd/67KSXxY2zwOKWVEaYkyhqz7mA05WMuS2
3ymkC0PNDM3lf/vrpcs6QyEM2n8PQYpZUkLHEUETFULE2HbVvd0W6041KlBqEg9W9joAo11G
lPdYO5ylfciZJvE/6expr6LWMMzUkzd0x79B</vt:lpwstr>
  </property>
  <property fmtid="{D5CDD505-2E9C-101B-9397-08002B2CF9AE}" pid="19" name="_2015_ms_pID_7253432">
    <vt:lpwstr>iA==</vt:lpwstr>
  </property>
  <property fmtid="{D5CDD505-2E9C-101B-9397-08002B2CF9AE}" pid="20" name="_NewReviewCycle">
    <vt:lpwstr/>
  </property>
  <property fmtid="{D5CDD505-2E9C-101B-9397-08002B2CF9AE}" pid="21" name="_dlc_DocIdItemGuid">
    <vt:lpwstr>3a8656bd-1c95-41c0-9d54-33d613dbf640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