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6C" w:rsidRPr="00DC6A28" w:rsidRDefault="00E0146C" w:rsidP="00DC6A2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DC6A28" w:rsidRPr="00DC6A28" w:rsidRDefault="00DC6A28" w:rsidP="00DC6A2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DC6A28" w:rsidRPr="00DC6A28" w:rsidRDefault="00DC6A28" w:rsidP="00DC6A2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  <w:b/>
          <w:bCs/>
          <w:u w:val="single"/>
        </w:rPr>
        <w:t>Proposal 1.A</w:t>
      </w:r>
      <w:r w:rsidRPr="00DC6A28">
        <w:rPr>
          <w:rFonts w:ascii="Times New Roman" w:hAnsi="Times New Roman" w:cs="Times New Roman"/>
        </w:rPr>
        <w:t>: On Rel.17 unified TCI framework, support common TCI state ID update and activation to provide common QCL information and/or common UL TX spatial filter(s) across a set of configured CCs:</w:t>
      </w:r>
    </w:p>
    <w:p w:rsidR="00DC6A28" w:rsidRPr="00DC6A28" w:rsidRDefault="00DC6A28" w:rsidP="00DC6A28">
      <w:pPr>
        <w:pStyle w:val="ListParagraph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  <w:lang w:eastAsia="zh-CN"/>
        </w:rPr>
        <w:t>The above applies to intra-band CA</w:t>
      </w:r>
    </w:p>
    <w:p w:rsidR="00DC6A28" w:rsidRPr="00DC6A28" w:rsidRDefault="00DC6A28" w:rsidP="00DC6A28">
      <w:pPr>
        <w:pStyle w:val="ListParagraph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  <w:lang w:eastAsia="zh-CN"/>
        </w:rPr>
        <w:t xml:space="preserve">The above applies to joint DL/UL and separate DL/UL beam indications </w:t>
      </w:r>
    </w:p>
    <w:p w:rsidR="00DC6A28" w:rsidRPr="00DC6A28" w:rsidRDefault="00DC6A28" w:rsidP="00DC6A28">
      <w:pPr>
        <w:pStyle w:val="ListParagraph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lang w:eastAsia="ja-JP"/>
        </w:rPr>
      </w:pPr>
      <w:r w:rsidRPr="00DC6A28">
        <w:rPr>
          <w:rFonts w:ascii="Times New Roman" w:hAnsi="Times New Roman" w:cs="Times New Roman"/>
          <w:lang w:eastAsia="ja-JP"/>
        </w:rPr>
        <w:t>Just as Rel.16, the RS in the TCI state that provides QCL-</w:t>
      </w:r>
      <w:proofErr w:type="spellStart"/>
      <w:r w:rsidRPr="00DC6A28">
        <w:rPr>
          <w:rFonts w:ascii="Times New Roman" w:hAnsi="Times New Roman" w:cs="Times New Roman"/>
          <w:lang w:eastAsia="ja-JP"/>
        </w:rPr>
        <w:t>TypeA</w:t>
      </w:r>
      <w:proofErr w:type="spellEnd"/>
      <w:r w:rsidRPr="00DC6A28">
        <w:rPr>
          <w:rFonts w:ascii="Times New Roman" w:hAnsi="Times New Roman" w:cs="Times New Roman"/>
          <w:lang w:eastAsia="ja-JP"/>
        </w:rPr>
        <w:t xml:space="preserve"> shall be in the same CC as the target RS</w:t>
      </w:r>
    </w:p>
    <w:p w:rsidR="00DC6A28" w:rsidRPr="00DC6A28" w:rsidRDefault="00DC6A28" w:rsidP="00DC6A28">
      <w:pPr>
        <w:pStyle w:val="ListParagraph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lang w:eastAsia="ja-JP"/>
        </w:rPr>
      </w:pPr>
      <w:r w:rsidRPr="00DC6A28">
        <w:rPr>
          <w:rFonts w:ascii="Times New Roman" w:hAnsi="Times New Roman" w:cs="Times New Roman"/>
          <w:lang w:eastAsia="ja-JP"/>
        </w:rPr>
        <w:t>The common TCI state ID implies that the indicated TCI states should be configured with the same RS to provide QCL Type-D indication and the same RS to determine UL TX spatial filter across the set of configured CCs</w:t>
      </w:r>
    </w:p>
    <w:p w:rsidR="00DC6A28" w:rsidRPr="00DC6A28" w:rsidRDefault="00DC6A28" w:rsidP="00DC6A28">
      <w:pPr>
        <w:pStyle w:val="ListParagraph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lang w:eastAsia="en-US"/>
        </w:rPr>
      </w:pPr>
      <w:r w:rsidRPr="00DC6A28">
        <w:rPr>
          <w:rFonts w:ascii="Times New Roman" w:hAnsi="Times New Roman" w:cs="Times New Roman"/>
          <w:lang w:eastAsia="zh-CN"/>
        </w:rPr>
        <w:t xml:space="preserve">FFS: The above also applies to inter-band CA </w:t>
      </w:r>
    </w:p>
    <w:p w:rsidR="00DC6A28" w:rsidRPr="00DC6A28" w:rsidRDefault="00DC6A28" w:rsidP="00DC6A28">
      <w:pPr>
        <w:pStyle w:val="ListParagraph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  <w:lang w:eastAsia="zh-CN"/>
        </w:rPr>
        <w:t>FFS: TCI state pool for CA</w:t>
      </w:r>
    </w:p>
    <w:p w:rsidR="00DC6A28" w:rsidRPr="00DC6A28" w:rsidRDefault="00DC6A28" w:rsidP="00DC6A28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  <w:lang w:eastAsia="zh-CN"/>
        </w:rPr>
        <w:t>Opt-1: sharing a single RRC TCI state pool for the set of configured CCs, e.g., cell-group TCI state pool, or reuse TCI state pool for PDSCH in a source cell;</w:t>
      </w:r>
    </w:p>
    <w:p w:rsidR="00DC6A28" w:rsidRPr="00DC6A28" w:rsidRDefault="00DC6A28" w:rsidP="00DC6A28">
      <w:pPr>
        <w:pStyle w:val="ListParagraph"/>
        <w:numPr>
          <w:ilvl w:val="2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</w:rPr>
        <w:t>FFS: Whether it is possible that a single TCI state in the pool includes all source RSs from different CCs</w:t>
      </w:r>
    </w:p>
    <w:p w:rsidR="00DC6A28" w:rsidRPr="00DC6A28" w:rsidRDefault="00DC6A28" w:rsidP="00DC6A28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  <w:lang w:eastAsia="zh-CN"/>
        </w:rPr>
        <w:t>Opt-2: configuring RRC TCI state pool per individual CC</w:t>
      </w:r>
    </w:p>
    <w:p w:rsidR="00DC6A28" w:rsidRPr="00DC6A28" w:rsidRDefault="00DC6A28" w:rsidP="00DC6A28">
      <w:pPr>
        <w:pStyle w:val="ListParagraph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  <w:lang w:eastAsia="x-none"/>
        </w:rPr>
        <w:t>FFS: Whether the R17 common beam update across multiple CCs can also apply to beam indication for single channel (e.g. PDSCH only, single CORESET) or a subset of channels</w:t>
      </w:r>
    </w:p>
    <w:p w:rsidR="00DC6A28" w:rsidRDefault="00DC6A28" w:rsidP="00DC6A2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DC6A28" w:rsidRPr="00DC6A28" w:rsidRDefault="00DC6A28" w:rsidP="00DC6A2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DC6A28" w:rsidRPr="00DC6A28" w:rsidRDefault="00DC6A28" w:rsidP="00DC6A2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  <w:b/>
          <w:bCs/>
          <w:u w:val="single"/>
        </w:rPr>
        <w:t>Proposal 1.B</w:t>
      </w:r>
      <w:r w:rsidRPr="00DC6A28">
        <w:rPr>
          <w:rFonts w:ascii="Times New Roman" w:hAnsi="Times New Roman" w:cs="Times New Roman"/>
        </w:rPr>
        <w:t>: On Rel.17 unified TCI framework:</w:t>
      </w:r>
    </w:p>
    <w:p w:rsidR="00DC6A28" w:rsidRPr="00DC6A28" w:rsidRDefault="00DC6A28" w:rsidP="00DC6A28">
      <w:pPr>
        <w:pStyle w:val="ListParagraph"/>
        <w:numPr>
          <w:ilvl w:val="0"/>
          <w:numId w:val="2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</w:rPr>
        <w:t>A joint DL/UL TCI state pool is used for joint DL/UL TCI state update (beam indication).</w:t>
      </w:r>
    </w:p>
    <w:p w:rsidR="00DC6A28" w:rsidRPr="00DC6A28" w:rsidRDefault="00DC6A28" w:rsidP="00DC6A28">
      <w:pPr>
        <w:pStyle w:val="ListParagraph"/>
        <w:numPr>
          <w:ilvl w:val="0"/>
          <w:numId w:val="2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</w:rPr>
        <w:t>FFS: Whether the same joint DL/UL TCI state pool or two separate DL/UL TCI state pools will be used for separate DL/UL TCI state update (beam indication)</w:t>
      </w:r>
    </w:p>
    <w:p w:rsidR="00DC6A28" w:rsidRPr="00DC6A28" w:rsidRDefault="00DC6A28" w:rsidP="00DC6A28">
      <w:pPr>
        <w:pStyle w:val="ListParagraph"/>
        <w:numPr>
          <w:ilvl w:val="0"/>
          <w:numId w:val="2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</w:rPr>
        <w:t>Note: Here, TCI state pool refers to a pool configured via higher-layer (RRC) signaling</w:t>
      </w:r>
    </w:p>
    <w:p w:rsidR="00DC6A28" w:rsidRDefault="00DC6A28" w:rsidP="00DC6A28">
      <w:pPr>
        <w:snapToGrid w:val="0"/>
        <w:spacing w:after="0" w:line="240" w:lineRule="auto"/>
        <w:rPr>
          <w:rFonts w:ascii="Times New Roman" w:hAnsi="Times New Roman" w:cs="Times New Roman"/>
          <w:color w:val="1F497D"/>
        </w:rPr>
      </w:pPr>
    </w:p>
    <w:p w:rsidR="00DC6A28" w:rsidRPr="00DC6A28" w:rsidRDefault="00DC6A28" w:rsidP="00DC6A28">
      <w:pPr>
        <w:snapToGrid w:val="0"/>
        <w:spacing w:after="0" w:line="240" w:lineRule="auto"/>
        <w:rPr>
          <w:rFonts w:ascii="Times New Roman" w:hAnsi="Times New Roman" w:cs="Times New Roman"/>
          <w:color w:val="1F497D"/>
        </w:rPr>
      </w:pPr>
    </w:p>
    <w:p w:rsidR="00DC6A28" w:rsidRPr="00DC6A28" w:rsidRDefault="00DC6A28" w:rsidP="00DC6A2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  <w:b/>
          <w:bCs/>
          <w:u w:val="single"/>
        </w:rPr>
        <w:t>Proposal 2.A</w:t>
      </w:r>
      <w:r w:rsidRPr="00DC6A28">
        <w:rPr>
          <w:rFonts w:ascii="Times New Roman" w:hAnsi="Times New Roman" w:cs="Times New Roman"/>
        </w:rPr>
        <w:t>: On Rel.17 enhancements to enable L1/L2-centric inter-cell mobility:</w:t>
      </w:r>
    </w:p>
    <w:p w:rsidR="00DC6A28" w:rsidRPr="00DC6A28" w:rsidRDefault="00DC6A28" w:rsidP="00DC6A28">
      <w:pPr>
        <w:pStyle w:val="ListParagraph"/>
        <w:numPr>
          <w:ilvl w:val="0"/>
          <w:numId w:val="3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</w:rPr>
        <w:t>...</w:t>
      </w:r>
    </w:p>
    <w:p w:rsidR="00DC6A28" w:rsidRPr="00DC6A28" w:rsidRDefault="00DC6A28" w:rsidP="00DC6A28">
      <w:pPr>
        <w:pStyle w:val="ListParagraph"/>
        <w:numPr>
          <w:ilvl w:val="0"/>
          <w:numId w:val="3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</w:rPr>
        <w:t xml:space="preserve">FFS: The following enhancement scope is assumed by RAN1: </w:t>
      </w:r>
    </w:p>
    <w:p w:rsidR="00DC6A28" w:rsidRPr="00DC6A28" w:rsidRDefault="00DC6A28" w:rsidP="00DC6A28">
      <w:pPr>
        <w:pStyle w:val="ListParagraph"/>
        <w:numPr>
          <w:ilvl w:val="1"/>
          <w:numId w:val="3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</w:rPr>
        <w:t>Whether RRC reconfiguration signaling is needed or not when a TCI associated with non-serving cell RS is indicated</w:t>
      </w:r>
    </w:p>
    <w:p w:rsidR="00DC6A28" w:rsidRPr="00DC6A28" w:rsidRDefault="00DC6A28" w:rsidP="00DC6A28">
      <w:pPr>
        <w:pStyle w:val="ListParagraph"/>
        <w:numPr>
          <w:ilvl w:val="2"/>
          <w:numId w:val="3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</w:rPr>
        <w:t xml:space="preserve">A non-serving cell RS is an RS that is or has an SSB of a non-serving cell as direct or indirect QCL source </w:t>
      </w:r>
    </w:p>
    <w:p w:rsidR="00DC6A28" w:rsidRPr="00DC6A28" w:rsidRDefault="00DC6A28" w:rsidP="00DC6A28">
      <w:pPr>
        <w:pStyle w:val="ListParagraph"/>
        <w:numPr>
          <w:ilvl w:val="2"/>
          <w:numId w:val="3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trike/>
        </w:rPr>
      </w:pPr>
      <w:r w:rsidRPr="00DC6A28">
        <w:rPr>
          <w:rFonts w:ascii="Times New Roman" w:hAnsi="Times New Roman" w:cs="Times New Roman"/>
        </w:rPr>
        <w:t xml:space="preserve">This implies no C-RNTI update when UE receives DL channel RS associated to non-serving cell RS as QCL source. </w:t>
      </w:r>
    </w:p>
    <w:p w:rsidR="00DC6A28" w:rsidRPr="00DC6A28" w:rsidRDefault="00DC6A28" w:rsidP="00DC6A28">
      <w:pPr>
        <w:pStyle w:val="ListParagraph"/>
        <w:numPr>
          <w:ilvl w:val="1"/>
          <w:numId w:val="3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trike/>
        </w:rPr>
      </w:pPr>
      <w:r w:rsidRPr="00DC6A28">
        <w:rPr>
          <w:rFonts w:ascii="Times New Roman" w:hAnsi="Times New Roman" w:cs="Times New Roman"/>
          <w:lang w:eastAsia="zh-CN"/>
        </w:rPr>
        <w:t>Whether some RRC parameters need to be updated without additional RRC signaling, e.g. some RRC parameters are pre-configured, which are associated with TCI states with neighbor cell RS as QCL source</w:t>
      </w:r>
    </w:p>
    <w:p w:rsidR="00DC6A28" w:rsidRPr="00DC6A28" w:rsidRDefault="00DC6A28" w:rsidP="00DC6A28">
      <w:pPr>
        <w:pStyle w:val="ListParagraph"/>
        <w:numPr>
          <w:ilvl w:val="1"/>
          <w:numId w:val="3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</w:rPr>
        <w:t>The above assumption to be verified by RAN2</w:t>
      </w:r>
    </w:p>
    <w:p w:rsidR="00DC6A28" w:rsidRPr="00DC6A28" w:rsidRDefault="00DC6A28" w:rsidP="00DC6A28">
      <w:pPr>
        <w:pStyle w:val="ListParagraph"/>
        <w:numPr>
          <w:ilvl w:val="0"/>
          <w:numId w:val="3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</w:rPr>
        <w:t>...</w:t>
      </w:r>
    </w:p>
    <w:p w:rsidR="00DC6A28" w:rsidRDefault="00DC6A28" w:rsidP="00DC6A28">
      <w:pPr>
        <w:snapToGrid w:val="0"/>
        <w:spacing w:after="0" w:line="240" w:lineRule="auto"/>
        <w:rPr>
          <w:rFonts w:ascii="Times New Roman" w:hAnsi="Times New Roman" w:cs="Times New Roman"/>
          <w:color w:val="1F497D"/>
        </w:rPr>
      </w:pPr>
    </w:p>
    <w:p w:rsidR="00DC6A28" w:rsidRPr="00DC6A28" w:rsidRDefault="00DC6A28" w:rsidP="00DC6A28">
      <w:pPr>
        <w:snapToGrid w:val="0"/>
        <w:spacing w:after="0" w:line="240" w:lineRule="auto"/>
        <w:rPr>
          <w:rFonts w:ascii="Times New Roman" w:hAnsi="Times New Roman" w:cs="Times New Roman"/>
          <w:color w:val="1F497D"/>
        </w:rPr>
      </w:pPr>
    </w:p>
    <w:p w:rsidR="00DC6A28" w:rsidRPr="00DC6A28" w:rsidRDefault="00DC6A28" w:rsidP="00DC6A2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  <w:b/>
          <w:bCs/>
          <w:u w:val="single"/>
        </w:rPr>
        <w:t>Proposal 5.A</w:t>
      </w:r>
      <w:r w:rsidRPr="00DC6A28">
        <w:rPr>
          <w:rFonts w:ascii="Times New Roman" w:hAnsi="Times New Roman" w:cs="Times New Roman"/>
        </w:rPr>
        <w:t>:  On UE reporting for MPE mitigation for Rel.17, investigate and, if needed, specify the following:</w:t>
      </w:r>
    </w:p>
    <w:p w:rsidR="00DC6A28" w:rsidRPr="00DC6A28" w:rsidRDefault="00DC6A28" w:rsidP="00DC6A28">
      <w:pPr>
        <w:pStyle w:val="ListParagraph"/>
        <w:numPr>
          <w:ilvl w:val="0"/>
          <w:numId w:val="4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</w:rPr>
        <w:t>...</w:t>
      </w:r>
    </w:p>
    <w:p w:rsidR="00DC6A28" w:rsidRPr="00DC6A28" w:rsidRDefault="00DC6A28" w:rsidP="00DC6A28">
      <w:pPr>
        <w:pStyle w:val="ListParagraph"/>
        <w:numPr>
          <w:ilvl w:val="0"/>
          <w:numId w:val="4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</w:rPr>
        <w:t>...</w:t>
      </w:r>
    </w:p>
    <w:p w:rsidR="00DC6A28" w:rsidRPr="00DC6A28" w:rsidRDefault="00DC6A28" w:rsidP="00DC6A28">
      <w:pPr>
        <w:pStyle w:val="ListParagraph"/>
        <w:numPr>
          <w:ilvl w:val="0"/>
          <w:numId w:val="4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</w:rPr>
        <w:t xml:space="preserve">Any additional reporting content: down-select from the following in RAN1#104-e </w:t>
      </w:r>
    </w:p>
    <w:p w:rsidR="00DC6A28" w:rsidRPr="00DC6A28" w:rsidRDefault="00DC6A28" w:rsidP="00DC6A28">
      <w:pPr>
        <w:pStyle w:val="ListParagraph"/>
        <w:numPr>
          <w:ilvl w:val="1"/>
          <w:numId w:val="4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lang w:eastAsia="en-US"/>
        </w:rPr>
      </w:pPr>
      <w:r w:rsidRPr="00DC6A28">
        <w:rPr>
          <w:rFonts w:ascii="Times New Roman" w:hAnsi="Times New Roman" w:cs="Times New Roman"/>
        </w:rPr>
        <w:lastRenderedPageBreak/>
        <w:t>Alt0: no additional reporting content</w:t>
      </w:r>
    </w:p>
    <w:p w:rsidR="00DC6A28" w:rsidRPr="00DC6A28" w:rsidRDefault="00DC6A28" w:rsidP="00DC6A28">
      <w:pPr>
        <w:pStyle w:val="ListParagraph"/>
        <w:numPr>
          <w:ilvl w:val="1"/>
          <w:numId w:val="4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</w:rPr>
        <w:t xml:space="preserve">Alt1: Additional reporting content is included (for example P-MPR + L1-RSRP, virtual PHR + L1-RSRP, L1-RSRP/SINR with and without MPE effect, virtual PHR, P-MPR or virtual PHR + CRI/SSBRI, estimated max UL RSRP) </w:t>
      </w:r>
    </w:p>
    <w:p w:rsidR="00DC6A28" w:rsidRPr="00DC6A28" w:rsidRDefault="00DC6A28" w:rsidP="00DC6A28">
      <w:pPr>
        <w:pStyle w:val="ListParagraph"/>
        <w:numPr>
          <w:ilvl w:val="2"/>
          <w:numId w:val="4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</w:rPr>
        <w:t>Note: Other options are not precluded</w:t>
      </w:r>
    </w:p>
    <w:p w:rsidR="00DC6A28" w:rsidRPr="00DC6A28" w:rsidRDefault="00DC6A28" w:rsidP="00DC6A28">
      <w:pPr>
        <w:pStyle w:val="ListParagraph"/>
        <w:numPr>
          <w:ilvl w:val="2"/>
          <w:numId w:val="4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</w:rPr>
        <w:t>FFS: For each option, whether the report is triggered by UE or configured by NW</w:t>
      </w:r>
    </w:p>
    <w:p w:rsidR="00DC6A28" w:rsidRPr="00DC6A28" w:rsidRDefault="00DC6A28" w:rsidP="00DC6A28">
      <w:pPr>
        <w:snapToGrid w:val="0"/>
        <w:spacing w:after="0" w:line="240" w:lineRule="auto"/>
        <w:rPr>
          <w:rFonts w:ascii="Times New Roman" w:hAnsi="Times New Roman" w:cs="Times New Roman"/>
          <w:color w:val="1F497D"/>
        </w:rPr>
      </w:pPr>
    </w:p>
    <w:p w:rsidR="00DC6A28" w:rsidRPr="00DC6A28" w:rsidRDefault="00DC6A28" w:rsidP="00DC6A2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C6A28">
        <w:rPr>
          <w:rFonts w:ascii="Times New Roman" w:hAnsi="Times New Roman" w:cs="Times New Roman"/>
          <w:b/>
          <w:bCs/>
          <w:u w:val="single"/>
        </w:rPr>
        <w:t>Proposal 6.A</w:t>
      </w:r>
      <w:r w:rsidRPr="00DC6A28">
        <w:rPr>
          <w:rFonts w:ascii="Times New Roman" w:hAnsi="Times New Roman" w:cs="Times New Roman"/>
        </w:rPr>
        <w:t xml:space="preserve">: Investigate and, if needed, specify </w:t>
      </w:r>
      <w:r w:rsidRPr="00DC6A28">
        <w:rPr>
          <w:rFonts w:ascii="Times New Roman" w:hAnsi="Times New Roman" w:cs="Times New Roman"/>
          <w:i/>
          <w:iCs/>
        </w:rPr>
        <w:t>at least</w:t>
      </w:r>
      <w:r w:rsidRPr="00DC6A28">
        <w:rPr>
          <w:rFonts w:ascii="Times New Roman" w:hAnsi="Times New Roman" w:cs="Times New Roman"/>
        </w:rPr>
        <w:t xml:space="preserve"> the following enhancements for beam refinement/tracking in Rel.17 (with lower priority than the other five issues and later starting point during the WI phase):</w:t>
      </w:r>
    </w:p>
    <w:p w:rsidR="00DC6A28" w:rsidRPr="00DC6A28" w:rsidRDefault="00DC6A28" w:rsidP="00DC6A28">
      <w:pPr>
        <w:pStyle w:val="ListParagraph"/>
        <w:numPr>
          <w:ilvl w:val="0"/>
          <w:numId w:val="5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</w:rPr>
        <w:t xml:space="preserve">Group 1: Beam measurement and reporting enhancement via RACH (e.g. RO for measurement and MSG3 for reporting) </w:t>
      </w:r>
    </w:p>
    <w:p w:rsidR="00DC6A28" w:rsidRPr="00DC6A28" w:rsidRDefault="00DC6A28" w:rsidP="00DC6A28">
      <w:pPr>
        <w:pStyle w:val="ListParagraph"/>
        <w:numPr>
          <w:ilvl w:val="0"/>
          <w:numId w:val="5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</w:rPr>
        <w:t xml:space="preserve">Group 2: Improving efficiency (latency and/or overhead) of beam refinement assuming the unified TCI framework (issue 1): </w:t>
      </w:r>
    </w:p>
    <w:p w:rsidR="00DC6A28" w:rsidRPr="00DC6A28" w:rsidRDefault="00DC6A28" w:rsidP="00DC6A28">
      <w:pPr>
        <w:pStyle w:val="ListParagraph"/>
        <w:numPr>
          <w:ilvl w:val="1"/>
          <w:numId w:val="5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</w:rPr>
        <w:t xml:space="preserve">Enabling joint DL TX and RX beam refinement/tracking (P2+P3)  </w:t>
      </w:r>
    </w:p>
    <w:p w:rsidR="00DC6A28" w:rsidRPr="00DC6A28" w:rsidRDefault="00DC6A28" w:rsidP="00DC6A28">
      <w:pPr>
        <w:pStyle w:val="ListParagraph"/>
        <w:numPr>
          <w:ilvl w:val="1"/>
          <w:numId w:val="5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</w:rPr>
        <w:t>Additional UE report to aid P1/P2/P3 related measurement/report configuration (triggering frequency or periodicity)</w:t>
      </w:r>
    </w:p>
    <w:p w:rsidR="00DC6A28" w:rsidRPr="00DC6A28" w:rsidRDefault="00DC6A28" w:rsidP="00DC6A28">
      <w:pPr>
        <w:pStyle w:val="ListParagraph"/>
        <w:numPr>
          <w:ilvl w:val="0"/>
          <w:numId w:val="5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</w:rPr>
        <w:t xml:space="preserve">Group 3: Beam management with reduced DL signaling assuming the unified TCI framework (issue 1): </w:t>
      </w:r>
    </w:p>
    <w:p w:rsidR="00DC6A28" w:rsidRPr="00DC6A28" w:rsidRDefault="00DC6A28" w:rsidP="00DC6A28">
      <w:pPr>
        <w:pStyle w:val="ListParagraph"/>
        <w:numPr>
          <w:ilvl w:val="1"/>
          <w:numId w:val="5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</w:rPr>
        <w:t>Dynamic beam update based on beam report (without beam indication)</w:t>
      </w:r>
    </w:p>
    <w:p w:rsidR="00DC6A28" w:rsidRPr="00DC6A28" w:rsidRDefault="00DC6A28" w:rsidP="00DC6A28">
      <w:pPr>
        <w:pStyle w:val="ListParagraph"/>
        <w:numPr>
          <w:ilvl w:val="1"/>
          <w:numId w:val="5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</w:rPr>
        <w:t>Dynamic beam measurement and report triggered by beam indication (without CSI-RS/CSI triggering)</w:t>
      </w:r>
    </w:p>
    <w:p w:rsidR="00DC6A28" w:rsidRPr="00DC6A28" w:rsidRDefault="00DC6A28" w:rsidP="00DC6A28">
      <w:pPr>
        <w:pStyle w:val="ListParagraph"/>
        <w:numPr>
          <w:ilvl w:val="1"/>
          <w:numId w:val="5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</w:rPr>
        <w:t>Configuring/indicating to UE multiple SSBs for beam tracking</w:t>
      </w:r>
    </w:p>
    <w:p w:rsidR="00DC6A28" w:rsidRPr="00DC6A28" w:rsidRDefault="00DC6A28" w:rsidP="00DC6A28">
      <w:pPr>
        <w:pStyle w:val="ListParagraph"/>
        <w:numPr>
          <w:ilvl w:val="1"/>
          <w:numId w:val="5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</w:rPr>
        <w:t>Semi-static/pre-planned (RRC based) beam transition (for, e.g. isolated HST deployment)</w:t>
      </w:r>
    </w:p>
    <w:p w:rsidR="00DC6A28" w:rsidRPr="00DC6A28" w:rsidRDefault="00DC6A28" w:rsidP="00DC6A28">
      <w:pPr>
        <w:pStyle w:val="ListParagraph"/>
        <w:numPr>
          <w:ilvl w:val="1"/>
          <w:numId w:val="5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</w:rPr>
        <w:t>Reducing activation delay of TCI states (e.g. via storing QCL properties of a subset of source RSs for a time period)</w:t>
      </w:r>
    </w:p>
    <w:p w:rsidR="00DC6A28" w:rsidRPr="00DC6A28" w:rsidRDefault="00DC6A28" w:rsidP="00DC6A2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DC6A28">
        <w:rPr>
          <w:rFonts w:ascii="Times New Roman" w:hAnsi="Times New Roman" w:cs="Times New Roman"/>
        </w:rPr>
        <w:t xml:space="preserve">Reduce the scope of investigation (including down selecting or combining) within and/or across the three groups in RAN1#104-e. Considering the dependence on issue 1 and 3, the work on issue 6 should be preceded by sufficient maturity of issue 1 and 3. </w:t>
      </w:r>
    </w:p>
    <w:p w:rsidR="00DC6A28" w:rsidRPr="00DC6A28" w:rsidRDefault="00DC6A28" w:rsidP="00DC6A28">
      <w:pPr>
        <w:snapToGrid w:val="0"/>
        <w:spacing w:after="0" w:line="240" w:lineRule="auto"/>
        <w:rPr>
          <w:rFonts w:ascii="Times New Roman" w:hAnsi="Times New Roman" w:cs="Times New Roman"/>
        </w:rPr>
      </w:pPr>
    </w:p>
    <w:sectPr w:rsidR="00DC6A28" w:rsidRPr="00DC6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438B"/>
    <w:multiLevelType w:val="hybridMultilevel"/>
    <w:tmpl w:val="F2E2920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C841F1E"/>
    <w:multiLevelType w:val="hybridMultilevel"/>
    <w:tmpl w:val="D850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75B28"/>
    <w:multiLevelType w:val="hybridMultilevel"/>
    <w:tmpl w:val="45D2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B0806"/>
    <w:multiLevelType w:val="hybridMultilevel"/>
    <w:tmpl w:val="F75E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B627D"/>
    <w:multiLevelType w:val="hybridMultilevel"/>
    <w:tmpl w:val="6832D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52"/>
    <w:rsid w:val="00AC5F52"/>
    <w:rsid w:val="00DC6A28"/>
    <w:rsid w:val="00E0146C"/>
    <w:rsid w:val="00E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7EB71"/>
  <w15:chartTrackingRefBased/>
  <w15:docId w15:val="{E9E3E3B8-3B6F-46EA-9328-65F224BF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locked/>
    <w:rsid w:val="00DC6A28"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목록 단락,列出段落,清單段落"/>
    <w:basedOn w:val="Normal"/>
    <w:link w:val="ListParagraphChar"/>
    <w:uiPriority w:val="34"/>
    <w:qFormat/>
    <w:rsid w:val="00DC6A28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3651</Characters>
  <Application>Microsoft Office Word</Application>
  <DocSecurity>0</DocSecurity>
  <Lines>30</Lines>
  <Paragraphs>8</Paragraphs>
  <ScaleCrop>false</ScaleCrop>
  <Company>Samsung Research America Inc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2</cp:revision>
  <dcterms:created xsi:type="dcterms:W3CDTF">2020-11-10T06:00:00Z</dcterms:created>
  <dcterms:modified xsi:type="dcterms:W3CDTF">2020-11-10T06:01:00Z</dcterms:modified>
</cp:coreProperties>
</file>