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02944C92"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40DF" w:rsidRPr="00EC40DF">
            <w:rPr>
              <w:rFonts w:ascii="Arial" w:hAnsi="Arial" w:cs="Arial"/>
              <w:b/>
              <w:sz w:val="24"/>
            </w:rPr>
            <w:t>[103-e-NR-Mob-Enh-0</w:t>
          </w:r>
          <w:r w:rsidR="00EC40DF">
            <w:rPr>
              <w:rFonts w:ascii="Arial" w:hAnsi="Arial" w:cs="Arial"/>
              <w:b/>
              <w:sz w:val="24"/>
            </w:rPr>
            <w:t>1</w:t>
          </w:r>
          <w:r w:rsidR="00EC40DF" w:rsidRPr="00EC40DF">
            <w:rPr>
              <w:rFonts w:ascii="Arial" w:hAnsi="Arial" w:cs="Arial"/>
              <w:b/>
              <w:sz w:val="24"/>
            </w:rPr>
            <w:t>] Discussions Summary #</w:t>
          </w:r>
          <w:r w:rsidR="00EC40DF">
            <w:rPr>
              <w:rFonts w:ascii="Arial" w:hAnsi="Arial" w:cs="Arial"/>
              <w:b/>
              <w:sz w:val="24"/>
            </w:rPr>
            <w:t>1</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62EE9B1C" w:rsidR="00C039E1" w:rsidRDefault="00C039E1" w:rsidP="00C039E1">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33A7C4E8" w14:textId="070A4FCF" w:rsidR="00C039E1" w:rsidRPr="00C039E1" w:rsidRDefault="00C039E1" w:rsidP="00C039E1">
      <w:pPr>
        <w:pStyle w:val="ListParagraph"/>
        <w:numPr>
          <w:ilvl w:val="0"/>
          <w:numId w:val="10"/>
        </w:numPr>
        <w:spacing w:line="256" w:lineRule="auto"/>
        <w:rPr>
          <w:lang w:val="en-GB" w:eastAsia="zh-CN"/>
        </w:rPr>
      </w:pPr>
      <w:r w:rsidRPr="00C039E1">
        <w:rPr>
          <w:lang w:val="en-GB" w:eastAsia="zh-CN"/>
        </w:rPr>
        <w:t>[103-e-NR-Mob-Enh-01] Email discussion/approval on the following until 10/29 with potential CRs by 11/4 – Daewon (Intel)</w:t>
      </w:r>
    </w:p>
    <w:p w14:paraId="4639B50C"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 xml:space="preserve">Issue #2 in R1-2008871, clarification on intra-frequency DAPS definition </w:t>
      </w:r>
    </w:p>
    <w:p w14:paraId="2EE3731D"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Issue #3 in R1-2008871, issue on processing capability correction for Tx cancellation</w:t>
      </w:r>
    </w:p>
    <w:p w14:paraId="6918A48B" w14:textId="0559FF89" w:rsidR="00E3111B" w:rsidRDefault="00E3111B" w:rsidP="00C039E1">
      <w:pPr>
        <w:pStyle w:val="ListParagraph"/>
        <w:spacing w:line="256" w:lineRule="auto"/>
        <w:ind w:left="1296"/>
        <w:rPr>
          <w:lang w:eastAsia="zh-CN"/>
        </w:rPr>
      </w:pPr>
    </w:p>
    <w:p w14:paraId="68ACE7D5" w14:textId="77777777" w:rsidR="00C039E1" w:rsidRPr="00C039E1" w:rsidRDefault="00C039E1" w:rsidP="00C039E1">
      <w:pPr>
        <w:pStyle w:val="ListParagraph"/>
        <w:spacing w:line="256" w:lineRule="auto"/>
        <w:ind w:left="1296"/>
        <w:rPr>
          <w:lang w:eastAsia="zh-CN"/>
        </w:rPr>
      </w:pPr>
    </w:p>
    <w:p w14:paraId="716D4541" w14:textId="4542670F" w:rsidR="00E3111B" w:rsidRDefault="00E229FC">
      <w:pPr>
        <w:pStyle w:val="Heading1"/>
        <w:numPr>
          <w:ilvl w:val="0"/>
          <w:numId w:val="5"/>
        </w:numPr>
        <w:ind w:left="360"/>
        <w:rPr>
          <w:rFonts w:cs="Arial"/>
          <w:sz w:val="32"/>
          <w:szCs w:val="32"/>
          <w:lang w:val="en-US"/>
        </w:rPr>
      </w:pPr>
      <w:r>
        <w:rPr>
          <w:rFonts w:cs="Arial"/>
          <w:sz w:val="32"/>
          <w:szCs w:val="32"/>
        </w:rPr>
        <w:t xml:space="preserve">Recap </w:t>
      </w:r>
      <w:r w:rsidR="00752459">
        <w:rPr>
          <w:rFonts w:cs="Arial"/>
          <w:sz w:val="32"/>
          <w:szCs w:val="32"/>
        </w:rPr>
        <w:t xml:space="preserve">of </w:t>
      </w:r>
      <w:r w:rsidR="00A02986">
        <w:rPr>
          <w:rFonts w:cs="Arial"/>
          <w:sz w:val="32"/>
          <w:szCs w:val="32"/>
        </w:rPr>
        <w:t>Issue</w:t>
      </w:r>
      <w:r w:rsidR="00752459">
        <w:rPr>
          <w:rFonts w:cs="Arial"/>
          <w:sz w:val="32"/>
          <w:szCs w:val="32"/>
        </w:rPr>
        <w:t>s from R1-2008871</w:t>
      </w:r>
    </w:p>
    <w:p w14:paraId="07E8409F" w14:textId="77777777" w:rsidR="00E3111B" w:rsidRDefault="00E3111B">
      <w:pPr>
        <w:pStyle w:val="BodyText"/>
        <w:spacing w:after="0"/>
        <w:rPr>
          <w:rFonts w:ascii="Times New Roman" w:hAnsi="Times New Roman"/>
          <w:sz w:val="22"/>
          <w:szCs w:val="22"/>
          <w:lang w:eastAsia="zh-CN"/>
        </w:rPr>
      </w:pPr>
    </w:p>
    <w:p w14:paraId="7403B7E0" w14:textId="77777777" w:rsidR="00E3111B" w:rsidRDefault="00A02986">
      <w:pPr>
        <w:pStyle w:val="Heading2"/>
        <w:rPr>
          <w:lang w:val="en-US"/>
        </w:rPr>
      </w:pPr>
      <w:r>
        <w:t>Issue #2) Intra-frequency DAPS definition clarification [2][4]</w:t>
      </w:r>
    </w:p>
    <w:p w14:paraId="4DB1FB5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40043942" w14:textId="77777777" w:rsidR="00E3111B" w:rsidRDefault="00E3111B">
      <w:pPr>
        <w:pStyle w:val="BodyText"/>
        <w:spacing w:after="0"/>
        <w:rPr>
          <w:rFonts w:ascii="Times New Roman" w:hAnsi="Times New Roman"/>
          <w:sz w:val="22"/>
          <w:szCs w:val="22"/>
          <w:lang w:eastAsia="zh-CN"/>
        </w:rPr>
      </w:pPr>
    </w:p>
    <w:p w14:paraId="7D156E17" w14:textId="36EC54B0" w:rsidR="00E3111B" w:rsidRDefault="00A02986">
      <w:pPr>
        <w:pStyle w:val="ListParagraph"/>
        <w:numPr>
          <w:ilvl w:val="0"/>
          <w:numId w:val="6"/>
        </w:numPr>
        <w:rPr>
          <w:lang w:eastAsia="zh-CN"/>
        </w:rPr>
      </w:pPr>
      <w:r>
        <w:rPr>
          <w:lang w:eastAsia="zh-CN"/>
        </w:rPr>
        <w:t>TP from [</w:t>
      </w:r>
      <w:r>
        <w:rPr>
          <w:rFonts w:hint="eastAsia"/>
          <w:lang w:eastAsia="zh-CN"/>
        </w:rPr>
        <w:t>2</w:t>
      </w:r>
      <w:r>
        <w:rPr>
          <w:lang w:eastAsia="zh-CN"/>
        </w:rPr>
        <w:t>]</w:t>
      </w:r>
    </w:p>
    <w:p w14:paraId="3A2D75BF" w14:textId="46936F36" w:rsidR="00E3111B" w:rsidRDefault="009E10A2" w:rsidP="00F0238F">
      <w:pPr>
        <w:pStyle w:val="Heading4"/>
        <w:rPr>
          <w:lang w:eastAsia="zh-CN"/>
        </w:rPr>
      </w:pPr>
      <w:r>
        <w:rPr>
          <w:lang w:eastAsia="zh-CN"/>
        </w:rPr>
        <w:t>TP #</w:t>
      </w:r>
      <w:r w:rsidR="00D054DC">
        <w:rPr>
          <w:lang w:eastAsia="zh-CN"/>
        </w:rPr>
        <w:t>2-</w:t>
      </w:r>
      <w:r>
        <w:rPr>
          <w:lang w:eastAsia="zh-CN"/>
        </w:rPr>
        <w:t>1</w:t>
      </w:r>
    </w:p>
    <w:tbl>
      <w:tblPr>
        <w:tblStyle w:val="TableGrid"/>
        <w:tblW w:w="0" w:type="auto"/>
        <w:tblLook w:val="04A0" w:firstRow="1" w:lastRow="0" w:firstColumn="1" w:lastColumn="0" w:noHBand="0" w:noVBand="1"/>
      </w:tblPr>
      <w:tblGrid>
        <w:gridCol w:w="9962"/>
      </w:tblGrid>
      <w:tr w:rsidR="00E3111B" w14:paraId="37BE5555" w14:textId="77777777">
        <w:tc>
          <w:tcPr>
            <w:tcW w:w="9962" w:type="dxa"/>
          </w:tcPr>
          <w:p w14:paraId="7D0AF0EE" w14:textId="77777777" w:rsidR="00E3111B" w:rsidRDefault="00A02986">
            <w:pPr>
              <w:pStyle w:val="Heading1"/>
              <w:spacing w:line="280" w:lineRule="atLeast"/>
              <w:outlineLvl w:val="0"/>
            </w:pPr>
            <w:bookmarkStart w:id="0" w:name="_Toc52208391"/>
            <w:r>
              <w:t>15</w:t>
            </w:r>
            <w:r>
              <w:tab/>
            </w:r>
            <w:r>
              <w:rPr>
                <w:lang w:eastAsia="zh-CN"/>
              </w:rPr>
              <w:t>Dual active protocol stack based handover</w:t>
            </w:r>
            <w:bookmarkEnd w:id="0"/>
          </w:p>
          <w:p w14:paraId="27C9E4C8" w14:textId="77777777" w:rsidR="00E3111B" w:rsidRDefault="00A02986">
            <w:pPr>
              <w:spacing w:line="280" w:lineRule="atLeast"/>
              <w:rPr>
                <w:color w:val="FF0000"/>
              </w:rPr>
            </w:pPr>
            <w:r>
              <w:rPr>
                <w:color w:val="FF0000"/>
              </w:rPr>
              <w:t>&lt; Unchanged parts are omitted &gt;</w:t>
            </w:r>
          </w:p>
          <w:p w14:paraId="075A8C20" w14:textId="77777777" w:rsidR="00E3111B" w:rsidRDefault="00A02986">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1BDC7014" w14:textId="77777777" w:rsidR="00E3111B" w:rsidRDefault="00E3111B">
      <w:pPr>
        <w:pStyle w:val="BodyText"/>
        <w:spacing w:after="0"/>
        <w:rPr>
          <w:rFonts w:ascii="Times New Roman" w:hAnsi="Times New Roman"/>
          <w:sz w:val="22"/>
          <w:szCs w:val="22"/>
          <w:lang w:eastAsia="zh-CN"/>
        </w:rPr>
      </w:pPr>
    </w:p>
    <w:p w14:paraId="72C46CB4" w14:textId="73CBDE5E" w:rsidR="00E3111B" w:rsidRDefault="00A02986">
      <w:pPr>
        <w:pStyle w:val="ListParagraph"/>
        <w:numPr>
          <w:ilvl w:val="0"/>
          <w:numId w:val="6"/>
        </w:numPr>
        <w:rPr>
          <w:lang w:eastAsia="zh-CN"/>
        </w:rPr>
      </w:pPr>
      <w:r>
        <w:rPr>
          <w:lang w:eastAsia="zh-CN"/>
        </w:rPr>
        <w:t>TP from [4]</w:t>
      </w:r>
    </w:p>
    <w:p w14:paraId="17B768DE" w14:textId="236E3492" w:rsidR="00D054DC" w:rsidRDefault="00D054DC" w:rsidP="00F0238F">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E3111B" w14:paraId="1A8DC2B7" w14:textId="77777777">
        <w:tc>
          <w:tcPr>
            <w:tcW w:w="9962" w:type="dxa"/>
          </w:tcPr>
          <w:p w14:paraId="748B337E" w14:textId="77777777" w:rsidR="00E3111B" w:rsidRDefault="00A02986">
            <w:pPr>
              <w:pStyle w:val="Heading1"/>
              <w:spacing w:before="0" w:after="0" w:line="240" w:lineRule="auto"/>
              <w:outlineLvl w:val="0"/>
            </w:pPr>
            <w:r>
              <w:t>15</w:t>
            </w:r>
            <w:r>
              <w:tab/>
            </w:r>
            <w:r>
              <w:rPr>
                <w:lang w:eastAsia="zh-CN"/>
              </w:rPr>
              <w:t>Dual active protocol stack based handover</w:t>
            </w:r>
          </w:p>
          <w:p w14:paraId="1B435D97" w14:textId="77777777" w:rsidR="00E3111B" w:rsidRDefault="00A02986">
            <w:pPr>
              <w:spacing w:before="0" w:after="0" w:line="240" w:lineRule="auto"/>
              <w:rPr>
                <w:color w:val="FF0000"/>
              </w:rPr>
            </w:pPr>
            <w:r>
              <w:rPr>
                <w:color w:val="FF0000"/>
              </w:rPr>
              <w:t>&lt; Unchanged parts are omitted &gt;</w:t>
            </w:r>
          </w:p>
          <w:p w14:paraId="026A243B" w14:textId="77777777" w:rsidR="00E3111B" w:rsidRDefault="00A02986">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CFC8BA7" w14:textId="77777777" w:rsidR="00E3111B" w:rsidRDefault="00A02986">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3F86638E" w14:textId="77777777" w:rsidR="00E3111B" w:rsidRDefault="00A02986">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21A61FEC"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 </w:t>
            </w:r>
          </w:p>
          <w:p w14:paraId="7D235255" w14:textId="77777777" w:rsidR="00E3111B" w:rsidRDefault="00A02986">
            <w:pPr>
              <w:pStyle w:val="B1"/>
              <w:spacing w:before="0" w:after="0" w:line="240" w:lineRule="auto"/>
              <w:ind w:left="560" w:hanging="276"/>
            </w:pPr>
            <w:r>
              <w:t>-</w:t>
            </w:r>
            <w:r>
              <w:tab/>
              <w:t xml:space="preserve">the UE does not indicate support of </w:t>
            </w:r>
            <w:r>
              <w:rPr>
                <w:i/>
                <w:iCs/>
              </w:rPr>
              <w:t>ul-TransCancellationDAPS-r16</w:t>
            </w:r>
            <w:r>
              <w:t>, and</w:t>
            </w:r>
          </w:p>
          <w:p w14:paraId="4F1A9086"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49273215" w14:textId="77777777" w:rsidR="00E3111B" w:rsidRDefault="00A02986">
            <w:pPr>
              <w:spacing w:before="0" w:after="0" w:line="240" w:lineRule="auto"/>
            </w:pPr>
            <w:r>
              <w:t>the UE does not expect transmissions on the target and source cell in overlapping time resources.</w:t>
            </w:r>
          </w:p>
          <w:p w14:paraId="7FB91B74" w14:textId="77777777" w:rsidR="00E3111B" w:rsidRDefault="00A02986">
            <w:pPr>
              <w:spacing w:before="0" w:after="0" w:line="240" w:lineRule="auto"/>
            </w:pPr>
            <w:r>
              <w:rPr>
                <w:color w:val="C00000"/>
                <w:u w:val="single"/>
              </w:rPr>
              <w:t xml:space="preserve">For intra-frequency DAPS handover, if </w:t>
            </w:r>
            <w:r>
              <w:rPr>
                <w:strike/>
                <w:color w:val="C00000"/>
              </w:rPr>
              <w:t xml:space="preserve">If </w:t>
            </w:r>
          </w:p>
          <w:p w14:paraId="7B5F2A72" w14:textId="77777777" w:rsidR="00E3111B" w:rsidRDefault="00A02986">
            <w:pPr>
              <w:pStyle w:val="B1"/>
              <w:spacing w:before="0" w:after="0" w:line="240" w:lineRule="auto"/>
              <w:ind w:left="560" w:hanging="276"/>
            </w:pPr>
            <w:r>
              <w:t>-</w:t>
            </w:r>
            <w:r>
              <w:tab/>
              <w:t xml:space="preserve">the UE indicates support of </w:t>
            </w:r>
            <w:r>
              <w:rPr>
                <w:i/>
                <w:iCs/>
              </w:rPr>
              <w:t>ul-TransCancellationDAPS-r16</w:t>
            </w:r>
            <w:r>
              <w:t>, and</w:t>
            </w:r>
          </w:p>
          <w:p w14:paraId="0CEC5A9E"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25D14F8"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27FA696D" w14:textId="77777777" w:rsidR="00E3111B" w:rsidRDefault="00A02986">
            <w:pPr>
              <w:pStyle w:val="B1"/>
              <w:spacing w:before="0" w:after="0" w:line="240" w:lineRule="auto"/>
              <w:ind w:left="560" w:hanging="276"/>
            </w:pPr>
            <w:r>
              <w:t>-</w:t>
            </w:r>
            <w:r>
              <w:tab/>
              <w:t xml:space="preserve">UE transmissions on the target cell and the source cell are in overlapping time resources, </w:t>
            </w:r>
          </w:p>
          <w:p w14:paraId="4CAB53B0" w14:textId="77777777" w:rsidR="00E3111B" w:rsidRDefault="00A02986">
            <w:pPr>
              <w:spacing w:before="0" w:after="0" w:line="240" w:lineRule="auto"/>
            </w:pPr>
            <w:r>
              <w:t>the UE transmits only on the target cell, and cancels the transmission to source cell</w:t>
            </w:r>
          </w:p>
          <w:p w14:paraId="63B65FA7" w14:textId="77777777" w:rsidR="00E3111B" w:rsidRDefault="00A02986">
            <w:pPr>
              <w:spacing w:before="0" w:after="0" w:line="240" w:lineRule="auto"/>
            </w:pPr>
            <w:r>
              <w:rPr>
                <w:color w:val="C00000"/>
                <w:u w:val="single"/>
              </w:rPr>
              <w:t xml:space="preserve">For intra-frequency DAPS handover, if </w:t>
            </w:r>
            <w:r>
              <w:rPr>
                <w:strike/>
                <w:color w:val="C00000"/>
              </w:rPr>
              <w:t>If</w:t>
            </w:r>
            <w:r>
              <w:t xml:space="preserve"> </w:t>
            </w:r>
          </w:p>
          <w:p w14:paraId="668065E7"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66D23FC2" w14:textId="77777777" w:rsidR="00E3111B" w:rsidRDefault="00A02986">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AE4E472"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2A1CC3A1"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2C89C5A4" w14:textId="77777777" w:rsidR="00E3111B" w:rsidRDefault="00A02986">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3C6FE95D" w14:textId="77777777" w:rsidR="00E3111B" w:rsidRDefault="00A02986">
            <w:pPr>
              <w:spacing w:before="0" w:after="0" w:line="240" w:lineRule="auto"/>
              <w:rPr>
                <w:strike/>
                <w:color w:val="C00000"/>
              </w:rPr>
            </w:pPr>
            <w:r>
              <w:rPr>
                <w:strike/>
                <w:color w:val="C00000"/>
              </w:rPr>
              <w:t>The UE determines intra-frequency as described in Clause 9.2.1 of [10, TS38.133].</w:t>
            </w:r>
          </w:p>
          <w:p w14:paraId="2C5864E3" w14:textId="77777777" w:rsidR="00E3111B" w:rsidRDefault="00A02986">
            <w:pPr>
              <w:spacing w:before="0" w:after="0" w:line="240" w:lineRule="auto"/>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14:paraId="5623129C" w14:textId="77777777" w:rsidR="00E3111B" w:rsidRDefault="00E3111B">
            <w:pPr>
              <w:pStyle w:val="BodyText"/>
              <w:spacing w:before="0" w:after="0" w:line="240" w:lineRule="auto"/>
              <w:rPr>
                <w:rFonts w:ascii="Times New Roman" w:hAnsi="Times New Roman"/>
                <w:sz w:val="22"/>
                <w:szCs w:val="22"/>
                <w:lang w:eastAsia="zh-CN"/>
              </w:rPr>
            </w:pPr>
          </w:p>
        </w:tc>
      </w:tr>
    </w:tbl>
    <w:p w14:paraId="4B73AA5D" w14:textId="77777777" w:rsidR="00E3111B" w:rsidRDefault="00E3111B">
      <w:pPr>
        <w:pStyle w:val="BodyText"/>
        <w:spacing w:after="0"/>
        <w:rPr>
          <w:rFonts w:ascii="Times New Roman" w:hAnsi="Times New Roman"/>
          <w:sz w:val="22"/>
          <w:szCs w:val="22"/>
          <w:lang w:eastAsia="zh-CN"/>
        </w:rPr>
      </w:pPr>
    </w:p>
    <w:p w14:paraId="2F5BA15B" w14:textId="7F41AD5D" w:rsidR="00E3111B" w:rsidRDefault="00E3111B">
      <w:pPr>
        <w:pStyle w:val="BodyText"/>
        <w:spacing w:after="0"/>
        <w:rPr>
          <w:rFonts w:ascii="Times New Roman" w:hAnsi="Times New Roman"/>
          <w:sz w:val="22"/>
          <w:szCs w:val="22"/>
          <w:lang w:eastAsia="zh-CN"/>
        </w:rPr>
      </w:pPr>
    </w:p>
    <w:p w14:paraId="15A4D44E" w14:textId="6F717033" w:rsidR="00D46257" w:rsidRDefault="00D46257">
      <w:pPr>
        <w:pStyle w:val="BodyText"/>
        <w:spacing w:after="0"/>
        <w:rPr>
          <w:rFonts w:ascii="Times New Roman" w:hAnsi="Times New Roman"/>
          <w:sz w:val="22"/>
          <w:szCs w:val="22"/>
          <w:lang w:eastAsia="zh-CN"/>
        </w:rPr>
      </w:pPr>
    </w:p>
    <w:p w14:paraId="6DEA59BF" w14:textId="77777777" w:rsidR="00D46257" w:rsidRDefault="00D46257">
      <w:pPr>
        <w:pStyle w:val="BodyText"/>
        <w:spacing w:after="0"/>
        <w:rPr>
          <w:rFonts w:ascii="Times New Roman" w:hAnsi="Times New Roman"/>
          <w:sz w:val="22"/>
          <w:szCs w:val="22"/>
          <w:lang w:eastAsia="zh-CN"/>
        </w:rPr>
      </w:pPr>
    </w:p>
    <w:p w14:paraId="6949E54A" w14:textId="77777777" w:rsidR="00E3111B" w:rsidRDefault="00E3111B">
      <w:pPr>
        <w:pStyle w:val="BodyText"/>
        <w:spacing w:after="0"/>
        <w:rPr>
          <w:rFonts w:ascii="Times New Roman" w:hAnsi="Times New Roman"/>
          <w:sz w:val="22"/>
          <w:szCs w:val="22"/>
          <w:lang w:eastAsia="zh-CN"/>
        </w:rPr>
      </w:pPr>
    </w:p>
    <w:p w14:paraId="52EE41CA" w14:textId="77777777" w:rsidR="00E3111B" w:rsidRDefault="00A02986">
      <w:pPr>
        <w:pStyle w:val="Heading2"/>
        <w:rPr>
          <w:lang w:val="en-US"/>
        </w:rPr>
      </w:pPr>
      <w:r>
        <w:lastRenderedPageBreak/>
        <w:t>Issue #3) Processing capability for Tx cancellation [3][5]</w:t>
      </w:r>
    </w:p>
    <w:p w14:paraId="195ED08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6572A554"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7A3D82FF" w14:textId="77777777" w:rsidR="00E3111B" w:rsidRDefault="00E3111B">
      <w:pPr>
        <w:pStyle w:val="BodyText"/>
        <w:spacing w:after="0"/>
        <w:rPr>
          <w:rFonts w:ascii="Times New Roman" w:hAnsi="Times New Roman"/>
          <w:sz w:val="22"/>
          <w:szCs w:val="22"/>
          <w:lang w:eastAsia="zh-CN"/>
        </w:rPr>
      </w:pPr>
    </w:p>
    <w:p w14:paraId="24D757AA" w14:textId="77777777" w:rsidR="00E3111B" w:rsidRDefault="00A02986">
      <w:pPr>
        <w:pStyle w:val="ListParagraph"/>
        <w:numPr>
          <w:ilvl w:val="0"/>
          <w:numId w:val="6"/>
        </w:numPr>
        <w:rPr>
          <w:lang w:eastAsia="zh-CN"/>
        </w:rPr>
      </w:pPr>
      <w:r>
        <w:rPr>
          <w:lang w:eastAsia="zh-CN"/>
        </w:rPr>
        <w:t>TP from [3]</w:t>
      </w:r>
    </w:p>
    <w:p w14:paraId="700E93A4" w14:textId="529BA9C5" w:rsidR="00D054DC" w:rsidRDefault="00D054DC" w:rsidP="00F0238F">
      <w:pPr>
        <w:pStyle w:val="Heading4"/>
        <w:rPr>
          <w:lang w:eastAsia="zh-CN"/>
        </w:rPr>
      </w:pPr>
      <w:r>
        <w:rPr>
          <w:lang w:eastAsia="zh-CN"/>
        </w:rPr>
        <w:t>TP #3</w:t>
      </w:r>
      <w:r w:rsidR="003B6E2A">
        <w:rPr>
          <w:lang w:eastAsia="zh-CN"/>
        </w:rPr>
        <w:t>-1</w:t>
      </w:r>
    </w:p>
    <w:tbl>
      <w:tblPr>
        <w:tblStyle w:val="TableGrid"/>
        <w:tblW w:w="0" w:type="auto"/>
        <w:tblLook w:val="04A0" w:firstRow="1" w:lastRow="0" w:firstColumn="1" w:lastColumn="0" w:noHBand="0" w:noVBand="1"/>
      </w:tblPr>
      <w:tblGrid>
        <w:gridCol w:w="9962"/>
      </w:tblGrid>
      <w:tr w:rsidR="00E3111B" w14:paraId="389CBE59" w14:textId="77777777">
        <w:tc>
          <w:tcPr>
            <w:tcW w:w="9962" w:type="dxa"/>
          </w:tcPr>
          <w:p w14:paraId="784BC54A"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0DDC8DB7"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1355343" w14:textId="77777777" w:rsidR="00E3111B" w:rsidRDefault="00A02986">
            <w:pPr>
              <w:spacing w:before="0" w:after="0" w:line="240" w:lineRule="auto"/>
            </w:pPr>
            <w:r>
              <w:t xml:space="preserve">If </w:t>
            </w:r>
          </w:p>
          <w:p w14:paraId="55C80A81" w14:textId="77777777" w:rsidR="00E3111B" w:rsidRDefault="00A02986">
            <w:pPr>
              <w:pStyle w:val="B1"/>
              <w:spacing w:before="0" w:after="0" w:line="240" w:lineRule="auto"/>
              <w:ind w:left="560" w:hanging="276"/>
            </w:pPr>
            <w:r>
              <w:t>-</w:t>
            </w:r>
            <w:r>
              <w:tab/>
              <w:t xml:space="preserve">the carrier frequencies of target MCG and source MCG are intra-frequency, and </w:t>
            </w:r>
          </w:p>
          <w:p w14:paraId="7647D68B" w14:textId="77777777" w:rsidR="00E3111B" w:rsidRDefault="00A02986">
            <w:pPr>
              <w:pStyle w:val="B1"/>
              <w:spacing w:before="0" w:after="0" w:line="240" w:lineRule="auto"/>
              <w:ind w:left="560" w:hanging="276"/>
            </w:pPr>
            <w:r>
              <w:t>-</w:t>
            </w:r>
            <w:r>
              <w:tab/>
              <w:t xml:space="preserve">UE transmissions on the target cell and the source cell overlapping time resources, </w:t>
            </w:r>
          </w:p>
          <w:p w14:paraId="3CFE90FA"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0D0C91AD"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363D5EEF"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B6FBC6E" w14:textId="77777777" w:rsidR="00E3111B" w:rsidRDefault="00E3111B">
            <w:pPr>
              <w:pStyle w:val="BodyText"/>
              <w:spacing w:before="0" w:after="0" w:line="240" w:lineRule="auto"/>
              <w:rPr>
                <w:rFonts w:ascii="Times New Roman" w:hAnsi="Times New Roman"/>
                <w:sz w:val="22"/>
                <w:szCs w:val="22"/>
                <w:lang w:eastAsia="zh-CN"/>
              </w:rPr>
            </w:pPr>
          </w:p>
        </w:tc>
      </w:tr>
    </w:tbl>
    <w:p w14:paraId="703F35DE" w14:textId="77777777" w:rsidR="00E3111B" w:rsidRDefault="00E3111B">
      <w:pPr>
        <w:pStyle w:val="BodyText"/>
        <w:spacing w:after="0"/>
        <w:rPr>
          <w:rFonts w:ascii="Times New Roman" w:hAnsi="Times New Roman"/>
          <w:sz w:val="22"/>
          <w:szCs w:val="22"/>
          <w:lang w:eastAsia="zh-CN"/>
        </w:rPr>
      </w:pPr>
    </w:p>
    <w:p w14:paraId="4402882C" w14:textId="38CCDF01" w:rsidR="00E3111B" w:rsidRDefault="00A02986">
      <w:pPr>
        <w:pStyle w:val="ListParagraph"/>
        <w:numPr>
          <w:ilvl w:val="0"/>
          <w:numId w:val="6"/>
        </w:numPr>
        <w:rPr>
          <w:lang w:eastAsia="zh-CN"/>
        </w:rPr>
      </w:pPr>
      <w:r>
        <w:rPr>
          <w:lang w:eastAsia="zh-CN"/>
        </w:rPr>
        <w:t>TP from [5]</w:t>
      </w:r>
    </w:p>
    <w:p w14:paraId="26152DA4" w14:textId="08DA31FD" w:rsidR="003B6E2A" w:rsidRDefault="003B6E2A" w:rsidP="00F0238F">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E3111B" w14:paraId="16910086" w14:textId="77777777">
        <w:tc>
          <w:tcPr>
            <w:tcW w:w="9962" w:type="dxa"/>
          </w:tcPr>
          <w:p w14:paraId="302EEA02"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12D42965" w14:textId="77777777" w:rsidR="00E3111B" w:rsidRDefault="00A02986">
            <w:pPr>
              <w:spacing w:before="0" w:after="0" w:line="240" w:lineRule="auto"/>
              <w:rPr>
                <w:color w:val="FF0000"/>
              </w:rPr>
            </w:pPr>
            <w:r>
              <w:rPr>
                <w:color w:val="FF0000"/>
              </w:rPr>
              <w:t>&lt; Unchanged parts are omitted &gt;</w:t>
            </w:r>
          </w:p>
          <w:p w14:paraId="7044B2EC" w14:textId="77777777" w:rsidR="00E3111B" w:rsidRDefault="00A02986">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等线"/>
                <w:bCs/>
              </w:rPr>
              <w:t xml:space="preserve"> on the target cell</w:t>
            </w:r>
            <w:r>
              <w:rPr>
                <w:bCs/>
              </w:rPr>
              <w:t>, after a number of symbols that is smaller than</w:t>
            </w:r>
            <w:r>
              <w:rPr>
                <w:bCs/>
                <w:noProof/>
                <w:position w:val="-12"/>
                <w:lang w:eastAsia="zh-CN"/>
              </w:rPr>
              <w:drawing>
                <wp:inline distT="0" distB="0" distL="0" distR="0" wp14:anchorId="7F0B0CF8" wp14:editId="65FD7EF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CN"/>
              </w:rPr>
              <w:drawing>
                <wp:inline distT="0" distB="0" distL="0" distR="0" wp14:anchorId="48FC3008" wp14:editId="0DCB7123">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50BFF11A" wp14:editId="6E9164C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CN"/>
              </w:rPr>
              <w:drawing>
                <wp:inline distT="0" distB="0" distL="0" distR="0" wp14:anchorId="5AD453E7" wp14:editId="1EA3998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05451335" wp14:editId="45FE78D9">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CN"/>
              </w:rPr>
              <w:drawing>
                <wp:inline distT="0" distB="0" distL="0" distR="0" wp14:anchorId="4E6EF732" wp14:editId="120E1541">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CN"/>
              </w:rPr>
              <w:drawing>
                <wp:inline distT="0" distB="0" distL="0" distR="0" wp14:anchorId="41521B28" wp14:editId="05E89E62">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CN"/>
              </w:rPr>
              <w:drawing>
                <wp:inline distT="0" distB="0" distL="0" distR="0" wp14:anchorId="4810C8B4" wp14:editId="46F07696">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CN"/>
              </w:rPr>
              <w:drawing>
                <wp:inline distT="0" distB="0" distL="0" distR="0" wp14:anchorId="12022020" wp14:editId="769737F9">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53CDC0A9" w14:textId="77777777" w:rsidR="00E3111B" w:rsidRDefault="00E3111B">
      <w:pPr>
        <w:rPr>
          <w:lang w:eastAsia="zh-CN"/>
        </w:rPr>
      </w:pPr>
    </w:p>
    <w:p w14:paraId="434F0623" w14:textId="6ADAB71F" w:rsidR="00C5754B" w:rsidRDefault="00C5754B" w:rsidP="00C5754B">
      <w:pPr>
        <w:pStyle w:val="Heading1"/>
        <w:numPr>
          <w:ilvl w:val="0"/>
          <w:numId w:val="5"/>
        </w:numPr>
        <w:ind w:left="360"/>
        <w:rPr>
          <w:rFonts w:cs="Arial"/>
          <w:sz w:val="32"/>
          <w:szCs w:val="32"/>
          <w:lang w:val="en-US"/>
        </w:rPr>
      </w:pPr>
      <w:r>
        <w:rPr>
          <w:rFonts w:cs="Arial"/>
          <w:sz w:val="32"/>
          <w:szCs w:val="32"/>
        </w:rPr>
        <w:lastRenderedPageBreak/>
        <w:t>Summary of Discussions</w:t>
      </w:r>
    </w:p>
    <w:p w14:paraId="49AB44C1" w14:textId="0D75F71B" w:rsidR="00C5754B" w:rsidRDefault="00C5754B" w:rsidP="00C5754B">
      <w:pPr>
        <w:pStyle w:val="BodyText"/>
        <w:spacing w:after="0"/>
        <w:rPr>
          <w:rFonts w:ascii="Times New Roman" w:hAnsi="Times New Roman"/>
          <w:sz w:val="22"/>
          <w:szCs w:val="22"/>
          <w:lang w:eastAsia="zh-CN"/>
        </w:rPr>
      </w:pPr>
    </w:p>
    <w:p w14:paraId="01958C6C" w14:textId="700933BD" w:rsidR="0044323D" w:rsidRPr="0044323D" w:rsidRDefault="0044323D" w:rsidP="00C5754B">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#2)</w:t>
      </w:r>
    </w:p>
    <w:p w14:paraId="477FE4CD" w14:textId="5E9080F2" w:rsidR="003A35F1" w:rsidRDefault="003A35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w:t>
      </w:r>
      <w:r w:rsidR="00BC4FE3">
        <w:rPr>
          <w:rFonts w:ascii="Times New Roman" w:hAnsi="Times New Roman"/>
          <w:sz w:val="22"/>
          <w:szCs w:val="22"/>
          <w:lang w:eastAsia="zh-CN"/>
        </w:rPr>
        <w:t xml:space="preserve">The first question would on whether intra-frequency DAPS definition needs clarification </w:t>
      </w:r>
      <w:r w:rsidR="007A51CC">
        <w:rPr>
          <w:rFonts w:ascii="Times New Roman" w:hAnsi="Times New Roman"/>
          <w:sz w:val="22"/>
          <w:szCs w:val="22"/>
          <w:lang w:eastAsia="zh-CN"/>
        </w:rPr>
        <w:t>given that intra-frequency RRM measurements</w:t>
      </w:r>
      <w:r w:rsidR="00536985">
        <w:rPr>
          <w:rFonts w:ascii="Times New Roman" w:hAnsi="Times New Roman"/>
          <w:sz w:val="22"/>
          <w:szCs w:val="22"/>
          <w:lang w:eastAsia="zh-CN"/>
        </w:rPr>
        <w:t xml:space="preserve"> definition</w:t>
      </w:r>
      <w:r w:rsidR="007A51CC">
        <w:rPr>
          <w:rFonts w:ascii="Times New Roman" w:hAnsi="Times New Roman"/>
          <w:sz w:val="22"/>
          <w:szCs w:val="22"/>
          <w:lang w:eastAsia="zh-CN"/>
        </w:rPr>
        <w:t xml:space="preserve"> for SSB and CSI-RS </w:t>
      </w:r>
      <w:r w:rsidR="00536985">
        <w:rPr>
          <w:rFonts w:ascii="Times New Roman" w:hAnsi="Times New Roman"/>
          <w:sz w:val="22"/>
          <w:szCs w:val="22"/>
          <w:lang w:eastAsia="zh-CN"/>
        </w:rPr>
        <w:t>is</w:t>
      </w:r>
      <w:r w:rsidR="007A51CC">
        <w:rPr>
          <w:rFonts w:ascii="Times New Roman" w:hAnsi="Times New Roman"/>
          <w:sz w:val="22"/>
          <w:szCs w:val="22"/>
          <w:lang w:eastAsia="zh-CN"/>
        </w:rPr>
        <w:t xml:space="preserve"> different.</w:t>
      </w:r>
      <w:r w:rsidR="00536985">
        <w:rPr>
          <w:rFonts w:ascii="Times New Roman" w:hAnsi="Times New Roman"/>
          <w:sz w:val="22"/>
          <w:szCs w:val="22"/>
          <w:lang w:eastAsia="zh-CN"/>
        </w:rPr>
        <w:t xml:space="preserve"> The second question is </w:t>
      </w:r>
      <w:r w:rsidR="0085671D">
        <w:rPr>
          <w:rFonts w:ascii="Times New Roman" w:hAnsi="Times New Roman"/>
          <w:sz w:val="22"/>
          <w:szCs w:val="22"/>
          <w:lang w:eastAsia="zh-CN"/>
        </w:rPr>
        <w:t>clean up of the intra-frequency DAPS terminology in the specification.</w:t>
      </w:r>
    </w:p>
    <w:p w14:paraId="68AFA552" w14:textId="356619B9" w:rsidR="0085671D" w:rsidRDefault="0085671D">
      <w:pPr>
        <w:pStyle w:val="BodyText"/>
        <w:spacing w:after="0"/>
        <w:rPr>
          <w:rFonts w:ascii="Times New Roman" w:hAnsi="Times New Roman"/>
          <w:sz w:val="22"/>
          <w:szCs w:val="22"/>
          <w:lang w:eastAsia="zh-CN"/>
        </w:rPr>
      </w:pPr>
    </w:p>
    <w:p w14:paraId="28F5AD5E" w14:textId="0AE180BC" w:rsidR="0085671D" w:rsidRDefault="0085671D">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Q1)</w:t>
      </w:r>
      <w:r w:rsidR="0010336B">
        <w:rPr>
          <w:rFonts w:ascii="Times New Roman" w:hAnsi="Times New Roman"/>
          <w:sz w:val="22"/>
          <w:szCs w:val="22"/>
          <w:lang w:eastAsia="zh-CN"/>
        </w:rPr>
        <w:t xml:space="preserve"> Is </w:t>
      </w:r>
      <w:r w:rsidR="00F852B2">
        <w:rPr>
          <w:rFonts w:ascii="Times New Roman" w:hAnsi="Times New Roman"/>
          <w:sz w:val="22"/>
          <w:szCs w:val="22"/>
          <w:lang w:eastAsia="zh-CN"/>
        </w:rPr>
        <w:t xml:space="preserve">technical proposal in </w:t>
      </w:r>
      <w:r w:rsidR="0010336B">
        <w:rPr>
          <w:rFonts w:ascii="Times New Roman" w:hAnsi="Times New Roman"/>
          <w:sz w:val="22"/>
          <w:szCs w:val="22"/>
          <w:lang w:eastAsia="zh-CN"/>
        </w:rPr>
        <w:t xml:space="preserve">TP#2-1 </w:t>
      </w:r>
      <w:r w:rsidR="00F852B2">
        <w:rPr>
          <w:rFonts w:ascii="Times New Roman" w:hAnsi="Times New Roman"/>
          <w:sz w:val="22"/>
          <w:szCs w:val="22"/>
          <w:lang w:eastAsia="zh-CN"/>
        </w:rPr>
        <w:t>agreeable?</w:t>
      </w:r>
    </w:p>
    <w:p w14:paraId="7FB79945" w14:textId="33B755E7" w:rsidR="0044323D" w:rsidRDefault="00F852B2">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F852B2">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r>
        <w:rPr>
          <w:rFonts w:ascii="Times New Roman" w:hAnsi="Times New Roman"/>
          <w:sz w:val="22"/>
          <w:szCs w:val="22"/>
          <w:lang w:eastAsia="zh-CN"/>
        </w:rPr>
        <w:t>”</w:t>
      </w:r>
    </w:p>
    <w:p w14:paraId="6166D1A2" w14:textId="77777777" w:rsidR="0044323D" w:rsidRDefault="0044323D" w:rsidP="0044323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2A3B42" w14:paraId="5B972E34" w14:textId="5DC02B83" w:rsidTr="00FC0D3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850ED1" w14:textId="77777777" w:rsidR="002A3B42" w:rsidRDefault="002A3B42">
            <w:pPr>
              <w:spacing w:after="0"/>
              <w:rPr>
                <w:b/>
                <w:bCs/>
                <w:lang w:val="sv-SE" w:eastAsia="ko-KR"/>
              </w:rPr>
            </w:pPr>
            <w:r w:rsidRPr="00E0389C">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B962F08" w14:textId="2A44C804" w:rsidR="002A3B42" w:rsidRDefault="002A3B42">
            <w:pPr>
              <w:spacing w:after="0"/>
              <w:rPr>
                <w:lang w:val="sv-SE"/>
              </w:rPr>
            </w:pPr>
            <w:r>
              <w:rPr>
                <w:b/>
                <w:bCs/>
                <w:lang w:val="sv-SE"/>
              </w:rPr>
              <w:t>TP#2-1 (</w:t>
            </w:r>
            <w:r w:rsidRPr="002A3B42">
              <w:rPr>
                <w:b/>
                <w:bCs/>
                <w:lang w:val="sv-SE"/>
              </w:rPr>
              <w:t>Yes/No</w:t>
            </w:r>
            <w:r>
              <w:rPr>
                <w:b/>
                <w:bCs/>
                <w:lang w:val="sv-SE"/>
              </w:rPr>
              <w:t>)</w:t>
            </w:r>
          </w:p>
        </w:tc>
        <w:tc>
          <w:tcPr>
            <w:tcW w:w="6766" w:type="dxa"/>
            <w:tcBorders>
              <w:top w:val="single" w:sz="4" w:space="0" w:color="auto"/>
              <w:left w:val="single" w:sz="4" w:space="0" w:color="auto"/>
              <w:bottom w:val="single" w:sz="4" w:space="0" w:color="auto"/>
              <w:right w:val="single" w:sz="4" w:space="0" w:color="auto"/>
            </w:tcBorders>
            <w:shd w:val="clear" w:color="auto" w:fill="FBE4D5"/>
          </w:tcPr>
          <w:p w14:paraId="30521975" w14:textId="381456F8" w:rsidR="002A3B42" w:rsidRDefault="002A3B42" w:rsidP="002A3B42">
            <w:pPr>
              <w:spacing w:after="0"/>
              <w:rPr>
                <w:lang w:val="sv-SE"/>
              </w:rPr>
            </w:pPr>
            <w:r>
              <w:rPr>
                <w:rStyle w:val="Strong"/>
                <w:color w:val="000000"/>
                <w:lang w:val="sv-SE"/>
              </w:rPr>
              <w:t>Comments for Q1</w:t>
            </w:r>
          </w:p>
        </w:tc>
      </w:tr>
      <w:tr w:rsidR="002A3B42" w14:paraId="4BE38977" w14:textId="26F72A35" w:rsidTr="00FC0D3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47B19" w14:textId="1F56ED2D" w:rsidR="002A3B42" w:rsidRDefault="00E0389C">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51BC" w14:textId="7ED2501F" w:rsidR="002A3B42" w:rsidRDefault="00E0389C">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31B06DF" w14:textId="015ACF41" w:rsidR="002A3B42" w:rsidRPr="00E0389C" w:rsidRDefault="00E0389C">
            <w:pPr>
              <w:overflowPunct/>
              <w:autoSpaceDE/>
              <w:adjustRightInd/>
              <w:spacing w:after="0"/>
              <w:rPr>
                <w:lang w:eastAsia="zh-CN"/>
              </w:rPr>
            </w:pPr>
            <w:r w:rsidRPr="00E0389C">
              <w:rPr>
                <w:lang w:eastAsia="zh-CN"/>
              </w:rPr>
              <w:t>RAN4 has provided a s</w:t>
            </w:r>
            <w:r>
              <w:rPr>
                <w:lang w:eastAsia="zh-CN"/>
              </w:rPr>
              <w:t>pecific definition of intra-frequency DAPS. RAN1 should use that.</w:t>
            </w:r>
          </w:p>
        </w:tc>
      </w:tr>
      <w:tr w:rsidR="00D172A7" w14:paraId="710A60DD" w14:textId="77777777" w:rsidTr="00FC0D3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A78C9" w14:textId="1641186F" w:rsidR="00D172A7" w:rsidRDefault="00D172A7">
            <w:pPr>
              <w:spacing w:after="0"/>
              <w:rPr>
                <w:lang w:val="sv-SE" w:eastAsia="zh-CN"/>
              </w:rPr>
            </w:pPr>
            <w:r>
              <w:rPr>
                <w:lang w:val="sv-SE" w:eastAsia="zh-CN"/>
              </w:rPr>
              <w:t>Qualcomm</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869AB" w14:textId="42F4243A" w:rsidR="00D172A7" w:rsidRDefault="00D172A7">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020ABD3C" w14:textId="1657B77A" w:rsidR="00D172A7" w:rsidRPr="00E0389C" w:rsidRDefault="00D172A7">
            <w:pPr>
              <w:overflowPunct/>
              <w:autoSpaceDE/>
              <w:adjustRightInd/>
              <w:spacing w:after="0"/>
              <w:rPr>
                <w:lang w:eastAsia="zh-CN"/>
              </w:rPr>
            </w:pPr>
            <w:r>
              <w:rPr>
                <w:lang w:eastAsia="zh-CN"/>
              </w:rPr>
              <w:t>RAN1 spec can reference to RAN4 definition</w:t>
            </w:r>
          </w:p>
        </w:tc>
      </w:tr>
      <w:tr w:rsidR="00FC0D37" w14:paraId="626515FF" w14:textId="77777777" w:rsidTr="00FC0D3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7BEE5" w14:textId="2CC6BAF2" w:rsidR="00FC0D37" w:rsidRDefault="00FC0D37">
            <w:pPr>
              <w:spacing w:after="0"/>
              <w:rPr>
                <w:lang w:val="sv-SE" w:eastAsia="zh-CN"/>
              </w:rPr>
            </w:pPr>
            <w:r>
              <w:rPr>
                <w:rFonts w:hint="eastAsia"/>
                <w:lang w:val="sv-SE" w:eastAsia="zh-CN"/>
              </w:rPr>
              <w:t>H</w:t>
            </w:r>
            <w:r>
              <w:rPr>
                <w:lang w:val="sv-SE" w:eastAsia="zh-CN"/>
              </w:rPr>
              <w:t>uawei/HiSi</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12FD" w14:textId="410B4689" w:rsidR="00FC0D37" w:rsidRDefault="00FC0D37">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14:paraId="34EC2570" w14:textId="191960A1" w:rsidR="00FC0D37" w:rsidRDefault="00FC0D37" w:rsidP="00FC0D37">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bl>
    <w:p w14:paraId="731D70D8" w14:textId="77777777" w:rsidR="0044323D" w:rsidRDefault="0044323D" w:rsidP="0044323D">
      <w:pPr>
        <w:pStyle w:val="BodyText"/>
        <w:spacing w:after="0"/>
        <w:rPr>
          <w:rFonts w:ascii="Times New Roman" w:hAnsi="Times New Roman"/>
          <w:sz w:val="22"/>
          <w:szCs w:val="22"/>
          <w:lang w:eastAsia="zh-CN"/>
        </w:rPr>
      </w:pPr>
    </w:p>
    <w:p w14:paraId="6075E8D2" w14:textId="3E7CD147" w:rsidR="0044323D" w:rsidRPr="00012800" w:rsidRDefault="00F852B2">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 xml:space="preserve">Q2) </w:t>
      </w:r>
      <w:r w:rsidR="003D2305" w:rsidRPr="00012800">
        <w:rPr>
          <w:rFonts w:ascii="Times New Roman" w:hAnsi="Times New Roman"/>
          <w:sz w:val="22"/>
          <w:szCs w:val="22"/>
          <w:lang w:eastAsia="zh-CN"/>
        </w:rPr>
        <w:t>Is the c</w:t>
      </w:r>
      <w:r w:rsidR="00012800">
        <w:rPr>
          <w:rFonts w:ascii="Times New Roman" w:hAnsi="Times New Roman"/>
          <w:sz w:val="22"/>
          <w:szCs w:val="22"/>
          <w:lang w:eastAsia="zh-CN"/>
        </w:rPr>
        <w:t>orrections in TP#2-2 agreeable?</w:t>
      </w:r>
    </w:p>
    <w:p w14:paraId="6631E6CE"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2A3B42" w14:paraId="091AEB31" w14:textId="302CEAFA" w:rsidTr="00FC0D3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3705FB4" w14:textId="77777777" w:rsidR="002A3B42" w:rsidRDefault="002A3B42" w:rsidP="004434BA">
            <w:pPr>
              <w:spacing w:after="0"/>
              <w:rPr>
                <w:b/>
                <w:bCs/>
                <w:lang w:val="sv-SE" w:eastAsia="ko-KR"/>
              </w:rPr>
            </w:pPr>
            <w:r w:rsidRPr="00E0389C">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9144154" w14:textId="6ABADC42" w:rsidR="002A3B42" w:rsidRPr="002A3B42" w:rsidRDefault="002A3B42" w:rsidP="004434BA">
            <w:pPr>
              <w:spacing w:after="0"/>
              <w:rPr>
                <w:b/>
                <w:bCs/>
                <w:lang w:val="sv-SE"/>
              </w:rPr>
            </w:pPr>
            <w:r>
              <w:rPr>
                <w:b/>
                <w:bCs/>
                <w:lang w:val="sv-SE"/>
              </w:rPr>
              <w:t>TP#2-2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463F5821" w14:textId="5203824B" w:rsidR="002A3B42" w:rsidRDefault="002A3B42" w:rsidP="002A3B42">
            <w:pPr>
              <w:spacing w:after="0"/>
              <w:rPr>
                <w:lang w:val="sv-SE"/>
              </w:rPr>
            </w:pPr>
            <w:r>
              <w:rPr>
                <w:rStyle w:val="Strong"/>
                <w:color w:val="000000"/>
                <w:lang w:val="sv-SE"/>
              </w:rPr>
              <w:t>Comments for Q2</w:t>
            </w:r>
          </w:p>
        </w:tc>
      </w:tr>
      <w:tr w:rsidR="002A3B42" w14:paraId="0C35B9EB" w14:textId="749C6BA7" w:rsidTr="00FC0D3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68B3" w14:textId="6DD2E4AA" w:rsidR="002A3B42" w:rsidRDefault="00E0389C" w:rsidP="004434BA">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9A2E" w14:textId="3C8AF4CA" w:rsidR="002A3B42" w:rsidRDefault="00E0389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2FDADFF4" w14:textId="77777777" w:rsidR="002A3B42" w:rsidRDefault="002A3B42" w:rsidP="004434BA">
            <w:pPr>
              <w:overflowPunct/>
              <w:autoSpaceDE/>
              <w:adjustRightInd/>
              <w:spacing w:after="0"/>
              <w:rPr>
                <w:lang w:val="sv-SE" w:eastAsia="zh-CN"/>
              </w:rPr>
            </w:pPr>
          </w:p>
        </w:tc>
      </w:tr>
      <w:tr w:rsidR="00D172A7" w14:paraId="0FD80F2A" w14:textId="77777777" w:rsidTr="00FC0D3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E1AB8" w14:textId="2F9A9587" w:rsidR="00D172A7" w:rsidRDefault="00D172A7" w:rsidP="004434BA">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3D52B" w14:textId="41F9B8AE" w:rsidR="00D172A7" w:rsidRDefault="00D172A7" w:rsidP="004434BA">
            <w:pPr>
              <w:overflowPunct/>
              <w:autoSpaceDE/>
              <w:adjustRightInd/>
              <w:spacing w:after="0"/>
              <w:rPr>
                <w:lang w:val="sv-SE" w:eastAsia="zh-CN"/>
              </w:rPr>
            </w:pPr>
            <w:r>
              <w:rPr>
                <w:lang w:val="sv-SE" w:eastAsia="zh-CN"/>
              </w:rPr>
              <w:t>See comments</w:t>
            </w:r>
          </w:p>
        </w:tc>
        <w:tc>
          <w:tcPr>
            <w:tcW w:w="6747" w:type="dxa"/>
            <w:tcBorders>
              <w:top w:val="single" w:sz="4" w:space="0" w:color="auto"/>
              <w:left w:val="single" w:sz="4" w:space="0" w:color="auto"/>
              <w:bottom w:val="single" w:sz="4" w:space="0" w:color="auto"/>
              <w:right w:val="single" w:sz="4" w:space="0" w:color="auto"/>
            </w:tcBorders>
          </w:tcPr>
          <w:p w14:paraId="25AF52BB" w14:textId="77777777" w:rsidR="00D172A7" w:rsidRDefault="00D172A7" w:rsidP="004434BA">
            <w:pPr>
              <w:overflowPunct/>
              <w:autoSpaceDE/>
              <w:adjustRightInd/>
              <w:spacing w:after="0"/>
              <w:rPr>
                <w:lang w:val="sv-SE" w:eastAsia="zh-CN"/>
              </w:rPr>
            </w:pPr>
            <w:r>
              <w:rPr>
                <w:lang w:val="sv-SE" w:eastAsia="zh-CN"/>
              </w:rPr>
              <w:t>The direction of CR is fine. However, the following should be updated:</w:t>
            </w:r>
          </w:p>
          <w:p w14:paraId="544B27D3" w14:textId="77777777" w:rsidR="00D172A7" w:rsidRDefault="00D172A7" w:rsidP="00D172A7">
            <w:pPr>
              <w:pStyle w:val="ListParagraph"/>
              <w:numPr>
                <w:ilvl w:val="0"/>
                <w:numId w:val="11"/>
              </w:numPr>
              <w:rPr>
                <w:lang w:val="sv-SE" w:eastAsia="zh-CN"/>
              </w:rPr>
            </w:pPr>
            <w:r>
              <w:rPr>
                <w:lang w:val="sv-SE" w:eastAsia="zh-CN"/>
              </w:rPr>
              <w:t>The second ”For” is not correct. It should be ”</w:t>
            </w:r>
            <w:r>
              <w:rPr>
                <w:color w:val="C00000"/>
                <w:u w:val="single"/>
              </w:rPr>
              <w:t xml:space="preserve"> For DAPS handover that is not intra-frequency</w:t>
            </w:r>
            <w:r>
              <w:rPr>
                <w:lang w:val="sv-SE" w:eastAsia="zh-CN"/>
              </w:rPr>
              <w:t>”</w:t>
            </w:r>
          </w:p>
          <w:p w14:paraId="72C54238" w14:textId="77777777" w:rsidR="00D172A7" w:rsidRDefault="00D172A7" w:rsidP="00D172A7">
            <w:pPr>
              <w:pStyle w:val="ListParagraph"/>
              <w:numPr>
                <w:ilvl w:val="0"/>
                <w:numId w:val="11"/>
              </w:numPr>
              <w:rPr>
                <w:lang w:val="sv-SE" w:eastAsia="zh-CN"/>
              </w:rPr>
            </w:pPr>
            <w:r>
              <w:rPr>
                <w:lang w:val="sv-SE" w:eastAsia="zh-CN"/>
              </w:rPr>
              <w:t>The last change on ”</w:t>
            </w:r>
            <w:r>
              <w:t xml:space="preserve"> intra-frequency DAPS HO </w:t>
            </w:r>
            <w:r>
              <w:rPr>
                <w:color w:val="C00000"/>
                <w:u w:val="single"/>
              </w:rPr>
              <w:t>handover</w:t>
            </w:r>
            <w:r>
              <w:rPr>
                <w:strike/>
                <w:color w:val="C00000"/>
              </w:rPr>
              <w:t>operation</w:t>
            </w:r>
            <w:r>
              <w:rPr>
                <w:lang w:val="sv-SE" w:eastAsia="zh-CN"/>
              </w:rPr>
              <w:t>” should be ”</w:t>
            </w:r>
            <w:r>
              <w:t xml:space="preserve"> intra-frequency DAPS </w:t>
            </w:r>
            <w:r w:rsidRPr="00D172A7">
              <w:rPr>
                <w:b/>
                <w:bCs/>
                <w:strike/>
                <w:color w:val="0070C0"/>
              </w:rPr>
              <w:t>HO</w:t>
            </w:r>
            <w:r>
              <w:t xml:space="preserve"> </w:t>
            </w:r>
            <w:r>
              <w:rPr>
                <w:color w:val="C00000"/>
                <w:u w:val="single"/>
              </w:rPr>
              <w:t>handover</w:t>
            </w:r>
            <w:r>
              <w:rPr>
                <w:strike/>
                <w:color w:val="C00000"/>
              </w:rPr>
              <w:t>operation</w:t>
            </w:r>
            <w:r>
              <w:rPr>
                <w:lang w:val="sv-SE" w:eastAsia="zh-CN"/>
              </w:rPr>
              <w:t>”</w:t>
            </w:r>
          </w:p>
          <w:p w14:paraId="43C5A1AC" w14:textId="34DF4A75" w:rsidR="00D172A7" w:rsidRPr="00D172A7" w:rsidRDefault="00D172A7" w:rsidP="00D172A7">
            <w:pPr>
              <w:rPr>
                <w:lang w:val="sv-SE" w:eastAsia="zh-CN"/>
              </w:rPr>
            </w:pPr>
            <w:r>
              <w:rPr>
                <w:lang w:val="sv-SE" w:eastAsia="zh-CN"/>
              </w:rPr>
              <w:t>Also the first deleted bullet in the first ”For” should be visible for tracking.</w:t>
            </w:r>
          </w:p>
        </w:tc>
      </w:tr>
      <w:tr w:rsidR="00FC0D37" w14:paraId="2CAB9E83" w14:textId="77777777" w:rsidTr="00FC0D3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D5C5" w14:textId="0FCEF50E" w:rsidR="00FC0D37" w:rsidRDefault="00FC0D37" w:rsidP="004434BA">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79A0B" w14:textId="0AB4722E" w:rsidR="00FC0D37" w:rsidRDefault="00FC0D37" w:rsidP="004434BA">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sz="4" w:space="0" w:color="auto"/>
              <w:left w:val="single" w:sz="4" w:space="0" w:color="auto"/>
              <w:bottom w:val="single" w:sz="4" w:space="0" w:color="auto"/>
              <w:right w:val="single" w:sz="4" w:space="0" w:color="auto"/>
            </w:tcBorders>
          </w:tcPr>
          <w:p w14:paraId="1E204EA9" w14:textId="77777777" w:rsidR="00FC0D37" w:rsidRDefault="00FC0D37" w:rsidP="004434BA">
            <w:pPr>
              <w:overflowPunct/>
              <w:autoSpaceDE/>
              <w:adjustRightInd/>
              <w:spacing w:after="0"/>
              <w:rPr>
                <w:lang w:val="sv-SE" w:eastAsia="zh-CN"/>
              </w:rPr>
            </w:pPr>
            <w:r>
              <w:rPr>
                <w:rFonts w:hint="eastAsia"/>
                <w:lang w:val="sv-SE" w:eastAsia="zh-CN"/>
              </w:rPr>
              <w:t>A</w:t>
            </w:r>
            <w:r>
              <w:rPr>
                <w:lang w:val="sv-SE" w:eastAsia="zh-CN"/>
              </w:rPr>
              <w:t xml:space="preserve">s QC pointed out, the change for the second ”for” should be what QC suggested. </w:t>
            </w:r>
          </w:p>
          <w:p w14:paraId="3A5D69AB" w14:textId="0E7BC945" w:rsidR="00FC0D37" w:rsidRDefault="00FC0D37" w:rsidP="005947F9">
            <w:pPr>
              <w:overflowPunct/>
              <w:autoSpaceDE/>
              <w:adjustRightInd/>
              <w:spacing w:after="0"/>
              <w:rPr>
                <w:lang w:val="sv-SE" w:eastAsia="zh-CN"/>
              </w:rPr>
            </w:pPr>
            <w:r>
              <w:rPr>
                <w:lang w:val="sv-SE" w:eastAsia="zh-CN"/>
              </w:rPr>
              <w:t xml:space="preserve">Also, we have </w:t>
            </w:r>
            <w:r w:rsidR="005947F9">
              <w:rPr>
                <w:lang w:val="sv-SE" w:eastAsia="zh-CN"/>
              </w:rPr>
              <w:t xml:space="preserve">abbreviation </w:t>
            </w:r>
            <w:r w:rsidR="005947F9">
              <w:rPr>
                <w:lang w:val="sv-SE" w:eastAsia="zh-CN"/>
              </w:rPr>
              <w:t xml:space="preserve">of </w:t>
            </w:r>
            <w:r>
              <w:rPr>
                <w:lang w:val="sv-SE" w:eastAsia="zh-CN"/>
              </w:rPr>
              <w:t>DAPS HO defined in the first pa</w:t>
            </w:r>
            <w:r w:rsidR="00B5158E">
              <w:rPr>
                <w:lang w:val="sv-SE" w:eastAsia="zh-CN"/>
              </w:rPr>
              <w:t>r</w:t>
            </w:r>
            <w:r>
              <w:rPr>
                <w:lang w:val="sv-SE" w:eastAsia="zh-CN"/>
              </w:rPr>
              <w:t>agraph of clause 1</w:t>
            </w:r>
            <w:r w:rsidR="005947F9">
              <w:rPr>
                <w:lang w:val="sv-SE" w:eastAsia="zh-CN"/>
              </w:rPr>
              <w:t xml:space="preserve">5, so ok to have HO in this clause, so the last change of this TP is not necessary. </w:t>
            </w:r>
          </w:p>
        </w:tc>
      </w:tr>
    </w:tbl>
    <w:p w14:paraId="3A5190EF" w14:textId="77777777" w:rsidR="00012800" w:rsidRPr="00D47F35" w:rsidRDefault="00012800">
      <w:pPr>
        <w:pStyle w:val="BodyText"/>
        <w:spacing w:after="0"/>
        <w:rPr>
          <w:rFonts w:ascii="Times New Roman" w:hAnsi="Times New Roman"/>
          <w:sz w:val="22"/>
          <w:szCs w:val="22"/>
          <w:lang w:eastAsia="zh-CN"/>
        </w:rPr>
      </w:pPr>
    </w:p>
    <w:p w14:paraId="510E823E" w14:textId="167F6911" w:rsidR="0044323D" w:rsidRPr="0044323D" w:rsidRDefault="0044323D" w:rsidP="0044323D">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w:t>
      </w:r>
      <w:r>
        <w:rPr>
          <w:rFonts w:ascii="Times New Roman" w:hAnsi="Times New Roman"/>
          <w:b/>
          <w:bCs/>
          <w:sz w:val="22"/>
          <w:szCs w:val="22"/>
          <w:lang w:eastAsia="zh-CN"/>
        </w:rPr>
        <w:t>3</w:t>
      </w:r>
      <w:r w:rsidRPr="0044323D">
        <w:rPr>
          <w:rFonts w:ascii="Times New Roman" w:hAnsi="Times New Roman"/>
          <w:b/>
          <w:bCs/>
          <w:sz w:val="22"/>
          <w:szCs w:val="22"/>
          <w:lang w:eastAsia="zh-CN"/>
        </w:rPr>
        <w:t>)</w:t>
      </w:r>
    </w:p>
    <w:p w14:paraId="45D9D6B4" w14:textId="3839A568" w:rsidR="0044323D" w:rsidRDefault="00F253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The first issue is on which PUSCH capability to utilize for </w:t>
      </w:r>
      <w:r w:rsidR="002A3B42">
        <w:rPr>
          <w:rFonts w:ascii="Times New Roman" w:hAnsi="Times New Roman"/>
          <w:sz w:val="22"/>
          <w:szCs w:val="22"/>
          <w:lang w:eastAsia="zh-CN"/>
        </w:rPr>
        <w:t xml:space="preserve">cancellation if the PUSCH capability for source and target cell is different. The second issue is on </w:t>
      </w:r>
      <w:r w:rsidR="00AF77CD">
        <w:rPr>
          <w:rFonts w:ascii="Times New Roman" w:hAnsi="Times New Roman"/>
          <w:sz w:val="22"/>
          <w:szCs w:val="22"/>
          <w:lang w:eastAsia="zh-CN"/>
        </w:rPr>
        <w:t>symbol level cancellation vs transmission level cancellation for the overlap between PRACH and other channel.</w:t>
      </w:r>
    </w:p>
    <w:p w14:paraId="6EF65860" w14:textId="6335A02F" w:rsidR="0044323D" w:rsidRDefault="0044323D">
      <w:pPr>
        <w:pStyle w:val="BodyText"/>
        <w:spacing w:after="0"/>
        <w:rPr>
          <w:rFonts w:ascii="Times New Roman" w:hAnsi="Times New Roman"/>
          <w:sz w:val="22"/>
          <w:szCs w:val="22"/>
          <w:lang w:eastAsia="zh-CN"/>
        </w:rPr>
      </w:pPr>
    </w:p>
    <w:p w14:paraId="43E65AE0" w14:textId="7F4D920B"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3</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TP#3-1 agreeable?</w:t>
      </w:r>
    </w:p>
    <w:p w14:paraId="0AE68CE3"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2A3B42" w14:paraId="18183269" w14:textId="1F9BE4A1" w:rsidTr="00FB4A7E">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9B78E3F" w14:textId="77777777" w:rsidR="002A3B42" w:rsidRDefault="002A3B42" w:rsidP="004434BA">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1D8E00E" w14:textId="2A845261" w:rsidR="002A3B42" w:rsidRDefault="002A3B42" w:rsidP="004434BA">
            <w:pPr>
              <w:spacing w:after="0"/>
              <w:rPr>
                <w:lang w:val="sv-SE"/>
              </w:rPr>
            </w:pPr>
            <w:r>
              <w:rPr>
                <w:b/>
                <w:bCs/>
                <w:lang w:val="sv-SE"/>
              </w:rPr>
              <w:t>TP#3-1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3A9EB4ED" w14:textId="1291D766" w:rsidR="002A3B42" w:rsidRDefault="002A3B42" w:rsidP="002A3B42">
            <w:pPr>
              <w:spacing w:after="0"/>
              <w:rPr>
                <w:lang w:val="sv-SE"/>
              </w:rPr>
            </w:pPr>
            <w:r>
              <w:rPr>
                <w:rStyle w:val="Strong"/>
                <w:color w:val="000000"/>
                <w:lang w:val="sv-SE"/>
              </w:rPr>
              <w:t>Comments for Q3</w:t>
            </w:r>
          </w:p>
        </w:tc>
      </w:tr>
      <w:tr w:rsidR="002A3B42" w14:paraId="2D670A4E" w14:textId="6D44097D" w:rsidTr="00FB4A7E">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97E5" w14:textId="45843A8A" w:rsidR="002A3B42" w:rsidRDefault="00E0389C" w:rsidP="004434BA">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A1D69" w14:textId="23F7AF94" w:rsidR="002A3B42" w:rsidRDefault="00E0389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662CFF1D" w14:textId="77777777" w:rsidR="002A3B42" w:rsidRDefault="002A3B42" w:rsidP="004434BA">
            <w:pPr>
              <w:overflowPunct/>
              <w:autoSpaceDE/>
              <w:adjustRightInd/>
              <w:spacing w:after="0"/>
              <w:rPr>
                <w:lang w:val="sv-SE" w:eastAsia="zh-CN"/>
              </w:rPr>
            </w:pPr>
          </w:p>
        </w:tc>
      </w:tr>
      <w:tr w:rsidR="00F110FC" w14:paraId="1DDE64E3" w14:textId="77777777" w:rsidTr="00FB4A7E">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1CB8" w14:textId="0815DFAC" w:rsidR="00F110FC" w:rsidRDefault="00F110FC" w:rsidP="004434BA">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7551" w14:textId="3DDE3566" w:rsidR="00F110FC" w:rsidRDefault="00F110F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0478804B" w14:textId="77777777" w:rsidR="00F110FC" w:rsidRDefault="00F110FC" w:rsidP="004434BA">
            <w:pPr>
              <w:overflowPunct/>
              <w:autoSpaceDE/>
              <w:adjustRightInd/>
              <w:spacing w:after="0"/>
              <w:rPr>
                <w:lang w:val="sv-SE" w:eastAsia="zh-CN"/>
              </w:rPr>
            </w:pPr>
          </w:p>
        </w:tc>
      </w:tr>
      <w:tr w:rsidR="00FB4A7E" w14:paraId="37936605" w14:textId="77777777" w:rsidTr="00FB4A7E">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F21A9" w14:textId="2033C72E" w:rsidR="00FB4A7E" w:rsidRDefault="00FB4A7E" w:rsidP="004434BA">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B352D" w14:textId="28909964" w:rsidR="00FB4A7E" w:rsidRDefault="00F060B3" w:rsidP="004434BA">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3263BE97" w14:textId="0A4AA884" w:rsidR="00FB4A7E" w:rsidRDefault="00F060B3" w:rsidP="00F060B3">
            <w:pPr>
              <w:overflowPunct/>
              <w:autoSpaceDE/>
              <w:adjustRightInd/>
              <w:spacing w:after="0"/>
              <w:rPr>
                <w:lang w:val="sv-SE" w:eastAsia="zh-CN"/>
              </w:rPr>
            </w:pPr>
            <w:r>
              <w:rPr>
                <w:rFonts w:hint="eastAsia"/>
                <w:lang w:val="sv-SE" w:eastAsia="zh-CN"/>
              </w:rPr>
              <w:t>W</w:t>
            </w:r>
            <w:r>
              <w:rPr>
                <w:lang w:val="sv-SE"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w:t>
            </w:r>
            <w:r>
              <w:rPr>
                <w:lang w:eastAsia="zh-TW"/>
              </w:rPr>
              <w:lastRenderedPageBreak/>
              <w:t xml:space="preserve">corresponding to 2 symbols for SCS configuration </w:t>
            </w:r>
            <m:oMath>
              <m:r>
                <w:rPr>
                  <w:rFonts w:ascii="Cambria Math" w:hAnsi="Cambria Math"/>
                  <w:lang w:eastAsia="zh-TW"/>
                </w:rPr>
                <m:t>μ</m:t>
              </m:r>
            </m:oMath>
            <w:r>
              <w:rPr>
                <w:lang w:eastAsia="zh-TW"/>
              </w:rPr>
              <w:t xml:space="preserve">, </w:t>
            </w:r>
            <w:r w:rsidRPr="00F060B3">
              <w:rPr>
                <w:highlight w:val="yellow"/>
                <w:lang w:eastAsia="zh-TW"/>
              </w:rPr>
              <w:t xml:space="preserve">and </w:t>
            </w:r>
            <m:oMath>
              <m:r>
                <w:rPr>
                  <w:rFonts w:ascii="Cambria Math" w:hAnsi="Cambria Math"/>
                  <w:highlight w:val="yellow"/>
                  <w:lang w:eastAsia="zh-TW"/>
                </w:rPr>
                <m:t>μ</m:t>
              </m:r>
            </m:oMath>
            <w:r w:rsidRPr="00F060B3">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val="sv-SE" w:eastAsia="zh-CN"/>
              </w:rPr>
              <w:t>” I supposed the yellow highlighted aims to achieve the same goal as the proposed TP. No?</w:t>
            </w:r>
          </w:p>
        </w:tc>
      </w:tr>
    </w:tbl>
    <w:p w14:paraId="65031EE9" w14:textId="77777777" w:rsidR="00012800" w:rsidRDefault="00012800" w:rsidP="00012800">
      <w:pPr>
        <w:pStyle w:val="BodyText"/>
        <w:spacing w:after="0"/>
        <w:rPr>
          <w:rFonts w:ascii="Times New Roman" w:hAnsi="Times New Roman"/>
          <w:sz w:val="22"/>
          <w:szCs w:val="22"/>
          <w:lang w:eastAsia="zh-CN"/>
        </w:rPr>
      </w:pPr>
    </w:p>
    <w:p w14:paraId="64847FC3" w14:textId="4A265825" w:rsidR="00012800" w:rsidRDefault="00012800">
      <w:pPr>
        <w:pStyle w:val="BodyText"/>
        <w:spacing w:after="0"/>
        <w:rPr>
          <w:rFonts w:ascii="Times New Roman" w:hAnsi="Times New Roman"/>
          <w:sz w:val="22"/>
          <w:szCs w:val="22"/>
          <w:lang w:eastAsia="zh-CN"/>
        </w:rPr>
      </w:pPr>
    </w:p>
    <w:p w14:paraId="5CCE6E32" w14:textId="42654DFA"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4</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TP#3-2 agreeable?</w:t>
      </w:r>
    </w:p>
    <w:p w14:paraId="43C5C2E9"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2A3B42" w14:paraId="1D9C9220" w14:textId="0124B209" w:rsidTr="005E66CA">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4D33E90" w14:textId="77777777" w:rsidR="002A3B42" w:rsidRDefault="002A3B42" w:rsidP="004434BA">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713CC98" w14:textId="03A254CC" w:rsidR="002A3B42" w:rsidRDefault="002A3B42" w:rsidP="004434BA">
            <w:pPr>
              <w:spacing w:after="0"/>
              <w:rPr>
                <w:lang w:val="sv-SE"/>
              </w:rPr>
            </w:pPr>
            <w:r>
              <w:rPr>
                <w:b/>
                <w:bCs/>
                <w:lang w:val="sv-SE"/>
              </w:rPr>
              <w:t>TP#3-2 (</w:t>
            </w:r>
            <w:r w:rsidRPr="002A3B42">
              <w:rPr>
                <w:b/>
                <w:bCs/>
                <w:lang w:val="sv-SE"/>
              </w:rPr>
              <w:t>Yes/No</w:t>
            </w:r>
            <w:r>
              <w:rPr>
                <w:b/>
                <w:bCs/>
                <w:lang w:val="sv-SE"/>
              </w:rPr>
              <w:t>)</w:t>
            </w:r>
          </w:p>
        </w:tc>
        <w:tc>
          <w:tcPr>
            <w:tcW w:w="6757" w:type="dxa"/>
            <w:tcBorders>
              <w:top w:val="single" w:sz="4" w:space="0" w:color="auto"/>
              <w:left w:val="single" w:sz="4" w:space="0" w:color="auto"/>
              <w:bottom w:val="single" w:sz="4" w:space="0" w:color="auto"/>
              <w:right w:val="single" w:sz="4" w:space="0" w:color="auto"/>
            </w:tcBorders>
            <w:shd w:val="clear" w:color="auto" w:fill="FBE4D5"/>
          </w:tcPr>
          <w:p w14:paraId="77CEC26E" w14:textId="71953E57" w:rsidR="002A3B42" w:rsidRDefault="002A3B42" w:rsidP="002A3B42">
            <w:pPr>
              <w:spacing w:after="0"/>
              <w:rPr>
                <w:lang w:val="sv-SE"/>
              </w:rPr>
            </w:pPr>
            <w:r>
              <w:rPr>
                <w:rStyle w:val="Strong"/>
                <w:color w:val="000000"/>
                <w:lang w:val="sv-SE"/>
              </w:rPr>
              <w:t>Comments for Q4</w:t>
            </w:r>
          </w:p>
        </w:tc>
      </w:tr>
      <w:tr w:rsidR="002A3B42" w14:paraId="037E20B6" w14:textId="39DBBBAC" w:rsidTr="005E66C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A43A" w14:textId="70F0A3B1" w:rsidR="002A3B42" w:rsidRDefault="00E0389C" w:rsidP="004434BA">
            <w:pPr>
              <w:spacing w:after="0"/>
              <w:rPr>
                <w:lang w:val="sv-SE" w:eastAsia="zh-CN"/>
              </w:rPr>
            </w:pPr>
            <w:r>
              <w:rPr>
                <w:lang w:val="sv-SE" w:eastAsia="zh-CN"/>
              </w:rPr>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F0D4D" w14:textId="484E1D33" w:rsidR="002A3B42" w:rsidRDefault="00E0389C" w:rsidP="004434BA">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3DBB7AF2" w14:textId="77777777" w:rsidR="002A3B42" w:rsidRDefault="002A3B42" w:rsidP="004434BA">
            <w:pPr>
              <w:overflowPunct/>
              <w:autoSpaceDE/>
              <w:adjustRightInd/>
              <w:spacing w:after="0"/>
              <w:rPr>
                <w:lang w:val="sv-SE" w:eastAsia="zh-CN"/>
              </w:rPr>
            </w:pPr>
          </w:p>
        </w:tc>
      </w:tr>
      <w:tr w:rsidR="006963E9" w14:paraId="6F1115C3" w14:textId="77777777" w:rsidTr="005E66C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C3A19" w14:textId="01C5D2FD" w:rsidR="006963E9" w:rsidRDefault="006963E9" w:rsidP="004434BA">
            <w:pPr>
              <w:spacing w:after="0"/>
              <w:rPr>
                <w:lang w:val="sv-SE" w:eastAsia="zh-CN"/>
              </w:rPr>
            </w:pPr>
            <w:r>
              <w:rPr>
                <w:lang w:val="sv-SE" w:eastAsia="zh-CN"/>
              </w:rPr>
              <w:t>Qualcomm</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DAC91" w14:textId="27671AD3" w:rsidR="006963E9" w:rsidRDefault="006963E9" w:rsidP="004434BA">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5C922E8F" w14:textId="77777777" w:rsidR="006963E9" w:rsidRDefault="006963E9" w:rsidP="004434BA">
            <w:pPr>
              <w:overflowPunct/>
              <w:autoSpaceDE/>
              <w:adjustRightInd/>
              <w:spacing w:after="0"/>
              <w:rPr>
                <w:lang w:val="sv-SE" w:eastAsia="zh-CN"/>
              </w:rPr>
            </w:pPr>
          </w:p>
        </w:tc>
      </w:tr>
      <w:tr w:rsidR="00F060B3" w14:paraId="1C2BCDC6" w14:textId="77777777" w:rsidTr="005E66C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BC969" w14:textId="41434742" w:rsidR="00F060B3" w:rsidRDefault="00F060B3" w:rsidP="004434BA">
            <w:pPr>
              <w:spacing w:after="0"/>
              <w:rPr>
                <w:lang w:val="sv-SE" w:eastAsia="zh-CN"/>
              </w:rPr>
            </w:pPr>
            <w:r>
              <w:rPr>
                <w:rFonts w:hint="eastAsia"/>
                <w:lang w:val="sv-SE" w:eastAsia="zh-CN"/>
              </w:rPr>
              <w:t>H</w:t>
            </w:r>
            <w:r>
              <w:rPr>
                <w:lang w:val="sv-SE" w:eastAsia="zh-CN"/>
              </w:rPr>
              <w:t>uawei/HiSi</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B01D" w14:textId="1E97B7CC" w:rsidR="00F060B3" w:rsidRDefault="00F060B3" w:rsidP="004434BA">
            <w:pPr>
              <w:overflowPunct/>
              <w:autoSpaceDE/>
              <w:adjustRightInd/>
              <w:spacing w:after="0"/>
              <w:rPr>
                <w:lang w:val="sv-SE" w:eastAsia="zh-CN"/>
              </w:rPr>
            </w:pPr>
            <w:r>
              <w:rPr>
                <w:rFonts w:hint="eastAsia"/>
                <w:lang w:val="sv-SE" w:eastAsia="zh-CN"/>
              </w:rPr>
              <w:t>Y</w:t>
            </w:r>
            <w:r>
              <w:rPr>
                <w:lang w:val="sv-SE" w:eastAsia="zh-CN"/>
              </w:rPr>
              <w:t>es</w:t>
            </w:r>
            <w:bookmarkStart w:id="1" w:name="_GoBack"/>
            <w:bookmarkEnd w:id="1"/>
          </w:p>
        </w:tc>
        <w:tc>
          <w:tcPr>
            <w:tcW w:w="6757" w:type="dxa"/>
            <w:tcBorders>
              <w:top w:val="single" w:sz="4" w:space="0" w:color="auto"/>
              <w:left w:val="single" w:sz="4" w:space="0" w:color="auto"/>
              <w:bottom w:val="single" w:sz="4" w:space="0" w:color="auto"/>
              <w:right w:val="single" w:sz="4" w:space="0" w:color="auto"/>
            </w:tcBorders>
          </w:tcPr>
          <w:p w14:paraId="7F1322D2" w14:textId="77777777" w:rsidR="00F060B3" w:rsidRDefault="00F060B3" w:rsidP="004434BA">
            <w:pPr>
              <w:overflowPunct/>
              <w:autoSpaceDE/>
              <w:adjustRightInd/>
              <w:spacing w:after="0"/>
              <w:rPr>
                <w:lang w:val="sv-SE" w:eastAsia="zh-CN"/>
              </w:rPr>
            </w:pPr>
          </w:p>
        </w:tc>
      </w:tr>
    </w:tbl>
    <w:p w14:paraId="18B9A283" w14:textId="77777777" w:rsidR="00012800" w:rsidRDefault="00012800" w:rsidP="00012800">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1F788F61" w:rsidR="00E3111B" w:rsidRPr="00752459"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p w14:paraId="6F214969" w14:textId="118AAE6E" w:rsidR="00752459" w:rsidRDefault="00752459">
      <w:pPr>
        <w:pStyle w:val="ListParagraph"/>
        <w:numPr>
          <w:ilvl w:val="0"/>
          <w:numId w:val="7"/>
        </w:numPr>
        <w:ind w:left="450" w:hanging="450"/>
        <w:rPr>
          <w:lang w:eastAsia="zh-CN"/>
        </w:rPr>
      </w:pPr>
      <w:r>
        <w:rPr>
          <w:rFonts w:eastAsia="Calibri"/>
          <w:lang w:eastAsia="zh-CN"/>
        </w:rPr>
        <w:t>R1-2008871, “</w:t>
      </w:r>
      <w:r w:rsidR="002C62F0" w:rsidRPr="002C62F0">
        <w:rPr>
          <w:rFonts w:eastAsia="Calibri"/>
          <w:lang w:eastAsia="zh-CN"/>
        </w:rPr>
        <w:t>Pre-meeting Issue Summary for NR Mobility Enhancements</w:t>
      </w:r>
      <w:r w:rsidR="002C62F0">
        <w:rPr>
          <w:rFonts w:eastAsia="Calibri"/>
          <w:lang w:eastAsia="zh-CN"/>
        </w:rPr>
        <w:t>,” Moderator (Intel Co</w:t>
      </w:r>
      <w:r w:rsidR="000D6702">
        <w:rPr>
          <w:rFonts w:eastAsia="Calibri"/>
          <w:lang w:eastAsia="zh-CN"/>
        </w:rPr>
        <w:t>r</w:t>
      </w:r>
      <w:r w:rsidR="002C62F0">
        <w:rPr>
          <w:rFonts w:eastAsia="Calibri"/>
          <w:lang w:eastAsia="zh-CN"/>
        </w:rPr>
        <w:t>poration)</w:t>
      </w:r>
    </w:p>
    <w:sectPr w:rsidR="00752459">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D97C4" w14:textId="77777777" w:rsidR="00C7244C" w:rsidRDefault="00C7244C">
      <w:pPr>
        <w:spacing w:after="0" w:line="240" w:lineRule="auto"/>
      </w:pPr>
      <w:r>
        <w:separator/>
      </w:r>
    </w:p>
  </w:endnote>
  <w:endnote w:type="continuationSeparator" w:id="0">
    <w:p w14:paraId="13C31C01" w14:textId="77777777" w:rsidR="00C7244C" w:rsidRDefault="00C7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sidR="005E66CA">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66CA">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77173" w14:textId="77777777" w:rsidR="00C7244C" w:rsidRDefault="00C7244C">
      <w:pPr>
        <w:spacing w:after="0" w:line="240" w:lineRule="auto"/>
      </w:pPr>
      <w:r>
        <w:separator/>
      </w:r>
    </w:p>
  </w:footnote>
  <w:footnote w:type="continuationSeparator" w:id="0">
    <w:p w14:paraId="5CC6D6E3" w14:textId="77777777" w:rsidR="00C7244C" w:rsidRDefault="00C7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1CB90F9D"/>
    <w:multiLevelType w:val="hybridMultilevel"/>
    <w:tmpl w:val="D34C9740"/>
    <w:lvl w:ilvl="0" w:tplc="35A8E1A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8"/>
  </w:num>
  <w:num w:numId="8">
    <w:abstractNumId w:val="1"/>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54A04"/>
    <w:rsid w:val="00161CEF"/>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FD2BD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2DD5AA-D032-403B-AE43-BA65E1E79326}">
  <ds:schemaRefs>
    <ds:schemaRef ds:uri="http://schemas.openxmlformats.org/officeDocument/2006/bibliography"/>
  </ds:schemaRefs>
</ds:datastoreItem>
</file>

<file path=customXml/itemProps7.xml><?xml version="1.0" encoding="utf-8"?>
<ds:datastoreItem xmlns:ds="http://schemas.openxmlformats.org/officeDocument/2006/customXml" ds:itemID="{9B456A51-7512-467A-BD3F-33EBA622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69</TotalTime>
  <Pages>5</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Xiajinhuan</cp:lastModifiedBy>
  <cp:revision>11</cp:revision>
  <cp:lastPrinted>2011-11-09T07:49:00Z</cp:lastPrinted>
  <dcterms:created xsi:type="dcterms:W3CDTF">2020-10-26T18:06:00Z</dcterms:created>
  <dcterms:modified xsi:type="dcterms:W3CDTF">2020-10-27T05:18:00Z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