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99A4B" w14:textId="7B207163" w:rsidR="00E307C5" w:rsidRPr="00DA12F7" w:rsidRDefault="00E307C5" w:rsidP="00E307C5">
      <w:pPr>
        <w:tabs>
          <w:tab w:val="right" w:pos="9630"/>
        </w:tabs>
        <w:spacing w:after="0"/>
      </w:pPr>
      <w:r w:rsidRPr="00DA12F7">
        <w:rPr>
          <w:rFonts w:ascii="Arial" w:hAnsi="Arial" w:cs="Arial"/>
          <w:b/>
          <w:sz w:val="24"/>
        </w:rPr>
        <w:t xml:space="preserve">3GPP TSG RAN WG1 </w:t>
      </w:r>
      <w:r w:rsidR="006E610E">
        <w:rPr>
          <w:rFonts w:ascii="Arial" w:hAnsi="Arial" w:cs="Arial"/>
          <w:b/>
          <w:sz w:val="24"/>
        </w:rPr>
        <w:t xml:space="preserve">Meeting </w:t>
      </w:r>
      <w:r>
        <w:rPr>
          <w:rFonts w:ascii="Arial" w:hAnsi="Arial" w:cs="Arial"/>
          <w:b/>
          <w:sz w:val="24"/>
        </w:rPr>
        <w:t>#</w:t>
      </w:r>
      <w:r w:rsidR="006E610E">
        <w:rPr>
          <w:rFonts w:ascii="Arial" w:hAnsi="Arial" w:cs="Arial"/>
          <w:b/>
          <w:sz w:val="24"/>
        </w:rPr>
        <w:t>10</w:t>
      </w:r>
      <w:r w:rsidR="00BF4881">
        <w:rPr>
          <w:rFonts w:ascii="Arial" w:hAnsi="Arial" w:cs="Arial"/>
          <w:b/>
          <w:sz w:val="24"/>
        </w:rPr>
        <w:t>3</w:t>
      </w:r>
      <w:r w:rsidR="00B92189">
        <w:rPr>
          <w:rFonts w:ascii="Arial" w:hAnsi="Arial" w:cs="Arial"/>
          <w:b/>
          <w:sz w:val="24"/>
        </w:rPr>
        <w:t>-</w:t>
      </w:r>
      <w:r w:rsidR="006478E6">
        <w:rPr>
          <w:rFonts w:ascii="Arial" w:hAnsi="Arial" w:cs="Arial"/>
          <w:b/>
          <w:sz w:val="24"/>
        </w:rPr>
        <w:t>e</w:t>
      </w:r>
      <w:r w:rsidRPr="00DA12F7">
        <w:rPr>
          <w:rFonts w:ascii="Arial" w:hAnsi="Arial" w:cs="Arial"/>
          <w:b/>
          <w:sz w:val="24"/>
        </w:rPr>
        <w:tab/>
      </w:r>
      <w:r w:rsidR="007E2252" w:rsidRPr="007E2252">
        <w:rPr>
          <w:rFonts w:ascii="Arial" w:hAnsi="Arial" w:cs="Arial"/>
          <w:b/>
          <w:sz w:val="24"/>
        </w:rPr>
        <w:t>R1-20</w:t>
      </w:r>
      <w:r w:rsidR="00D96F51">
        <w:rPr>
          <w:rFonts w:ascii="Arial" w:hAnsi="Arial" w:cs="Arial"/>
          <w:b/>
          <w:sz w:val="24"/>
        </w:rPr>
        <w:t>09108</w:t>
      </w:r>
    </w:p>
    <w:p w14:paraId="1131045E" w14:textId="1A1B9164" w:rsidR="00E307C5" w:rsidRPr="00DA12F7" w:rsidRDefault="00B92189" w:rsidP="00E307C5">
      <w:pPr>
        <w:tabs>
          <w:tab w:val="right" w:pos="9630"/>
        </w:tabs>
        <w:spacing w:after="0"/>
        <w:rPr>
          <w:rFonts w:ascii="Arial" w:hAnsi="Arial" w:cs="Arial"/>
          <w:b/>
          <w:sz w:val="24"/>
          <w:szCs w:val="24"/>
        </w:rPr>
      </w:pPr>
      <w:r>
        <w:rPr>
          <w:rFonts w:ascii="Arial" w:hAnsi="Arial" w:cs="Arial"/>
          <w:b/>
          <w:sz w:val="24"/>
          <w:szCs w:val="24"/>
        </w:rPr>
        <w:t>e-</w:t>
      </w:r>
      <w:r w:rsidR="006478E6">
        <w:rPr>
          <w:rFonts w:ascii="Arial" w:hAnsi="Arial" w:cs="Arial"/>
          <w:b/>
          <w:sz w:val="24"/>
          <w:szCs w:val="24"/>
        </w:rPr>
        <w:t>Meeting</w:t>
      </w:r>
      <w:r w:rsidR="00E307C5">
        <w:rPr>
          <w:rFonts w:ascii="Arial" w:hAnsi="Arial" w:cs="Arial"/>
          <w:b/>
          <w:sz w:val="24"/>
          <w:szCs w:val="24"/>
        </w:rPr>
        <w:t xml:space="preserve">, </w:t>
      </w:r>
      <w:r w:rsidR="00BF4881">
        <w:rPr>
          <w:rFonts w:ascii="Arial" w:hAnsi="Arial" w:cs="Arial"/>
          <w:b/>
          <w:sz w:val="24"/>
          <w:szCs w:val="24"/>
        </w:rPr>
        <w:t>October</w:t>
      </w:r>
      <w:r w:rsidR="00E307C5">
        <w:rPr>
          <w:rFonts w:ascii="Arial" w:hAnsi="Arial" w:cs="Arial"/>
          <w:b/>
          <w:sz w:val="24"/>
          <w:szCs w:val="24"/>
        </w:rPr>
        <w:t xml:space="preserve"> </w:t>
      </w:r>
      <w:r w:rsidR="00BF4881">
        <w:rPr>
          <w:rFonts w:ascii="Arial" w:hAnsi="Arial" w:cs="Arial"/>
          <w:b/>
          <w:sz w:val="24"/>
          <w:szCs w:val="24"/>
        </w:rPr>
        <w:t>26</w:t>
      </w:r>
      <w:r w:rsidR="00E307C5" w:rsidRPr="00116328">
        <w:rPr>
          <w:rFonts w:ascii="Arial" w:hAnsi="Arial" w:cs="Arial"/>
          <w:b/>
          <w:sz w:val="24"/>
          <w:szCs w:val="24"/>
          <w:vertAlign w:val="superscript"/>
        </w:rPr>
        <w:t>t</w:t>
      </w:r>
      <w:r w:rsidR="003C78A0">
        <w:rPr>
          <w:rFonts w:ascii="Arial" w:hAnsi="Arial" w:cs="Arial"/>
          <w:b/>
          <w:sz w:val="24"/>
          <w:szCs w:val="24"/>
          <w:vertAlign w:val="superscript"/>
        </w:rPr>
        <w:t>h</w:t>
      </w:r>
      <w:r w:rsidR="00E307C5">
        <w:rPr>
          <w:rFonts w:ascii="Arial" w:hAnsi="Arial" w:cs="Arial"/>
          <w:b/>
          <w:sz w:val="24"/>
          <w:szCs w:val="24"/>
        </w:rPr>
        <w:t xml:space="preserve"> – </w:t>
      </w:r>
      <w:proofErr w:type="spellStart"/>
      <w:r w:rsidR="00BF4881">
        <w:rPr>
          <w:rFonts w:ascii="Arial" w:hAnsi="Arial" w:cs="Arial"/>
          <w:b/>
          <w:sz w:val="24"/>
          <w:szCs w:val="24"/>
        </w:rPr>
        <w:t>Novermber</w:t>
      </w:r>
      <w:proofErr w:type="spellEnd"/>
      <w:r w:rsidR="00BF4881">
        <w:rPr>
          <w:rFonts w:ascii="Arial" w:hAnsi="Arial" w:cs="Arial"/>
          <w:b/>
          <w:sz w:val="24"/>
          <w:szCs w:val="24"/>
        </w:rPr>
        <w:t xml:space="preserve"> 13</w:t>
      </w:r>
      <w:r w:rsidR="00E307C5">
        <w:rPr>
          <w:rFonts w:ascii="Arial" w:hAnsi="Arial" w:cs="Arial"/>
          <w:b/>
          <w:sz w:val="24"/>
          <w:szCs w:val="24"/>
          <w:vertAlign w:val="superscript"/>
        </w:rPr>
        <w:t>t</w:t>
      </w:r>
      <w:r w:rsidR="006E610E">
        <w:rPr>
          <w:rFonts w:ascii="Arial" w:hAnsi="Arial" w:cs="Arial"/>
          <w:b/>
          <w:sz w:val="24"/>
          <w:szCs w:val="24"/>
          <w:vertAlign w:val="superscript"/>
        </w:rPr>
        <w:t>h</w:t>
      </w:r>
      <w:r w:rsidR="006E610E">
        <w:rPr>
          <w:rFonts w:ascii="Arial" w:hAnsi="Arial" w:cs="Arial"/>
          <w:b/>
          <w:sz w:val="24"/>
          <w:szCs w:val="24"/>
        </w:rPr>
        <w:t xml:space="preserve"> 2020</w:t>
      </w:r>
    </w:p>
    <w:p w14:paraId="20814AD0"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1B1FDE0A" w14:textId="77777777"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6E610E">
        <w:rPr>
          <w:rFonts w:ascii="Arial" w:hAnsi="Arial"/>
          <w:sz w:val="24"/>
        </w:rPr>
        <w:t>8.10.</w:t>
      </w:r>
      <w:r w:rsidR="0050242A">
        <w:rPr>
          <w:rFonts w:ascii="Arial" w:hAnsi="Arial"/>
          <w:sz w:val="24"/>
        </w:rPr>
        <w:t>1</w:t>
      </w:r>
    </w:p>
    <w:p w14:paraId="3095DC42" w14:textId="43EBC68A" w:rsidR="0068226B" w:rsidRPr="006E610E" w:rsidRDefault="0068226B" w:rsidP="00382B96">
      <w:pPr>
        <w:tabs>
          <w:tab w:val="left" w:pos="1985"/>
        </w:tabs>
        <w:rPr>
          <w:rFonts w:ascii="Arial" w:hAnsi="Arial"/>
        </w:rPr>
      </w:pPr>
      <w:r w:rsidRPr="00CC27F5">
        <w:rPr>
          <w:rFonts w:ascii="Arial" w:hAnsi="Arial"/>
          <w:b/>
          <w:sz w:val="24"/>
        </w:rPr>
        <w:t xml:space="preserve">Source: </w:t>
      </w:r>
      <w:r w:rsidRPr="00CC27F5">
        <w:rPr>
          <w:rFonts w:ascii="Arial" w:hAnsi="Arial"/>
          <w:b/>
          <w:sz w:val="24"/>
        </w:rPr>
        <w:tab/>
      </w:r>
      <w:r w:rsidR="006E610E" w:rsidRPr="00B92189">
        <w:rPr>
          <w:rFonts w:ascii="Arial" w:hAnsi="Arial"/>
          <w:sz w:val="24"/>
          <w:szCs w:val="24"/>
        </w:rPr>
        <w:t>Lenovo</w:t>
      </w:r>
      <w:r w:rsidR="00DE67B4" w:rsidRPr="00B92189">
        <w:rPr>
          <w:rFonts w:ascii="Arial" w:hAnsi="Arial"/>
          <w:sz w:val="24"/>
          <w:szCs w:val="24"/>
        </w:rPr>
        <w:t>, Motorola Mobility</w:t>
      </w:r>
    </w:p>
    <w:p w14:paraId="002F936B" w14:textId="79CE0943"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rPr>
        <w:tab/>
      </w:r>
      <w:r w:rsidR="00B27F0A" w:rsidRPr="00B92189">
        <w:rPr>
          <w:rFonts w:ascii="Arial" w:hAnsi="Arial"/>
          <w:sz w:val="24"/>
          <w:szCs w:val="24"/>
        </w:rPr>
        <w:t>Enhancements to resource multiplexing for IAB</w:t>
      </w:r>
    </w:p>
    <w:p w14:paraId="3C370F44"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275181AB" w14:textId="09ADE34E" w:rsidR="00491EEE" w:rsidRDefault="00FD6A3D" w:rsidP="00491EEE">
      <w:pPr>
        <w:pStyle w:val="Heading1"/>
      </w:pPr>
      <w:r w:rsidRPr="00CC27F5">
        <w:tab/>
      </w:r>
      <w:r w:rsidR="00B209B5" w:rsidRPr="00CC27F5">
        <w:t>Introduction</w:t>
      </w:r>
    </w:p>
    <w:p w14:paraId="53E2F8CA" w14:textId="7F163B17" w:rsidR="008A23DF" w:rsidRDefault="00076C21" w:rsidP="008A23DF">
      <w:pPr>
        <w:rPr>
          <w:lang w:val="en-GB"/>
        </w:rPr>
      </w:pPr>
      <w:r>
        <w:t>RAN1 started working on a</w:t>
      </w:r>
      <w:r w:rsidR="00C12D59">
        <w:t xml:space="preserve"> </w:t>
      </w:r>
      <w:r>
        <w:t xml:space="preserve">new WI on enhancements for IAB </w:t>
      </w:r>
      <w:r w:rsidR="00707C06">
        <w:fldChar w:fldCharType="begin"/>
      </w:r>
      <w:r w:rsidR="00707C06">
        <w:instrText xml:space="preserve"> REF _Ref30751908 \r \h </w:instrText>
      </w:r>
      <w:r w:rsidR="00707C06">
        <w:fldChar w:fldCharType="separate"/>
      </w:r>
      <w:r w:rsidR="00C83FEB">
        <w:rPr>
          <w:rFonts w:hint="cs"/>
          <w:cs/>
        </w:rPr>
        <w:t>‎</w:t>
      </w:r>
      <w:r w:rsidR="00C83FEB">
        <w:t>[1]</w:t>
      </w:r>
      <w:r w:rsidR="00707C06">
        <w:fldChar w:fldCharType="end"/>
      </w:r>
      <w:r w:rsidR="00304F48">
        <w:fldChar w:fldCharType="begin"/>
      </w:r>
      <w:r w:rsidR="00304F48">
        <w:instrText xml:space="preserve"> REF _Ref47520968 \r \h </w:instrText>
      </w:r>
      <w:r w:rsidR="00304F48">
        <w:fldChar w:fldCharType="separate"/>
      </w:r>
      <w:r w:rsidR="00C83FEB">
        <w:rPr>
          <w:rFonts w:hint="cs"/>
          <w:cs/>
        </w:rPr>
        <w:t>‎</w:t>
      </w:r>
      <w:r w:rsidR="00C83FEB">
        <w:t>[2]</w:t>
      </w:r>
      <w:r w:rsidR="00304F48">
        <w:fldChar w:fldCharType="end"/>
      </w:r>
      <w:r>
        <w:t xml:space="preserve"> in RAN1#102-e</w:t>
      </w:r>
      <w:r w:rsidR="008A23DF">
        <w:t xml:space="preserve">. </w:t>
      </w:r>
      <w:r w:rsidR="008A23DF">
        <w:rPr>
          <w:lang w:val="en-GB"/>
        </w:rPr>
        <w:t>The main focus of IAB specification in Rel-16 was on TDM between communications of an IAB node with its child and parent IAB nodes. An enhancement considered for IAB specification in Rel-17 is to facilitate FDM/SDM between upstream and downstream operations.</w:t>
      </w:r>
    </w:p>
    <w:p w14:paraId="456F4C29" w14:textId="080273C0" w:rsidR="008A23DF" w:rsidRDefault="008A23DF" w:rsidP="008A23DF">
      <w:pPr>
        <w:rPr>
          <w:lang w:val="en-GB"/>
        </w:rPr>
      </w:pPr>
      <w:r>
        <w:rPr>
          <w:lang w:val="en-GB"/>
        </w:rPr>
        <w:t xml:space="preserve">The following cases of simultaneous operations were identified in RAN1#102-e </w:t>
      </w:r>
      <w:r>
        <w:rPr>
          <w:lang w:val="en-GB"/>
        </w:rPr>
        <w:fldChar w:fldCharType="begin"/>
      </w:r>
      <w:r>
        <w:rPr>
          <w:lang w:val="en-GB"/>
        </w:rPr>
        <w:instrText xml:space="preserve"> REF _Ref54186872 \r \h </w:instrText>
      </w:r>
      <w:r>
        <w:rPr>
          <w:lang w:val="en-GB"/>
        </w:rPr>
      </w:r>
      <w:r>
        <w:rPr>
          <w:lang w:val="en-GB"/>
        </w:rPr>
        <w:fldChar w:fldCharType="separate"/>
      </w:r>
      <w:r w:rsidR="00C83FEB">
        <w:rPr>
          <w:rFonts w:hint="cs"/>
          <w:cs/>
          <w:lang w:val="en-GB"/>
        </w:rPr>
        <w:t>‎</w:t>
      </w:r>
      <w:r w:rsidR="00C83FEB">
        <w:rPr>
          <w:lang w:val="en-GB"/>
        </w:rPr>
        <w:t>[3]</w:t>
      </w:r>
      <w:r>
        <w:rPr>
          <w:lang w:val="en-GB"/>
        </w:rPr>
        <w:fldChar w:fldCharType="end"/>
      </w:r>
      <w:r>
        <w:rPr>
          <w:lang w:val="en-GB"/>
        </w:rPr>
        <w:t>:</w:t>
      </w:r>
    </w:p>
    <w:tbl>
      <w:tblPr>
        <w:tblStyle w:val="TableGrid"/>
        <w:tblW w:w="0" w:type="auto"/>
        <w:tblLook w:val="04A0" w:firstRow="1" w:lastRow="0" w:firstColumn="1" w:lastColumn="0" w:noHBand="0" w:noVBand="1"/>
      </w:tblPr>
      <w:tblGrid>
        <w:gridCol w:w="9855"/>
      </w:tblGrid>
      <w:tr w:rsidR="008A23DF" w14:paraId="696EA5B6" w14:textId="77777777" w:rsidTr="00D02502">
        <w:tc>
          <w:tcPr>
            <w:tcW w:w="9855" w:type="dxa"/>
          </w:tcPr>
          <w:p w14:paraId="59C9AC44" w14:textId="77777777" w:rsidR="008A23DF" w:rsidRDefault="008A23DF" w:rsidP="00D02502">
            <w:pPr>
              <w:rPr>
                <w:rFonts w:eastAsia="Calibri" w:cs="Times"/>
                <w:b/>
                <w:bCs/>
                <w:szCs w:val="20"/>
                <w:highlight w:val="green"/>
              </w:rPr>
            </w:pPr>
            <w:r>
              <w:rPr>
                <w:rFonts w:eastAsia="Calibri" w:cs="Times"/>
                <w:b/>
                <w:bCs/>
                <w:szCs w:val="20"/>
                <w:highlight w:val="green"/>
              </w:rPr>
              <w:t>Agreement</w:t>
            </w:r>
          </w:p>
          <w:p w14:paraId="28E291B5" w14:textId="77777777" w:rsidR="008A23DF" w:rsidRDefault="008A23DF" w:rsidP="00D02502">
            <w:pPr>
              <w:pStyle w:val="ListParagraph"/>
              <w:numPr>
                <w:ilvl w:val="0"/>
                <w:numId w:val="26"/>
              </w:numPr>
              <w:spacing w:before="0" w:after="0" w:line="240" w:lineRule="auto"/>
              <w:rPr>
                <w:rFonts w:eastAsia="Calibri" w:cs="Times"/>
                <w:szCs w:val="20"/>
              </w:rPr>
            </w:pPr>
            <w:r>
              <w:rPr>
                <w:rFonts w:eastAsia="Calibri" w:cs="Times"/>
                <w:szCs w:val="20"/>
              </w:rPr>
              <w:t>Based on the WID, the following multiplexing cases are in scope for potential support in Rel-17:</w:t>
            </w:r>
          </w:p>
          <w:p w14:paraId="16FCA0E7" w14:textId="77777777" w:rsidR="008A23DF" w:rsidRDefault="008A23DF" w:rsidP="00D02502">
            <w:pPr>
              <w:pStyle w:val="ListParagraph"/>
              <w:numPr>
                <w:ilvl w:val="1"/>
                <w:numId w:val="26"/>
              </w:numPr>
              <w:spacing w:before="0" w:after="0" w:line="240" w:lineRule="auto"/>
              <w:rPr>
                <w:rFonts w:eastAsia="Batang" w:cs="Times"/>
                <w:color w:val="000000"/>
                <w:szCs w:val="20"/>
              </w:rPr>
            </w:pPr>
            <w:r>
              <w:rPr>
                <w:rFonts w:cs="Times"/>
                <w:color w:val="000000"/>
                <w:szCs w:val="20"/>
              </w:rPr>
              <w:t xml:space="preserve">Multiplexing Case A: Simultaneous MT-Tx/DU-Tx </w:t>
            </w:r>
          </w:p>
          <w:p w14:paraId="74B570B7" w14:textId="77777777" w:rsidR="008A23DF" w:rsidRDefault="008A23DF" w:rsidP="00D02502">
            <w:pPr>
              <w:pStyle w:val="ListParagraph"/>
              <w:numPr>
                <w:ilvl w:val="1"/>
                <w:numId w:val="26"/>
              </w:numPr>
              <w:spacing w:before="0" w:after="0" w:line="240" w:lineRule="auto"/>
              <w:rPr>
                <w:rFonts w:cs="Times"/>
                <w:color w:val="000000"/>
                <w:szCs w:val="20"/>
              </w:rPr>
            </w:pPr>
            <w:r>
              <w:rPr>
                <w:rFonts w:cs="Times"/>
                <w:color w:val="000000"/>
                <w:szCs w:val="20"/>
              </w:rPr>
              <w:t xml:space="preserve">Multiplexing Case B: Simultaneous MT-Rx/DU-Rx </w:t>
            </w:r>
          </w:p>
          <w:p w14:paraId="6FB22286" w14:textId="77777777" w:rsidR="008A23DF" w:rsidRDefault="008A23DF" w:rsidP="00D02502">
            <w:pPr>
              <w:pStyle w:val="ListParagraph"/>
              <w:numPr>
                <w:ilvl w:val="1"/>
                <w:numId w:val="26"/>
              </w:numPr>
              <w:spacing w:before="0" w:after="0" w:line="240" w:lineRule="auto"/>
              <w:rPr>
                <w:rFonts w:cs="Times"/>
                <w:color w:val="000000"/>
                <w:szCs w:val="20"/>
              </w:rPr>
            </w:pPr>
            <w:r>
              <w:rPr>
                <w:rFonts w:cs="Times"/>
                <w:color w:val="000000"/>
                <w:szCs w:val="20"/>
              </w:rPr>
              <w:t xml:space="preserve">Multiplexing Case C: Simultaneous MT-Rx/DU-Tx </w:t>
            </w:r>
          </w:p>
          <w:p w14:paraId="1FE36D3C" w14:textId="77777777" w:rsidR="008A23DF" w:rsidRDefault="008A23DF" w:rsidP="00D02502">
            <w:pPr>
              <w:pStyle w:val="ListParagraph"/>
              <w:numPr>
                <w:ilvl w:val="1"/>
                <w:numId w:val="26"/>
              </w:numPr>
              <w:spacing w:before="0" w:after="0" w:line="240" w:lineRule="auto"/>
              <w:rPr>
                <w:rFonts w:cs="Times"/>
                <w:color w:val="000000"/>
                <w:szCs w:val="20"/>
              </w:rPr>
            </w:pPr>
            <w:r>
              <w:rPr>
                <w:rFonts w:cs="Times"/>
                <w:color w:val="000000"/>
                <w:szCs w:val="20"/>
              </w:rPr>
              <w:t xml:space="preserve">Multiplexing Case D: Simultaneous MT-Tx/DU-Rx </w:t>
            </w:r>
          </w:p>
          <w:p w14:paraId="72E268B1" w14:textId="77777777" w:rsidR="008A23DF" w:rsidRDefault="008A23DF" w:rsidP="00D02502">
            <w:pPr>
              <w:pStyle w:val="ListParagraph"/>
              <w:numPr>
                <w:ilvl w:val="0"/>
                <w:numId w:val="26"/>
              </w:numPr>
              <w:spacing w:before="0" w:after="0" w:line="240" w:lineRule="auto"/>
              <w:rPr>
                <w:rFonts w:cs="Times"/>
                <w:color w:val="000000"/>
                <w:szCs w:val="20"/>
              </w:rPr>
            </w:pPr>
            <w:r>
              <w:rPr>
                <w:rFonts w:cs="Times"/>
                <w:color w:val="000000"/>
                <w:szCs w:val="20"/>
              </w:rPr>
              <w:t xml:space="preserve">Further study for </w:t>
            </w:r>
            <w:proofErr w:type="spellStart"/>
            <w:r>
              <w:rPr>
                <w:rFonts w:cs="Times"/>
                <w:color w:val="000000"/>
                <w:szCs w:val="20"/>
              </w:rPr>
              <w:t>for</w:t>
            </w:r>
            <w:proofErr w:type="spellEnd"/>
            <w:r>
              <w:rPr>
                <w:rFonts w:cs="Times"/>
                <w:color w:val="000000"/>
                <w:szCs w:val="20"/>
              </w:rPr>
              <w:t xml:space="preserve"> Case A and Case B at least the following scenarios:</w:t>
            </w:r>
          </w:p>
          <w:p w14:paraId="72D73C98" w14:textId="77777777" w:rsidR="008A23DF" w:rsidRDefault="008A23DF" w:rsidP="00D02502">
            <w:pPr>
              <w:pStyle w:val="ListParagraph"/>
              <w:numPr>
                <w:ilvl w:val="1"/>
                <w:numId w:val="26"/>
              </w:numPr>
              <w:spacing w:before="0" w:after="0" w:line="240" w:lineRule="auto"/>
              <w:rPr>
                <w:rFonts w:cs="Times"/>
                <w:color w:val="000000"/>
                <w:szCs w:val="20"/>
              </w:rPr>
            </w:pPr>
            <w:r>
              <w:rPr>
                <w:rFonts w:cs="Times"/>
                <w:color w:val="000000"/>
                <w:szCs w:val="20"/>
              </w:rPr>
              <w:t>Single or multi-panel IAB nodes operating in unpaired spectrum (FR1 and FR2 bands)</w:t>
            </w:r>
          </w:p>
          <w:p w14:paraId="463C7B72" w14:textId="77777777" w:rsidR="008A23DF" w:rsidRDefault="008A23DF" w:rsidP="00D02502">
            <w:pPr>
              <w:pStyle w:val="ListParagraph"/>
              <w:numPr>
                <w:ilvl w:val="0"/>
                <w:numId w:val="26"/>
              </w:numPr>
              <w:spacing w:before="0" w:after="0" w:line="240" w:lineRule="auto"/>
              <w:rPr>
                <w:rFonts w:cs="Times"/>
                <w:color w:val="000000"/>
                <w:szCs w:val="20"/>
              </w:rPr>
            </w:pPr>
            <w:r>
              <w:rPr>
                <w:rFonts w:cs="Times"/>
                <w:color w:val="000000"/>
                <w:szCs w:val="20"/>
              </w:rPr>
              <w:t>Further study for Case C and Case D at least for the following scenarios:</w:t>
            </w:r>
          </w:p>
          <w:p w14:paraId="1958915E" w14:textId="77777777" w:rsidR="008A23DF" w:rsidRDefault="008A23DF" w:rsidP="00D02502">
            <w:pPr>
              <w:pStyle w:val="ListParagraph"/>
              <w:numPr>
                <w:ilvl w:val="1"/>
                <w:numId w:val="26"/>
              </w:numPr>
              <w:spacing w:before="0" w:after="0" w:line="240" w:lineRule="auto"/>
              <w:rPr>
                <w:rFonts w:eastAsia="Calibri" w:cs="Times"/>
                <w:szCs w:val="20"/>
              </w:rPr>
            </w:pPr>
            <w:r>
              <w:rPr>
                <w:rFonts w:cs="Times"/>
                <w:color w:val="000000"/>
                <w:szCs w:val="20"/>
              </w:rPr>
              <w:t xml:space="preserve">Multi-panel IAB nodes operating in unpaired spectrum (FR1 and FR2 bands) </w:t>
            </w:r>
          </w:p>
          <w:p w14:paraId="75CD8B87" w14:textId="77777777" w:rsidR="008A23DF" w:rsidRDefault="008A23DF" w:rsidP="00D02502">
            <w:pPr>
              <w:pStyle w:val="ListParagraph"/>
              <w:numPr>
                <w:ilvl w:val="0"/>
                <w:numId w:val="26"/>
              </w:numPr>
              <w:spacing w:before="0" w:after="0" w:line="240" w:lineRule="auto"/>
              <w:rPr>
                <w:lang w:val="en-GB"/>
              </w:rPr>
            </w:pPr>
            <w:r>
              <w:rPr>
                <w:rFonts w:eastAsia="Calibri" w:cs="Times"/>
                <w:szCs w:val="20"/>
              </w:rPr>
              <w:t xml:space="preserve">FFS: </w:t>
            </w:r>
            <w:r w:rsidRPr="00C60D3B">
              <w:rPr>
                <w:rFonts w:cs="Times"/>
                <w:color w:val="000000"/>
                <w:szCs w:val="20"/>
              </w:rPr>
              <w:t>Required</w:t>
            </w:r>
            <w:r>
              <w:rPr>
                <w:rFonts w:eastAsia="Calibri" w:cs="Times"/>
                <w:szCs w:val="20"/>
              </w:rPr>
              <w:t xml:space="preserve"> level of specification impact to support the different cases. Any additional specification support in Rel-17 should be </w:t>
            </w:r>
            <w:r>
              <w:rPr>
                <w:rFonts w:cs="Times"/>
                <w:color w:val="000000"/>
                <w:szCs w:val="20"/>
              </w:rPr>
              <w:t>conditioned on feasibility from an interference and reliability perspective on a per-link and network basis</w:t>
            </w:r>
          </w:p>
        </w:tc>
      </w:tr>
    </w:tbl>
    <w:p w14:paraId="54D83811" w14:textId="77777777" w:rsidR="008A23DF" w:rsidRDefault="008A23DF" w:rsidP="008A23DF">
      <w:pPr>
        <w:rPr>
          <w:lang w:val="en-GB"/>
        </w:rPr>
      </w:pPr>
    </w:p>
    <w:p w14:paraId="05EBD52C" w14:textId="01C2ECFB" w:rsidR="008A23DF" w:rsidRDefault="008A23DF" w:rsidP="008A23DF">
      <w:pPr>
        <w:rPr>
          <w:lang w:val="en-GB"/>
        </w:rPr>
      </w:pPr>
      <w:r>
        <w:rPr>
          <w:lang w:val="en-GB"/>
        </w:rPr>
        <w:t xml:space="preserve">The different cases are illustrated below </w:t>
      </w:r>
      <w:r>
        <w:rPr>
          <w:lang w:val="en-GB"/>
        </w:rPr>
        <w:fldChar w:fldCharType="begin"/>
      </w:r>
      <w:r>
        <w:rPr>
          <w:lang w:val="en-GB"/>
        </w:rPr>
        <w:instrText xml:space="preserve"> REF _Ref54186872 \r \h </w:instrText>
      </w:r>
      <w:r>
        <w:rPr>
          <w:lang w:val="en-GB"/>
        </w:rPr>
      </w:r>
      <w:r>
        <w:rPr>
          <w:lang w:val="en-GB"/>
        </w:rPr>
        <w:fldChar w:fldCharType="separate"/>
      </w:r>
      <w:r w:rsidR="00C83FEB">
        <w:rPr>
          <w:rFonts w:hint="cs"/>
          <w:cs/>
          <w:lang w:val="en-GB"/>
        </w:rPr>
        <w:t>‎</w:t>
      </w:r>
      <w:r w:rsidR="00C83FEB">
        <w:rPr>
          <w:lang w:val="en-GB"/>
        </w:rPr>
        <w:t>[3]</w:t>
      </w:r>
      <w:r>
        <w:rPr>
          <w:lang w:val="en-GB"/>
        </w:rPr>
        <w:fldChar w:fldCharType="end"/>
      </w:r>
      <w:r>
        <w:rPr>
          <w:lang w:val="en-GB"/>
        </w:rPr>
        <w:t>:</w:t>
      </w:r>
    </w:p>
    <w:p w14:paraId="435DA92A" w14:textId="3967E06E" w:rsidR="008A23DF" w:rsidRDefault="002D1A21" w:rsidP="008A23DF">
      <w:pPr>
        <w:pStyle w:val="Figure"/>
      </w:pPr>
      <w:r w:rsidRPr="002D1A21">
        <w:rPr>
          <w:noProof/>
        </w:rPr>
        <w:drawing>
          <wp:inline distT="0" distB="0" distL="0" distR="0" wp14:anchorId="4CD78825" wp14:editId="07C04AAE">
            <wp:extent cx="4096512" cy="23591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96512" cy="2359152"/>
                    </a:xfrm>
                    <a:prstGeom prst="rect">
                      <a:avLst/>
                    </a:prstGeom>
                    <a:noFill/>
                    <a:ln>
                      <a:noFill/>
                    </a:ln>
                  </pic:spPr>
                </pic:pic>
              </a:graphicData>
            </a:graphic>
          </wp:inline>
        </w:drawing>
      </w:r>
    </w:p>
    <w:p w14:paraId="7B2F823A" w14:textId="77777777" w:rsidR="008A23DF" w:rsidRDefault="008A23DF" w:rsidP="008A23DF">
      <w:pPr>
        <w:pStyle w:val="Caption"/>
      </w:pPr>
      <w:bookmarkStart w:id="2" w:name="_Ref54309434"/>
      <w:r>
        <w:t>. Simultaneous operations cases for enhanced IAB</w:t>
      </w:r>
      <w:bookmarkEnd w:id="2"/>
    </w:p>
    <w:p w14:paraId="05F7B3CA" w14:textId="215A442E" w:rsidR="00384735" w:rsidRPr="00B64FBD" w:rsidRDefault="00360C31" w:rsidP="008D0EB5">
      <w:r>
        <w:rPr>
          <w:lang w:val="en-GB"/>
        </w:rPr>
        <w:t xml:space="preserve">Further agreements and notes from the previous meeting are mentioned and </w:t>
      </w:r>
      <w:proofErr w:type="spellStart"/>
      <w:r>
        <w:rPr>
          <w:lang w:val="en-GB"/>
        </w:rPr>
        <w:t>sicussed</w:t>
      </w:r>
      <w:proofErr w:type="spellEnd"/>
      <w:r>
        <w:rPr>
          <w:lang w:val="en-GB"/>
        </w:rPr>
        <w:t xml:space="preserve"> by topic in the next section.</w:t>
      </w:r>
      <w:r w:rsidR="00384735">
        <w:t xml:space="preserve">In </w:t>
      </w:r>
      <w:r w:rsidR="00155593">
        <w:t>this paper,</w:t>
      </w:r>
      <w:r w:rsidR="00384735">
        <w:t xml:space="preserve"> we provide our views on specification of simultaneous operation for an IAB-no</w:t>
      </w:r>
      <w:r w:rsidR="00155593">
        <w:t xml:space="preserve">de’s child and parent links. Then, </w:t>
      </w:r>
      <w:r w:rsidR="00155593">
        <w:lastRenderedPageBreak/>
        <w:t xml:space="preserve">in a companion paper </w:t>
      </w:r>
      <w:r w:rsidR="00155593">
        <w:fldChar w:fldCharType="begin"/>
      </w:r>
      <w:r w:rsidR="00155593">
        <w:instrText xml:space="preserve"> REF _Ref30492464 \r \h </w:instrText>
      </w:r>
      <w:r w:rsidR="00155593">
        <w:fldChar w:fldCharType="separate"/>
      </w:r>
      <w:r w:rsidR="00C83FEB">
        <w:rPr>
          <w:rFonts w:hint="cs"/>
          <w:cs/>
        </w:rPr>
        <w:t>‎</w:t>
      </w:r>
      <w:r w:rsidR="00C83FEB">
        <w:t>[4]</w:t>
      </w:r>
      <w:r w:rsidR="00155593">
        <w:fldChar w:fldCharType="end"/>
      </w:r>
      <w:r w:rsidR="00384735">
        <w:t xml:space="preserve">, we provide our views on specification of other </w:t>
      </w:r>
      <w:r w:rsidR="00393AA5">
        <w:t>features</w:t>
      </w:r>
      <w:r w:rsidR="00384735">
        <w:t xml:space="preserve"> for multiplexing and duplexing </w:t>
      </w:r>
      <w:proofErr w:type="spellStart"/>
      <w:r w:rsidR="00384735">
        <w:t>enhanacements</w:t>
      </w:r>
      <w:proofErr w:type="spellEnd"/>
      <w:r w:rsidR="00384735">
        <w:t>.</w:t>
      </w:r>
    </w:p>
    <w:p w14:paraId="0AB8F4C6" w14:textId="6731ED63" w:rsidR="00B1741F" w:rsidRDefault="00B1741F" w:rsidP="003D3577">
      <w:pPr>
        <w:pStyle w:val="Heading1"/>
      </w:pPr>
      <w:bookmarkStart w:id="3" w:name="_Ref30491904"/>
      <w:bookmarkStart w:id="4" w:name="_Ref30492156"/>
      <w:bookmarkStart w:id="5" w:name="_Ref30491838"/>
      <w:r>
        <w:t>Discussion</w:t>
      </w:r>
    </w:p>
    <w:p w14:paraId="1CE4FB37" w14:textId="3837643C" w:rsidR="008A23DF" w:rsidRDefault="00360C31" w:rsidP="008A23DF">
      <w:pPr>
        <w:rPr>
          <w:lang w:val="en-GB"/>
        </w:rPr>
      </w:pPr>
      <w:r>
        <w:rPr>
          <w:lang w:val="en-GB"/>
        </w:rPr>
        <w:t>The following was agreed in RAN1#102-e [3]:</w:t>
      </w:r>
    </w:p>
    <w:tbl>
      <w:tblPr>
        <w:tblStyle w:val="TableGrid"/>
        <w:tblW w:w="0" w:type="auto"/>
        <w:tblLook w:val="04A0" w:firstRow="1" w:lastRow="0" w:firstColumn="1" w:lastColumn="0" w:noHBand="0" w:noVBand="1"/>
      </w:tblPr>
      <w:tblGrid>
        <w:gridCol w:w="9855"/>
      </w:tblGrid>
      <w:tr w:rsidR="00360C31" w14:paraId="2805B387" w14:textId="77777777" w:rsidTr="00D02502">
        <w:tc>
          <w:tcPr>
            <w:tcW w:w="9855" w:type="dxa"/>
          </w:tcPr>
          <w:p w14:paraId="3304EA95" w14:textId="77777777" w:rsidR="00360C31" w:rsidRDefault="00360C31" w:rsidP="00D02502">
            <w:pPr>
              <w:rPr>
                <w:rFonts w:eastAsia="Calibri" w:cs="Times"/>
                <w:b/>
                <w:bCs/>
                <w:szCs w:val="20"/>
                <w:highlight w:val="green"/>
              </w:rPr>
            </w:pPr>
            <w:r>
              <w:rPr>
                <w:rFonts w:eastAsia="Calibri" w:cs="Times"/>
                <w:b/>
                <w:bCs/>
                <w:szCs w:val="20"/>
                <w:highlight w:val="green"/>
              </w:rPr>
              <w:t>Agreement</w:t>
            </w:r>
          </w:p>
          <w:p w14:paraId="5EA82E51" w14:textId="77777777" w:rsidR="00360C31" w:rsidRDefault="00360C31" w:rsidP="00D02502">
            <w:pPr>
              <w:rPr>
                <w:rFonts w:eastAsia="Calibri" w:cs="Times"/>
                <w:szCs w:val="20"/>
              </w:rPr>
            </w:pPr>
            <w:r>
              <w:rPr>
                <w:rFonts w:eastAsia="Calibri" w:cs="Times"/>
                <w:szCs w:val="20"/>
              </w:rPr>
              <w:t xml:space="preserve">The Rel-16 </w:t>
            </w:r>
            <w:r w:rsidRPr="00BA73CD">
              <w:rPr>
                <w:rFonts w:eastAsia="Calibri" w:cs="Times"/>
                <w:szCs w:val="20"/>
              </w:rPr>
              <w:t>semi-static and dynamic resource allocation mechanisms</w:t>
            </w:r>
            <w:r>
              <w:rPr>
                <w:rFonts w:eastAsia="Calibri" w:cs="Times"/>
                <w:szCs w:val="20"/>
              </w:rPr>
              <w:t xml:space="preserve"> are the starting point for supporting Rel-17 multiplexing cases. </w:t>
            </w:r>
          </w:p>
          <w:p w14:paraId="7505D19C" w14:textId="77777777" w:rsidR="00360C31" w:rsidRDefault="00360C31" w:rsidP="00D02502">
            <w:pPr>
              <w:pStyle w:val="ListParagraph"/>
              <w:numPr>
                <w:ilvl w:val="0"/>
                <w:numId w:val="25"/>
              </w:numPr>
              <w:spacing w:before="0" w:after="0" w:line="240" w:lineRule="auto"/>
              <w:rPr>
                <w:rFonts w:eastAsia="Calibri" w:cs="Times"/>
                <w:szCs w:val="20"/>
              </w:rPr>
            </w:pPr>
            <w:r>
              <w:rPr>
                <w:rFonts w:eastAsia="Calibri" w:cs="Times"/>
                <w:szCs w:val="20"/>
              </w:rPr>
              <w:t>FFS: Applicability for different IAB-DU resource types</w:t>
            </w:r>
          </w:p>
          <w:p w14:paraId="1123DDEE" w14:textId="14F07E99" w:rsidR="00360C31" w:rsidRPr="00360C31" w:rsidRDefault="00360C31" w:rsidP="00360C31">
            <w:pPr>
              <w:pStyle w:val="ListParagraph"/>
              <w:numPr>
                <w:ilvl w:val="0"/>
                <w:numId w:val="25"/>
              </w:numPr>
              <w:spacing w:before="0" w:after="0" w:line="240" w:lineRule="auto"/>
              <w:rPr>
                <w:rFonts w:eastAsia="Calibri" w:cs="Times"/>
                <w:szCs w:val="20"/>
              </w:rPr>
            </w:pPr>
            <w:r>
              <w:rPr>
                <w:rFonts w:eastAsia="Calibri" w:cs="Times"/>
                <w:szCs w:val="20"/>
              </w:rPr>
              <w:t>FFS: Cell-specific/semi-static signals and channels at the IAB-DU and/or IAB-MT</w:t>
            </w:r>
          </w:p>
        </w:tc>
      </w:tr>
    </w:tbl>
    <w:p w14:paraId="5125425B" w14:textId="463CAFFC" w:rsidR="00360C31" w:rsidRPr="00646C3F" w:rsidRDefault="00360C31" w:rsidP="008A23DF">
      <w:pPr>
        <w:rPr>
          <w:lang w:val="en-GB"/>
        </w:rPr>
      </w:pPr>
      <w:r>
        <w:rPr>
          <w:lang w:val="en-GB"/>
        </w:rPr>
        <w:t xml:space="preserve">We discuss the proposed </w:t>
      </w:r>
      <w:proofErr w:type="spellStart"/>
      <w:r>
        <w:rPr>
          <w:lang w:val="en-GB"/>
        </w:rPr>
        <w:t>mechasnisms</w:t>
      </w:r>
      <w:proofErr w:type="spellEnd"/>
      <w:r>
        <w:rPr>
          <w:lang w:val="en-GB"/>
        </w:rPr>
        <w:t xml:space="preserve"> further next.</w:t>
      </w:r>
    </w:p>
    <w:p w14:paraId="6D67093F" w14:textId="615BF8ED" w:rsidR="00360C31" w:rsidRDefault="00360C31" w:rsidP="00360C31">
      <w:pPr>
        <w:pStyle w:val="Heading2"/>
      </w:pPr>
      <w:r w:rsidRPr="00360C31">
        <w:t xml:space="preserve">Semi-static resource </w:t>
      </w:r>
      <w:r w:rsidR="00525AA5">
        <w:t>allocation</w:t>
      </w:r>
    </w:p>
    <w:p w14:paraId="5B5259CB" w14:textId="49EEE8D5" w:rsidR="00434364" w:rsidRDefault="008F2EB2" w:rsidP="00434364">
      <w:pPr>
        <w:rPr>
          <w:lang w:val="en-GB"/>
        </w:rPr>
      </w:pPr>
      <w:r>
        <w:rPr>
          <w:lang w:val="en-GB"/>
        </w:rPr>
        <w:t>In IAB Rel-16, resources in the time domain (slots/symbols) can be configured by the RRC as hard (H), soft (S), or not available (NA) for each IAB node. These semi-static configurations are applied only in the time domain, meaning that either all the PRBs in the BWP (except the ones that are allocated by other signals such as SS/PBCH blocks) are available (H), not available (NA), or subject to availability indication (AI) by DCI signalling (S).</w:t>
      </w:r>
    </w:p>
    <w:p w14:paraId="4808F6CA" w14:textId="1EC73321" w:rsidR="00B91AD7" w:rsidRDefault="008F2EB2" w:rsidP="00B91AD7">
      <w:r>
        <w:rPr>
          <w:lang w:val="en-GB"/>
        </w:rPr>
        <w:t xml:space="preserve">A similar approach can be taken in the frequency domain – new configurations can be specified to determine availability in the time and frequency domains for an IAB node. Each configuration </w:t>
      </w:r>
      <w:r w:rsidR="007E2252">
        <w:rPr>
          <w:lang w:val="en-GB"/>
        </w:rPr>
        <w:t>should</w:t>
      </w:r>
      <w:r>
        <w:rPr>
          <w:lang w:val="en-GB"/>
        </w:rPr>
        <w:t xml:space="preserve"> include </w:t>
      </w:r>
      <w:proofErr w:type="spellStart"/>
      <w:r>
        <w:rPr>
          <w:lang w:val="en-GB"/>
        </w:rPr>
        <w:t>paramaters</w:t>
      </w:r>
      <w:proofErr w:type="spellEnd"/>
      <w:r>
        <w:rPr>
          <w:lang w:val="en-GB"/>
        </w:rPr>
        <w:t xml:space="preserve"> such as the periodicity and available PRBs in each period for the IAB node</w:t>
      </w:r>
      <w:r w:rsidR="007E2252">
        <w:rPr>
          <w:lang w:val="en-GB"/>
        </w:rPr>
        <w:t xml:space="preserve"> as shown in </w:t>
      </w:r>
      <w:r w:rsidR="00496899">
        <w:rPr>
          <w:lang w:val="en-GB"/>
        </w:rPr>
        <w:t xml:space="preserve">the example of </w:t>
      </w:r>
      <w:r w:rsidR="007E2252">
        <w:rPr>
          <w:lang w:val="en-GB"/>
        </w:rPr>
        <w:fldChar w:fldCharType="begin"/>
      </w:r>
      <w:r w:rsidR="007E2252">
        <w:rPr>
          <w:lang w:val="en-GB"/>
        </w:rPr>
        <w:instrText xml:space="preserve"> REF _Ref47535681 \r \h </w:instrText>
      </w:r>
      <w:r w:rsidR="007E2252">
        <w:rPr>
          <w:lang w:val="en-GB"/>
        </w:rPr>
      </w:r>
      <w:r w:rsidR="007E2252">
        <w:rPr>
          <w:lang w:val="en-GB"/>
        </w:rPr>
        <w:fldChar w:fldCharType="separate"/>
      </w:r>
      <w:r w:rsidR="00C83FEB">
        <w:rPr>
          <w:rFonts w:hint="cs"/>
          <w:cs/>
          <w:lang w:val="en-GB"/>
        </w:rPr>
        <w:t>‎</w:t>
      </w:r>
      <w:r w:rsidR="00C83FEB">
        <w:rPr>
          <w:lang w:val="en-GB"/>
        </w:rPr>
        <w:t>Figure 3</w:t>
      </w:r>
      <w:r w:rsidR="007E2252">
        <w:rPr>
          <w:lang w:val="en-GB"/>
        </w:rPr>
        <w:fldChar w:fldCharType="end"/>
      </w:r>
      <w:r w:rsidR="00B91AD7">
        <w:rPr>
          <w:lang w:val="en-GB"/>
        </w:rPr>
        <w:t xml:space="preserve"> for the scenario depicted </w:t>
      </w:r>
      <w:r w:rsidR="00C83FEB">
        <w:rPr>
          <w:lang w:val="en-GB"/>
        </w:rPr>
        <w:t>below</w:t>
      </w:r>
      <w:r w:rsidR="007E2252">
        <w:rPr>
          <w:lang w:val="en-GB"/>
        </w:rPr>
        <w:t>.</w:t>
      </w:r>
    </w:p>
    <w:p w14:paraId="2A8F8AEC" w14:textId="168C1D11" w:rsidR="00DA5C40" w:rsidRDefault="00C20D6F" w:rsidP="00887C39">
      <w:pPr>
        <w:pStyle w:val="Figure"/>
      </w:pPr>
      <w:bookmarkStart w:id="6" w:name="_Ref47602809"/>
      <w:r w:rsidRPr="00C20D6F">
        <w:rPr>
          <w:noProof/>
        </w:rPr>
        <w:drawing>
          <wp:inline distT="0" distB="0" distL="0" distR="0" wp14:anchorId="1F76EC85" wp14:editId="35490FFF">
            <wp:extent cx="4526280" cy="166420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26280" cy="1664208"/>
                    </a:xfrm>
                    <a:prstGeom prst="rect">
                      <a:avLst/>
                    </a:prstGeom>
                    <a:noFill/>
                    <a:ln>
                      <a:noFill/>
                    </a:ln>
                  </pic:spPr>
                </pic:pic>
              </a:graphicData>
            </a:graphic>
          </wp:inline>
        </w:drawing>
      </w:r>
    </w:p>
    <w:p w14:paraId="30FFB0D1" w14:textId="2B0F457C" w:rsidR="00B91AD7" w:rsidRPr="00B91AD7" w:rsidRDefault="00CA3F84" w:rsidP="00C60D3B">
      <w:pPr>
        <w:pStyle w:val="Caption"/>
      </w:pPr>
      <w:bookmarkStart w:id="7" w:name="_Ref54309728"/>
      <w:r>
        <w:t xml:space="preserve">. </w:t>
      </w:r>
      <w:r w:rsidR="00B91AD7">
        <w:t>Example scenario</w:t>
      </w:r>
      <w:bookmarkEnd w:id="6"/>
      <w:bookmarkEnd w:id="7"/>
    </w:p>
    <w:p w14:paraId="2D50EA8D" w14:textId="2DCF66F5" w:rsidR="007E2252" w:rsidRDefault="008F09AF" w:rsidP="007E2252">
      <w:pPr>
        <w:pStyle w:val="Figure"/>
      </w:pPr>
      <w:r w:rsidRPr="008F09AF">
        <w:rPr>
          <w:noProof/>
        </w:rPr>
        <w:drawing>
          <wp:inline distT="0" distB="0" distL="0" distR="0" wp14:anchorId="64D441B6" wp14:editId="2A951B50">
            <wp:extent cx="4105656" cy="227685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05656" cy="2276856"/>
                    </a:xfrm>
                    <a:prstGeom prst="rect">
                      <a:avLst/>
                    </a:prstGeom>
                    <a:noFill/>
                    <a:ln>
                      <a:noFill/>
                    </a:ln>
                  </pic:spPr>
                </pic:pic>
              </a:graphicData>
            </a:graphic>
          </wp:inline>
        </w:drawing>
      </w:r>
    </w:p>
    <w:p w14:paraId="1926BAD6" w14:textId="10974758" w:rsidR="007E2252" w:rsidRPr="007E2252" w:rsidRDefault="00CA3F84" w:rsidP="00C60D3B">
      <w:pPr>
        <w:pStyle w:val="Caption"/>
      </w:pPr>
      <w:bookmarkStart w:id="8" w:name="_Ref47535681"/>
      <w:r>
        <w:t xml:space="preserve">. </w:t>
      </w:r>
      <w:r w:rsidR="00496899">
        <w:t>Example of s</w:t>
      </w:r>
      <w:r w:rsidR="007E2252">
        <w:t xml:space="preserve">emi-static resource </w:t>
      </w:r>
      <w:r w:rsidR="00263C17">
        <w:t xml:space="preserve">configuration (partitioning) </w:t>
      </w:r>
      <w:r w:rsidR="007E2252">
        <w:t>in time and frequency domain</w:t>
      </w:r>
      <w:bookmarkEnd w:id="8"/>
    </w:p>
    <w:p w14:paraId="2366CF7D" w14:textId="2546CED0" w:rsidR="008F2EB2" w:rsidRDefault="007E2252" w:rsidP="007E2252">
      <w:pPr>
        <w:rPr>
          <w:lang w:val="en-GB"/>
        </w:rPr>
      </w:pPr>
      <w:r>
        <w:rPr>
          <w:lang w:val="en-GB"/>
        </w:rPr>
        <w:lastRenderedPageBreak/>
        <w:t xml:space="preserve">This approach essentially </w:t>
      </w:r>
      <w:r w:rsidR="00263C17">
        <w:rPr>
          <w:lang w:val="en-GB"/>
        </w:rPr>
        <w:t>partitions</w:t>
      </w:r>
      <w:r>
        <w:rPr>
          <w:lang w:val="en-GB"/>
        </w:rPr>
        <w:t xml:space="preserve"> the available resources into hard (H) and not available (NA) for each IAB node in a semi-static manner that is fully controlled by the </w:t>
      </w:r>
      <w:r w:rsidR="00FA029F">
        <w:rPr>
          <w:lang w:val="en-GB"/>
        </w:rPr>
        <w:t>donor IAB-</w:t>
      </w:r>
      <w:r>
        <w:rPr>
          <w:lang w:val="en-GB"/>
        </w:rPr>
        <w:t xml:space="preserve">CU. </w:t>
      </w:r>
      <w:r w:rsidR="00FA029F">
        <w:rPr>
          <w:lang w:val="en-GB"/>
        </w:rPr>
        <w:t>T</w:t>
      </w:r>
      <w:r w:rsidR="008F2EB2">
        <w:rPr>
          <w:lang w:val="en-GB"/>
        </w:rPr>
        <w:t>h</w:t>
      </w:r>
      <w:r>
        <w:rPr>
          <w:lang w:val="en-GB"/>
        </w:rPr>
        <w:t>e</w:t>
      </w:r>
      <w:r w:rsidR="008F2EB2">
        <w:rPr>
          <w:lang w:val="en-GB"/>
        </w:rPr>
        <w:t xml:space="preserve"> approach can be further extended </w:t>
      </w:r>
      <w:r>
        <w:rPr>
          <w:lang w:val="en-GB"/>
        </w:rPr>
        <w:t>to allow soft resource configurations in the frequency domain for each IAB node</w:t>
      </w:r>
      <w:r w:rsidR="00496899">
        <w:rPr>
          <w:lang w:val="en-GB"/>
        </w:rPr>
        <w:t xml:space="preserve">, hence allowing availability indication in the frequency domain </w:t>
      </w:r>
      <w:r w:rsidR="00FA029F">
        <w:rPr>
          <w:lang w:val="en-GB"/>
        </w:rPr>
        <w:t xml:space="preserve">by the parent node IAB-DU </w:t>
      </w:r>
      <w:r w:rsidR="00496899">
        <w:rPr>
          <w:lang w:val="en-GB"/>
        </w:rPr>
        <w:t>as well.</w:t>
      </w:r>
    </w:p>
    <w:p w14:paraId="3EFC9749" w14:textId="3C622510" w:rsidR="004E2463" w:rsidRDefault="004E2463" w:rsidP="00994344">
      <w:pPr>
        <w:pStyle w:val="Proposal"/>
        <w:rPr>
          <w:lang w:val="en-GB"/>
        </w:rPr>
      </w:pPr>
      <w:bookmarkStart w:id="9" w:name="_Ref54309442"/>
      <w:bookmarkStart w:id="10" w:name="_Toc54311501"/>
      <w:bookmarkStart w:id="11" w:name="_Toc54311601"/>
      <w:bookmarkStart w:id="12" w:name="_Toc54311796"/>
      <w:bookmarkStart w:id="13" w:name="_Toc54332049"/>
      <w:bookmarkStart w:id="14" w:name="_Toc54332727"/>
      <w:bookmarkStart w:id="15" w:name="_Toc54332771"/>
      <w:bookmarkStart w:id="16" w:name="_Toc54332813"/>
      <w:bookmarkStart w:id="17" w:name="_Toc54336713"/>
      <w:bookmarkStart w:id="18" w:name="_Toc54336874"/>
      <w:bookmarkStart w:id="19" w:name="_Toc54341451"/>
      <w:bookmarkStart w:id="20" w:name="_Toc54341509"/>
      <w:bookmarkStart w:id="21" w:name="_Toc54345798"/>
      <w:bookmarkStart w:id="22" w:name="_Toc54393515"/>
      <w:bookmarkStart w:id="23" w:name="_Toc54393576"/>
      <w:bookmarkStart w:id="24" w:name="_Toc54393715"/>
      <w:r w:rsidRPr="006F5FAA">
        <w:t>Support</w:t>
      </w:r>
      <w:r>
        <w:rPr>
          <w:lang w:val="en-GB"/>
        </w:rPr>
        <w:t xml:space="preserve"> semi-static resource configuration (partitioning) in time and frequency domains.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06B2761" w14:textId="5829ACE2" w:rsidR="00525AA5" w:rsidRDefault="00525AA5" w:rsidP="00525AA5">
      <w:pPr>
        <w:pStyle w:val="Heading2"/>
      </w:pPr>
      <w:r w:rsidRPr="00525AA5">
        <w:t xml:space="preserve">Dynamic </w:t>
      </w:r>
      <w:r>
        <w:t>resource allocation</w:t>
      </w:r>
    </w:p>
    <w:p w14:paraId="55FF5B62" w14:textId="6407B62D" w:rsidR="00496899" w:rsidRDefault="00496899" w:rsidP="00496899">
      <w:pPr>
        <w:rPr>
          <w:lang w:val="en-GB"/>
        </w:rPr>
      </w:pPr>
      <w:r>
        <w:rPr>
          <w:lang w:val="en-GB"/>
        </w:rPr>
        <w:t>A frequency-domain AI can be specified to allow an IAB node to coordinate with its child node(s)</w:t>
      </w:r>
      <w:r w:rsidR="00C124C4">
        <w:rPr>
          <w:lang w:val="en-GB"/>
        </w:rPr>
        <w:t>, locally and dynamically,</w:t>
      </w:r>
      <w:r>
        <w:rPr>
          <w:lang w:val="en-GB"/>
        </w:rPr>
        <w:t xml:space="preserve"> what resources to use for scheduling. The frequency-domain AI can be used with a semi-static configuration as explained </w:t>
      </w:r>
      <w:r w:rsidR="00CA3F84">
        <w:rPr>
          <w:lang w:val="en-GB"/>
        </w:rPr>
        <w:t>in Section 2.1</w:t>
      </w:r>
      <w:r>
        <w:rPr>
          <w:lang w:val="en-GB"/>
        </w:rPr>
        <w:t xml:space="preserve">, or it can be simply used for indication of availability of frequency-domain resources (such as PRBs) on soft symbols, which </w:t>
      </w:r>
      <w:r w:rsidR="00FA029F">
        <w:rPr>
          <w:lang w:val="en-GB"/>
        </w:rPr>
        <w:t>would make</w:t>
      </w:r>
      <w:r>
        <w:rPr>
          <w:lang w:val="en-GB"/>
        </w:rPr>
        <w:t xml:space="preserve"> </w:t>
      </w:r>
      <w:r w:rsidR="00FA029F">
        <w:rPr>
          <w:lang w:val="en-GB"/>
        </w:rPr>
        <w:t>it</w:t>
      </w:r>
      <w:r>
        <w:rPr>
          <w:lang w:val="en-GB"/>
        </w:rPr>
        <w:t xml:space="preserve"> backward compatible with IAB Rel-16 resource configurations.</w:t>
      </w:r>
      <w:r w:rsidR="00FA029F">
        <w:rPr>
          <w:lang w:val="en-GB"/>
        </w:rPr>
        <w:t xml:space="preserve"> This latter approach could allow a convenient operation of IAB systems with mixed Rel-16 and Rel-17 IAB nodes – resource configurations remain backward compatible</w:t>
      </w:r>
      <w:r w:rsidR="00C20D6F">
        <w:rPr>
          <w:lang w:val="en-GB"/>
        </w:rPr>
        <w:t>,</w:t>
      </w:r>
      <w:r w:rsidR="00FA029F">
        <w:rPr>
          <w:lang w:val="en-GB"/>
        </w:rPr>
        <w:t xml:space="preserve"> and frequency-domain availability indication is only used locally when an IAB node and its child node both support enhanced duplexing.</w:t>
      </w:r>
    </w:p>
    <w:p w14:paraId="7801F057" w14:textId="7A9B5531" w:rsidR="00FA029F" w:rsidRDefault="00FA029F" w:rsidP="00496899">
      <w:pPr>
        <w:rPr>
          <w:lang w:val="en-GB"/>
        </w:rPr>
      </w:pPr>
      <w:r>
        <w:rPr>
          <w:lang w:val="en-GB"/>
        </w:rPr>
        <w:t xml:space="preserve">Frequency-domain duplexing may also be enabled by proper configuration and activation of bandwidth parts so as to avoid resource overlaps among adjacent hops, </w:t>
      </w:r>
      <w:proofErr w:type="spellStart"/>
      <w:r w:rsidR="00B915BE">
        <w:rPr>
          <w:lang w:val="en-GB"/>
        </w:rPr>
        <w:t>fulfill</w:t>
      </w:r>
      <w:proofErr w:type="spellEnd"/>
      <w:r w:rsidR="00B915BE">
        <w:rPr>
          <w:lang w:val="en-GB"/>
        </w:rPr>
        <w:t xml:space="preserve"> guard band requirements, avoid cross-link interference, and so on</w:t>
      </w:r>
      <w:r>
        <w:rPr>
          <w:lang w:val="en-GB"/>
        </w:rPr>
        <w:t>.</w:t>
      </w:r>
    </w:p>
    <w:p w14:paraId="7A9427AD" w14:textId="341762AC" w:rsidR="00496899" w:rsidRDefault="00FA029F" w:rsidP="00496899">
      <w:pPr>
        <w:rPr>
          <w:lang w:val="en-GB"/>
        </w:rPr>
      </w:pPr>
      <w:r>
        <w:rPr>
          <w:lang w:val="en-GB"/>
        </w:rPr>
        <w:t>In all the above schemes, t</w:t>
      </w:r>
      <w:r w:rsidR="00496899">
        <w:rPr>
          <w:lang w:val="en-GB"/>
        </w:rPr>
        <w:t>he resolution for frequency-domain resources c</w:t>
      </w:r>
      <w:r>
        <w:rPr>
          <w:lang w:val="en-GB"/>
        </w:rPr>
        <w:t>ould</w:t>
      </w:r>
      <w:r w:rsidR="00496899">
        <w:rPr>
          <w:lang w:val="en-GB"/>
        </w:rPr>
        <w:t xml:space="preserve"> be PRBs</w:t>
      </w:r>
      <w:r w:rsidR="00C124C4">
        <w:rPr>
          <w:lang w:val="en-GB"/>
        </w:rPr>
        <w:t>,</w:t>
      </w:r>
      <w:r w:rsidR="00496899">
        <w:rPr>
          <w:lang w:val="en-GB"/>
        </w:rPr>
        <w:t xml:space="preserve"> or otherwise a number of consecutive PRBs </w:t>
      </w:r>
      <w:r w:rsidR="00C124C4">
        <w:rPr>
          <w:lang w:val="en-GB"/>
        </w:rPr>
        <w:t xml:space="preserve">in order </w:t>
      </w:r>
      <w:r w:rsidR="00496899">
        <w:rPr>
          <w:lang w:val="en-GB"/>
        </w:rPr>
        <w:t>to reduce signalling overhead.</w:t>
      </w:r>
    </w:p>
    <w:p w14:paraId="0644A53F" w14:textId="4109BD70" w:rsidR="00496899" w:rsidRDefault="00FA029F" w:rsidP="00994344">
      <w:pPr>
        <w:pStyle w:val="Proposal"/>
      </w:pPr>
      <w:bookmarkStart w:id="25" w:name="_Toc54311502"/>
      <w:bookmarkStart w:id="26" w:name="_Toc54311602"/>
      <w:bookmarkStart w:id="27" w:name="_Toc54311797"/>
      <w:bookmarkStart w:id="28" w:name="_Toc54332050"/>
      <w:bookmarkStart w:id="29" w:name="_Toc54332728"/>
      <w:bookmarkStart w:id="30" w:name="_Toc54332772"/>
      <w:bookmarkStart w:id="31" w:name="_Toc54332814"/>
      <w:bookmarkStart w:id="32" w:name="_Toc54336714"/>
      <w:bookmarkStart w:id="33" w:name="_Toc54336875"/>
      <w:bookmarkStart w:id="34" w:name="_Toc54341452"/>
      <w:bookmarkStart w:id="35" w:name="_Toc54341510"/>
      <w:bookmarkStart w:id="36" w:name="_Toc54345799"/>
      <w:bookmarkStart w:id="37" w:name="_Toc54393516"/>
      <w:bookmarkStart w:id="38" w:name="_Toc54393577"/>
      <w:bookmarkStart w:id="39" w:name="_Toc54393716"/>
      <w:r>
        <w:t>Extend</w:t>
      </w:r>
      <w:r w:rsidR="00496899">
        <w:t xml:space="preserve"> </w:t>
      </w:r>
      <w:r w:rsidR="004E2463">
        <w:t xml:space="preserve">hard/soft resource configuration and </w:t>
      </w:r>
      <w:r w:rsidR="00496899">
        <w:t>availability indication</w:t>
      </w:r>
      <w:r>
        <w:t xml:space="preserve"> to</w:t>
      </w:r>
      <w:r w:rsidR="00496899">
        <w:t xml:space="preserve"> the </w:t>
      </w:r>
      <w:proofErr w:type="spellStart"/>
      <w:r w:rsidR="00496899">
        <w:t>frequeny</w:t>
      </w:r>
      <w:proofErr w:type="spellEnd"/>
      <w:r w:rsidR="00496899">
        <w:t xml:space="preserve"> domain.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3DB5A94" w14:textId="61A6EFDD" w:rsidR="004E2463" w:rsidRDefault="004E2463" w:rsidP="004E2463">
      <w:pPr>
        <w:pStyle w:val="Heading2"/>
      </w:pPr>
      <w:r>
        <w:t>Implementation characteristics</w:t>
      </w:r>
    </w:p>
    <w:p w14:paraId="5C4CCC9F" w14:textId="0F9C2A3C" w:rsidR="004E2463" w:rsidRDefault="004E2463" w:rsidP="004E2463">
      <w:pPr>
        <w:rPr>
          <w:lang w:val="en-GB"/>
        </w:rPr>
      </w:pPr>
      <w:r>
        <w:rPr>
          <w:lang w:val="en-GB"/>
        </w:rPr>
        <w:t xml:space="preserve">Companies were encouraged in the previous meeting to </w:t>
      </w:r>
      <w:r w:rsidR="008D0EB5">
        <w:rPr>
          <w:lang w:val="en-GB"/>
        </w:rPr>
        <w:t xml:space="preserve">further </w:t>
      </w:r>
      <w:r>
        <w:rPr>
          <w:lang w:val="en-GB"/>
        </w:rPr>
        <w:t xml:space="preserve">consider the following aspects </w:t>
      </w:r>
      <w:r>
        <w:rPr>
          <w:lang w:val="en-GB"/>
        </w:rPr>
        <w:fldChar w:fldCharType="begin"/>
      </w:r>
      <w:r>
        <w:rPr>
          <w:lang w:val="en-GB"/>
        </w:rPr>
        <w:instrText xml:space="preserve"> REF _Ref54186872 \r \h </w:instrText>
      </w:r>
      <w:r>
        <w:rPr>
          <w:lang w:val="en-GB"/>
        </w:rPr>
      </w:r>
      <w:r>
        <w:rPr>
          <w:lang w:val="en-GB"/>
        </w:rPr>
        <w:fldChar w:fldCharType="separate"/>
      </w:r>
      <w:r>
        <w:rPr>
          <w:rFonts w:hint="cs"/>
          <w:cs/>
          <w:lang w:val="en-GB"/>
        </w:rPr>
        <w:t>‎</w:t>
      </w:r>
      <w:r>
        <w:rPr>
          <w:lang w:val="en-GB"/>
        </w:rPr>
        <w:t>[3]</w:t>
      </w:r>
      <w:r>
        <w:rPr>
          <w:lang w:val="en-GB"/>
        </w:rPr>
        <w:fldChar w:fldCharType="end"/>
      </w:r>
      <w:r>
        <w:rPr>
          <w:lang w:val="en-GB"/>
        </w:rPr>
        <w:t>:</w:t>
      </w:r>
    </w:p>
    <w:tbl>
      <w:tblPr>
        <w:tblStyle w:val="TableGrid"/>
        <w:tblW w:w="0" w:type="auto"/>
        <w:tblLook w:val="04A0" w:firstRow="1" w:lastRow="0" w:firstColumn="1" w:lastColumn="0" w:noHBand="0" w:noVBand="1"/>
      </w:tblPr>
      <w:tblGrid>
        <w:gridCol w:w="9855"/>
      </w:tblGrid>
      <w:tr w:rsidR="004E2463" w14:paraId="403B3367" w14:textId="77777777" w:rsidTr="004E2463">
        <w:tc>
          <w:tcPr>
            <w:tcW w:w="9855" w:type="dxa"/>
          </w:tcPr>
          <w:p w14:paraId="3A2FD128" w14:textId="77777777" w:rsidR="004E2463" w:rsidRDefault="004E2463" w:rsidP="004E2463">
            <w:pPr>
              <w:rPr>
                <w:rFonts w:eastAsia="Calibri" w:cs="Times"/>
                <w:b/>
                <w:szCs w:val="20"/>
              </w:rPr>
            </w:pPr>
            <w:r>
              <w:rPr>
                <w:rFonts w:eastAsia="Calibri" w:cs="Times"/>
                <w:b/>
                <w:szCs w:val="20"/>
              </w:rPr>
              <w:t xml:space="preserve">For companies to further consider: </w:t>
            </w:r>
          </w:p>
          <w:p w14:paraId="5777C418" w14:textId="77777777" w:rsidR="004E2463" w:rsidRDefault="004E2463" w:rsidP="004E2463">
            <w:pPr>
              <w:rPr>
                <w:rFonts w:eastAsia="Calibri" w:cs="Times"/>
                <w:szCs w:val="20"/>
              </w:rPr>
            </w:pPr>
            <w:r>
              <w:rPr>
                <w:rFonts w:eastAsia="Calibri" w:cs="Times"/>
                <w:szCs w:val="20"/>
              </w:rPr>
              <w:t>Whether the following characteristics of the IAB node implementation will impact the operation of different resource multiplexing cases, including resource partitioning (i.e. identify whether there is a need for potential specification impact/enhancements compared to Rel-16 if the characteristic is or is not supported by an IAB node):</w:t>
            </w:r>
          </w:p>
          <w:p w14:paraId="28AAC162" w14:textId="77777777" w:rsidR="004E2463" w:rsidRPr="004A2EF3" w:rsidRDefault="004E2463" w:rsidP="004E2463">
            <w:pPr>
              <w:pStyle w:val="ListParagraph"/>
              <w:numPr>
                <w:ilvl w:val="0"/>
                <w:numId w:val="26"/>
              </w:numPr>
              <w:spacing w:before="0" w:after="0" w:line="240" w:lineRule="auto"/>
              <w:rPr>
                <w:rFonts w:eastAsia="Calibri" w:cs="Times"/>
                <w:szCs w:val="20"/>
              </w:rPr>
            </w:pPr>
            <w:r w:rsidRPr="004A2EF3">
              <w:rPr>
                <w:rFonts w:eastAsia="Calibri" w:cs="Times"/>
                <w:szCs w:val="20"/>
              </w:rPr>
              <w:t>Baseband (mis)timing alignment between IAB-MT and IAB-DU</w:t>
            </w:r>
          </w:p>
          <w:p w14:paraId="39C99F53" w14:textId="77777777" w:rsidR="004E2463" w:rsidRPr="004A2EF3" w:rsidRDefault="004E2463" w:rsidP="004E2463">
            <w:pPr>
              <w:pStyle w:val="ListParagraph"/>
              <w:numPr>
                <w:ilvl w:val="0"/>
                <w:numId w:val="26"/>
              </w:numPr>
              <w:spacing w:before="0" w:after="0" w:line="240" w:lineRule="auto"/>
              <w:rPr>
                <w:rFonts w:eastAsia="Calibri" w:cs="Times"/>
                <w:szCs w:val="20"/>
              </w:rPr>
            </w:pPr>
            <w:r w:rsidRPr="004A2EF3">
              <w:rPr>
                <w:rFonts w:eastAsia="Calibri" w:cs="Times"/>
                <w:szCs w:val="20"/>
              </w:rPr>
              <w:t>Separate vs. shared antenna panels/RF front-end for IAB-MT/IAB-DU</w:t>
            </w:r>
          </w:p>
          <w:p w14:paraId="06F1FB03" w14:textId="77777777" w:rsidR="004E2463" w:rsidRPr="004A2EF3" w:rsidRDefault="004E2463" w:rsidP="004E2463">
            <w:pPr>
              <w:pStyle w:val="ListParagraph"/>
              <w:numPr>
                <w:ilvl w:val="0"/>
                <w:numId w:val="26"/>
              </w:numPr>
              <w:spacing w:before="0" w:after="0" w:line="240" w:lineRule="auto"/>
              <w:rPr>
                <w:rFonts w:eastAsia="Calibri" w:cs="Times"/>
                <w:szCs w:val="20"/>
              </w:rPr>
            </w:pPr>
            <w:r w:rsidRPr="004A2EF3">
              <w:rPr>
                <w:rFonts w:eastAsia="Calibri" w:cs="Times"/>
                <w:szCs w:val="20"/>
              </w:rPr>
              <w:t>Separate vs. shared baseband for IAB-MT/IAB-DU</w:t>
            </w:r>
          </w:p>
          <w:p w14:paraId="0C375CFD" w14:textId="77777777" w:rsidR="004E2463" w:rsidRDefault="004E2463" w:rsidP="004E2463">
            <w:pPr>
              <w:pStyle w:val="ListParagraph"/>
              <w:numPr>
                <w:ilvl w:val="0"/>
                <w:numId w:val="26"/>
              </w:numPr>
              <w:spacing w:before="0" w:after="0" w:line="240" w:lineRule="auto"/>
              <w:rPr>
                <w:rFonts w:eastAsia="Calibri" w:cs="Times"/>
                <w:szCs w:val="20"/>
              </w:rPr>
            </w:pPr>
            <w:r>
              <w:rPr>
                <w:rFonts w:eastAsia="Calibri" w:cs="Times"/>
                <w:szCs w:val="20"/>
              </w:rPr>
              <w:t>Transmitter/receiver implementation</w:t>
            </w:r>
          </w:p>
          <w:p w14:paraId="42F7008B" w14:textId="77777777" w:rsidR="004E2463" w:rsidRDefault="004E2463" w:rsidP="004E2463">
            <w:pPr>
              <w:pStyle w:val="ListParagraph"/>
              <w:numPr>
                <w:ilvl w:val="0"/>
                <w:numId w:val="26"/>
              </w:numPr>
              <w:spacing w:before="0" w:after="0" w:line="240" w:lineRule="auto"/>
              <w:rPr>
                <w:rFonts w:eastAsia="Calibri" w:cs="Times"/>
                <w:szCs w:val="20"/>
              </w:rPr>
            </w:pPr>
            <w:r>
              <w:rPr>
                <w:rFonts w:eastAsia="Calibri" w:cs="Times"/>
                <w:szCs w:val="20"/>
              </w:rPr>
              <w:t>Self-interference cancellation</w:t>
            </w:r>
          </w:p>
          <w:p w14:paraId="1F0FE7C5" w14:textId="043897D3" w:rsidR="004E2463" w:rsidRPr="004E2463" w:rsidRDefault="004E2463" w:rsidP="004E2463">
            <w:pPr>
              <w:pStyle w:val="ListParagraph"/>
              <w:numPr>
                <w:ilvl w:val="0"/>
                <w:numId w:val="26"/>
              </w:numPr>
              <w:spacing w:before="0" w:after="0" w:line="240" w:lineRule="auto"/>
              <w:rPr>
                <w:rFonts w:eastAsia="Calibri" w:cs="Times"/>
                <w:szCs w:val="20"/>
              </w:rPr>
            </w:pPr>
            <w:r>
              <w:rPr>
                <w:rFonts w:eastAsia="Calibri" w:cs="Times"/>
                <w:szCs w:val="20"/>
              </w:rPr>
              <w:t>Power control mechanisms</w:t>
            </w:r>
          </w:p>
        </w:tc>
      </w:tr>
    </w:tbl>
    <w:p w14:paraId="7EF81444" w14:textId="35DCB5BC" w:rsidR="004E2463" w:rsidRDefault="004E2463" w:rsidP="004E2463">
      <w:pPr>
        <w:rPr>
          <w:lang w:val="en-GB"/>
        </w:rPr>
      </w:pPr>
    </w:p>
    <w:p w14:paraId="6F34BC6B" w14:textId="5A9C882B" w:rsidR="00A25FDF" w:rsidRDefault="00A25FDF" w:rsidP="004E2463">
      <w:pPr>
        <w:rPr>
          <w:lang w:val="en-GB"/>
        </w:rPr>
      </w:pPr>
      <w:r>
        <w:rPr>
          <w:lang w:val="en-GB"/>
        </w:rPr>
        <w:t>As agreed in the past meeting, Case A (simultaneous transmission) and Case B (simultaneous reception) are considered for both single-panel and multi-panel IAB nodes. For these two cases, multi-panel IAB nodes are expected to impose less stringent requirements on baseband timing alignment. If the goal is to avoid any overlap between a transmission on one panel and a reception on another panel, even at symbol boundaries, the matter can be handled by allocating guard symbols between DL and UL resources.</w:t>
      </w:r>
    </w:p>
    <w:p w14:paraId="4220CFB5" w14:textId="064EEE9D" w:rsidR="00A25FDF" w:rsidRDefault="00A25FDF" w:rsidP="004E2463">
      <w:pPr>
        <w:rPr>
          <w:lang w:val="en-GB"/>
        </w:rPr>
      </w:pPr>
      <w:r>
        <w:rPr>
          <w:lang w:val="en-GB"/>
        </w:rPr>
        <w:t xml:space="preserve">However, </w:t>
      </w:r>
      <w:r w:rsidR="00296EDF">
        <w:rPr>
          <w:lang w:val="en-GB"/>
        </w:rPr>
        <w:t xml:space="preserve">an </w:t>
      </w:r>
      <w:r>
        <w:rPr>
          <w:lang w:val="en-GB"/>
        </w:rPr>
        <w:t>IAB node</w:t>
      </w:r>
      <w:r w:rsidR="00296EDF">
        <w:rPr>
          <w:lang w:val="en-GB"/>
        </w:rPr>
        <w:t xml:space="preserve"> with a single panel/RF frontend, shared between IAB-MT and IAB-DU,</w:t>
      </w:r>
      <w:r>
        <w:rPr>
          <w:lang w:val="en-GB"/>
        </w:rPr>
        <w:t xml:space="preserve"> may require a perfect alignment between </w:t>
      </w:r>
      <w:proofErr w:type="spellStart"/>
      <w:r>
        <w:rPr>
          <w:lang w:val="en-GB"/>
        </w:rPr>
        <w:t>FDM’ed</w:t>
      </w:r>
      <w:proofErr w:type="spellEnd"/>
      <w:r>
        <w:rPr>
          <w:lang w:val="en-GB"/>
        </w:rPr>
        <w:t xml:space="preserve"> operations. Enhanced time alignment cases being discussed under agenda item 8.</w:t>
      </w:r>
      <w:r w:rsidR="00BB0986">
        <w:rPr>
          <w:lang w:val="en-GB"/>
        </w:rPr>
        <w:t>10</w:t>
      </w:r>
      <w:r>
        <w:rPr>
          <w:lang w:val="en-GB"/>
        </w:rPr>
        <w:t xml:space="preserve">.2 can be employed to satisfy the timing alignment constraint for simultaneous </w:t>
      </w:r>
      <w:proofErr w:type="spellStart"/>
      <w:r>
        <w:rPr>
          <w:lang w:val="en-GB"/>
        </w:rPr>
        <w:t>transmsisions</w:t>
      </w:r>
      <w:proofErr w:type="spellEnd"/>
      <w:r>
        <w:rPr>
          <w:lang w:val="en-GB"/>
        </w:rPr>
        <w:t xml:space="preserve"> (Case-6) or simultaneous receptions (Case-7). Nevertheless, such a requirement can be relaxed if </w:t>
      </w:r>
      <w:r w:rsidR="00296EDF">
        <w:rPr>
          <w:lang w:val="en-GB"/>
        </w:rPr>
        <w:t xml:space="preserve">multiple baseband units are available or </w:t>
      </w:r>
      <w:r>
        <w:rPr>
          <w:lang w:val="en-GB"/>
        </w:rPr>
        <w:t xml:space="preserve">the baseband </w:t>
      </w:r>
      <w:r w:rsidR="00296EDF">
        <w:rPr>
          <w:lang w:val="en-GB"/>
        </w:rPr>
        <w:t>unit</w:t>
      </w:r>
      <w:r>
        <w:rPr>
          <w:lang w:val="en-GB"/>
        </w:rPr>
        <w:t xml:space="preserve"> is equipped with multiple IFFT/FFT windows. Whether the IAB node supports </w:t>
      </w:r>
      <w:r w:rsidR="00296EDF">
        <w:rPr>
          <w:lang w:val="en-GB"/>
        </w:rPr>
        <w:t xml:space="preserve">multiple baseband processing </w:t>
      </w:r>
      <w:r>
        <w:rPr>
          <w:lang w:val="en-GB"/>
        </w:rPr>
        <w:t xml:space="preserve">can be </w:t>
      </w:r>
      <w:r w:rsidR="00296EDF">
        <w:rPr>
          <w:lang w:val="en-GB"/>
        </w:rPr>
        <w:t>specified</w:t>
      </w:r>
      <w:r>
        <w:rPr>
          <w:lang w:val="en-GB"/>
        </w:rPr>
        <w:t xml:space="preserve"> as an IAB node capability.</w:t>
      </w:r>
    </w:p>
    <w:p w14:paraId="681CD051" w14:textId="11EBB67C" w:rsidR="000C6222" w:rsidRPr="006055A3" w:rsidRDefault="006863EA" w:rsidP="00994344">
      <w:pPr>
        <w:pStyle w:val="Proposal"/>
        <w:rPr>
          <w:lang w:val="en-GB"/>
        </w:rPr>
      </w:pPr>
      <w:bookmarkStart w:id="40" w:name="_Toc54311503"/>
      <w:bookmarkStart w:id="41" w:name="_Toc54311603"/>
      <w:bookmarkStart w:id="42" w:name="_Toc54311798"/>
      <w:bookmarkStart w:id="43" w:name="_Toc54332051"/>
      <w:bookmarkStart w:id="44" w:name="_Toc54332729"/>
      <w:bookmarkStart w:id="45" w:name="_Toc54332773"/>
      <w:bookmarkStart w:id="46" w:name="_Toc54332815"/>
      <w:bookmarkStart w:id="47" w:name="_Toc54336715"/>
      <w:bookmarkStart w:id="48" w:name="_Toc54336876"/>
      <w:bookmarkStart w:id="49" w:name="_Toc54341453"/>
      <w:bookmarkStart w:id="50" w:name="_Toc54341511"/>
      <w:bookmarkStart w:id="51" w:name="_Toc54345800"/>
      <w:bookmarkStart w:id="52" w:name="_Toc54393517"/>
      <w:bookmarkStart w:id="53" w:name="_Toc54393578"/>
      <w:bookmarkStart w:id="54" w:name="_Toc54393717"/>
      <w:r>
        <w:rPr>
          <w:lang w:val="en-GB"/>
        </w:rPr>
        <w:t xml:space="preserve">Knowledge of IAB node capability </w:t>
      </w:r>
      <w:r w:rsidR="009726F5">
        <w:rPr>
          <w:lang w:val="en-GB"/>
        </w:rPr>
        <w:t>of</w:t>
      </w:r>
      <w:r>
        <w:rPr>
          <w:lang w:val="en-GB"/>
        </w:rPr>
        <w:t xml:space="preserve"> timing alignment, multi-panel and baseband characteristics may be beneficial from system operation perspective.</w:t>
      </w:r>
      <w:bookmarkEnd w:id="52"/>
      <w:bookmarkEnd w:id="53"/>
      <w:bookmarkEnd w:id="54"/>
      <w:r>
        <w:rPr>
          <w:lang w:val="en-GB"/>
        </w:rPr>
        <w:t xml:space="preserve"> </w:t>
      </w:r>
      <w:bookmarkEnd w:id="40"/>
      <w:bookmarkEnd w:id="41"/>
      <w:bookmarkEnd w:id="42"/>
      <w:bookmarkEnd w:id="43"/>
      <w:bookmarkEnd w:id="44"/>
      <w:bookmarkEnd w:id="45"/>
      <w:bookmarkEnd w:id="46"/>
      <w:bookmarkEnd w:id="47"/>
      <w:bookmarkEnd w:id="48"/>
      <w:bookmarkEnd w:id="49"/>
      <w:bookmarkEnd w:id="50"/>
      <w:bookmarkEnd w:id="51"/>
    </w:p>
    <w:p w14:paraId="7AA287A7" w14:textId="385DDB34" w:rsidR="00E62EED" w:rsidRPr="007E43A4" w:rsidRDefault="00E62EED" w:rsidP="00C4248E">
      <w:pPr>
        <w:rPr>
          <w:lang w:val="en-GB"/>
        </w:rPr>
      </w:pPr>
      <w:r>
        <w:rPr>
          <w:lang w:val="en-GB"/>
        </w:rPr>
        <w:t>Moreover, there are considerations for simultaneous operation of an IAB node when operating at FR2.</w:t>
      </w:r>
      <w:r w:rsidR="00C4248E">
        <w:rPr>
          <w:lang w:val="en-GB"/>
        </w:rPr>
        <w:t xml:space="preserve"> </w:t>
      </w:r>
      <w:r w:rsidRPr="007E43A4">
        <w:rPr>
          <w:lang w:val="en-GB"/>
        </w:rPr>
        <w:t xml:space="preserve">Communications of an IAB node with a single antenna panel (connected to a single RF chain) are spatially limited to one beam at a time. </w:t>
      </w:r>
      <w:r w:rsidRPr="007E43A4">
        <w:rPr>
          <w:lang w:val="en-GB"/>
        </w:rPr>
        <w:lastRenderedPageBreak/>
        <w:t xml:space="preserve">That means if two operations are scheduled simultaneously, the signals are constrained to </w:t>
      </w:r>
      <w:r>
        <w:rPr>
          <w:lang w:val="en-GB"/>
        </w:rPr>
        <w:t>be transmitted or received</w:t>
      </w:r>
      <w:r w:rsidRPr="007E43A4">
        <w:rPr>
          <w:lang w:val="en-GB"/>
        </w:rPr>
        <w:t xml:space="preserve"> through </w:t>
      </w:r>
      <w:r>
        <w:rPr>
          <w:lang w:val="en-GB"/>
        </w:rPr>
        <w:t>a</w:t>
      </w:r>
      <w:r w:rsidRPr="007E43A4">
        <w:rPr>
          <w:lang w:val="en-GB"/>
        </w:rPr>
        <w:t xml:space="preserve"> same beam.</w:t>
      </w:r>
    </w:p>
    <w:p w14:paraId="483B14A4" w14:textId="65AFFE91" w:rsidR="00E62EED" w:rsidRDefault="00E62EED" w:rsidP="00E62EED">
      <w:bookmarkStart w:id="55" w:name="_Ref30690270"/>
      <w:bookmarkStart w:id="56" w:name="_Ref30690541"/>
      <w:r w:rsidRPr="007E43A4">
        <w:t xml:space="preserve">Communications of an IAB node with multiple antenna panels (each connected to a separate RF chain) are not limited to one beam, but there </w:t>
      </w:r>
      <w:r>
        <w:t xml:space="preserve">are </w:t>
      </w:r>
      <w:r w:rsidRPr="007E43A4">
        <w:t xml:space="preserve">still constraints for </w:t>
      </w:r>
      <w:r>
        <w:t xml:space="preserve">simultaneous </w:t>
      </w:r>
      <w:r w:rsidRPr="007E43A4">
        <w:t>operation</w:t>
      </w:r>
      <w:r>
        <w:t>s</w:t>
      </w:r>
      <w:r w:rsidRPr="007E43A4">
        <w:t xml:space="preserve">. </w:t>
      </w:r>
      <w:r>
        <w:t xml:space="preserve">Consider the example scenario in </w:t>
      </w:r>
      <w:r>
        <w:fldChar w:fldCharType="begin"/>
      </w:r>
      <w:r>
        <w:instrText xml:space="preserve"> REF _Ref47602809 \r \h </w:instrText>
      </w:r>
      <w:r>
        <w:fldChar w:fldCharType="separate"/>
      </w:r>
      <w:r>
        <w:rPr>
          <w:rFonts w:hint="cs"/>
          <w:cs/>
        </w:rPr>
        <w:t>‎</w:t>
      </w:r>
      <w:r>
        <w:fldChar w:fldCharType="end"/>
      </w:r>
      <w:r w:rsidR="00C4248E">
        <w:fldChar w:fldCharType="begin"/>
      </w:r>
      <w:r w:rsidR="00C4248E">
        <w:instrText xml:space="preserve"> REF _Ref54309728 \r \h </w:instrText>
      </w:r>
      <w:r w:rsidR="00C4248E">
        <w:fldChar w:fldCharType="separate"/>
      </w:r>
      <w:r w:rsidR="00C4248E">
        <w:rPr>
          <w:rFonts w:hint="cs"/>
          <w:cs/>
        </w:rPr>
        <w:t>‎</w:t>
      </w:r>
      <w:r w:rsidR="00C4248E">
        <w:t>Figure 2</w:t>
      </w:r>
      <w:r w:rsidR="00C4248E">
        <w:fldChar w:fldCharType="end"/>
      </w:r>
      <w:r w:rsidR="00C4248E">
        <w:t xml:space="preserve"> </w:t>
      </w:r>
      <w:r>
        <w:t xml:space="preserve">where N has two antenna panels as shown in </w:t>
      </w:r>
      <w:r>
        <w:fldChar w:fldCharType="begin"/>
      </w:r>
      <w:r>
        <w:instrText xml:space="preserve"> REF _Ref30691547 \r \h </w:instrText>
      </w:r>
      <w:r>
        <w:fldChar w:fldCharType="separate"/>
      </w:r>
      <w:r>
        <w:rPr>
          <w:rFonts w:hint="cs"/>
          <w:cs/>
        </w:rPr>
        <w:t>‎</w:t>
      </w:r>
      <w:r>
        <w:t>Figure 4</w:t>
      </w:r>
      <w:r>
        <w:fldChar w:fldCharType="end"/>
      </w:r>
      <w:r>
        <w:t>. (PN and CN in this example may also have multiple panels, but they are not shown for the sake of brevity.)</w:t>
      </w:r>
    </w:p>
    <w:p w14:paraId="1D93C4E7" w14:textId="77777777" w:rsidR="00E62EED" w:rsidRDefault="00E62EED" w:rsidP="00E62EED">
      <w:pPr>
        <w:pStyle w:val="Figure"/>
      </w:pPr>
      <w:r w:rsidRPr="00B91AD7">
        <w:rPr>
          <w:noProof/>
        </w:rPr>
        <w:drawing>
          <wp:inline distT="0" distB="0" distL="0" distR="0" wp14:anchorId="011073DC" wp14:editId="6F396043">
            <wp:extent cx="4160520" cy="20848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60520" cy="2084832"/>
                    </a:xfrm>
                    <a:prstGeom prst="rect">
                      <a:avLst/>
                    </a:prstGeom>
                    <a:noFill/>
                    <a:ln>
                      <a:noFill/>
                    </a:ln>
                  </pic:spPr>
                </pic:pic>
              </a:graphicData>
            </a:graphic>
          </wp:inline>
        </w:drawing>
      </w:r>
    </w:p>
    <w:p w14:paraId="48F585EB" w14:textId="77777777" w:rsidR="00E62EED" w:rsidRPr="00785381" w:rsidRDefault="00E62EED" w:rsidP="00C4248E">
      <w:pPr>
        <w:pStyle w:val="Caption"/>
      </w:pPr>
      <w:bookmarkStart w:id="57" w:name="_Ref30691547"/>
      <w:r>
        <w:t>. Simultaneous operation for a multi-panel IAB node</w:t>
      </w:r>
      <w:bookmarkEnd w:id="57"/>
    </w:p>
    <w:p w14:paraId="0E1F6476" w14:textId="77777777" w:rsidR="00E62EED" w:rsidRDefault="00E62EED" w:rsidP="00E62EED">
      <w:r>
        <w:t xml:space="preserve">Suppose that the parent IAB node (PN) schedules a PDSCH to the IAB node (N). A TCI indication determines which of the two panels of N are selected by PN. Since the PDSCH takes only one of the panels of N, the node can schedule a PUSCH from the child IAB node (CN) </w:t>
      </w:r>
      <w:r w:rsidRPr="006E3A2D">
        <w:t>simultaneously.</w:t>
      </w:r>
      <w:r>
        <w:t xml:space="preserve"> For example, if PN indicates a beam from panel P1, N will have panel P2 for communication with CN.</w:t>
      </w:r>
    </w:p>
    <w:p w14:paraId="655DBF68" w14:textId="77777777" w:rsidR="00E62EED" w:rsidRDefault="00E62EED" w:rsidP="00E62EED">
      <w:r>
        <w:t>If N knows in advance whether and which panel will be used for communication with PN, it can schedule a communication with CN in a timely manner. However, if PN schedules the PDSCH in the same time slot for example, N will not have sufficient time to decode the DCI and transmit a DCI of its own to CN.</w:t>
      </w:r>
    </w:p>
    <w:p w14:paraId="7EF7BCBC" w14:textId="7CC60707" w:rsidR="00E62EED" w:rsidRDefault="00CE5665" w:rsidP="00994344">
      <w:pPr>
        <w:pStyle w:val="Proposal"/>
      </w:pPr>
      <w:bookmarkStart w:id="58" w:name="_Toc54311504"/>
      <w:bookmarkStart w:id="59" w:name="_Toc54311604"/>
      <w:bookmarkStart w:id="60" w:name="_Toc54311799"/>
      <w:bookmarkStart w:id="61" w:name="_Toc54332052"/>
      <w:bookmarkStart w:id="62" w:name="_Toc54332730"/>
      <w:bookmarkStart w:id="63" w:name="_Toc54332774"/>
      <w:bookmarkStart w:id="64" w:name="_Toc54332816"/>
      <w:bookmarkStart w:id="65" w:name="_Toc54336716"/>
      <w:bookmarkStart w:id="66" w:name="_Toc54336877"/>
      <w:bookmarkStart w:id="67" w:name="_Toc54341454"/>
      <w:bookmarkStart w:id="68" w:name="_Toc54341512"/>
      <w:bookmarkStart w:id="69" w:name="_Toc54345801"/>
      <w:bookmarkStart w:id="70" w:name="_Toc54393518"/>
      <w:bookmarkStart w:id="71" w:name="_Toc54393579"/>
      <w:bookmarkStart w:id="72" w:name="_Toc54393718"/>
      <w:r>
        <w:t>Consider mechanisms to identify which IAB node panels are available for its scheduling to</w:t>
      </w:r>
      <w:r w:rsidR="00E62EED">
        <w:t xml:space="preserve"> facilitate SDM</w:t>
      </w:r>
      <w:r>
        <w:t xml:space="preserve"> operation between </w:t>
      </w:r>
      <w:r w:rsidR="00BA73CD">
        <w:t>p</w:t>
      </w:r>
      <w:r>
        <w:t xml:space="preserve">arent </w:t>
      </w:r>
      <w:r w:rsidR="00BA73CD">
        <w:t xml:space="preserve">IAB </w:t>
      </w:r>
      <w:r>
        <w:t xml:space="preserve">node and </w:t>
      </w:r>
      <w:r w:rsidR="00BA73CD">
        <w:t>c</w:t>
      </w:r>
      <w:r>
        <w:t xml:space="preserve">hild </w:t>
      </w:r>
      <w:r w:rsidR="00BA73CD">
        <w:t xml:space="preserve">IAB </w:t>
      </w:r>
      <w:r>
        <w:t>node</w:t>
      </w:r>
      <w:r w:rsidR="00E62EED">
        <w: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bookmarkEnd w:id="55"/>
    <w:bookmarkEnd w:id="56"/>
    <w:p w14:paraId="757CB4BE" w14:textId="49540F09" w:rsidR="00EE2862" w:rsidRPr="004E2463" w:rsidRDefault="00C4248E" w:rsidP="004E2463">
      <w:pPr>
        <w:rPr>
          <w:lang w:val="en-GB"/>
        </w:rPr>
      </w:pPr>
      <w:r>
        <w:rPr>
          <w:lang w:val="en-GB"/>
        </w:rPr>
        <w:t xml:space="preserve">From the list </w:t>
      </w:r>
      <w:proofErr w:type="spellStart"/>
      <w:r>
        <w:rPr>
          <w:lang w:val="en-GB"/>
        </w:rPr>
        <w:t>fo</w:t>
      </w:r>
      <w:proofErr w:type="spellEnd"/>
      <w:r>
        <w:rPr>
          <w:lang w:val="en-GB"/>
        </w:rPr>
        <w:t xml:space="preserve"> considerations, p</w:t>
      </w:r>
      <w:r w:rsidR="00EE2862">
        <w:rPr>
          <w:lang w:val="en-GB"/>
        </w:rPr>
        <w:t>ower control mechanisms are discussed under agenda item 8.</w:t>
      </w:r>
      <w:r w:rsidR="00BB0986">
        <w:rPr>
          <w:lang w:val="en-GB"/>
        </w:rPr>
        <w:t>10</w:t>
      </w:r>
      <w:r w:rsidR="00EE2862">
        <w:rPr>
          <w:lang w:val="en-GB"/>
        </w:rPr>
        <w:t>.2. The matter of self-interference will be discussed next under resource partitioning.</w:t>
      </w:r>
    </w:p>
    <w:p w14:paraId="057BB421" w14:textId="62BD08EC" w:rsidR="008D0EB5" w:rsidRDefault="008D0EB5" w:rsidP="008D0EB5">
      <w:pPr>
        <w:pStyle w:val="Heading2"/>
      </w:pPr>
      <w:r w:rsidRPr="008D0EB5">
        <w:t>Resource partitioning</w:t>
      </w:r>
      <w:r w:rsidR="005138A0">
        <w:t xml:space="preserve"> aspects</w:t>
      </w:r>
    </w:p>
    <w:p w14:paraId="1E641034" w14:textId="5295E3E9" w:rsidR="008D0EB5" w:rsidRDefault="008D0EB5" w:rsidP="008D0EB5">
      <w:pPr>
        <w:rPr>
          <w:lang w:val="en-GB"/>
        </w:rPr>
      </w:pPr>
      <w:r>
        <w:rPr>
          <w:lang w:val="en-GB"/>
        </w:rPr>
        <w:t xml:space="preserve">Companies were encouraged in the previous meeting to further consider the following aspects </w:t>
      </w:r>
      <w:r>
        <w:rPr>
          <w:lang w:val="en-GB"/>
        </w:rPr>
        <w:fldChar w:fldCharType="begin"/>
      </w:r>
      <w:r>
        <w:rPr>
          <w:lang w:val="en-GB"/>
        </w:rPr>
        <w:instrText xml:space="preserve"> REF _Ref54186872 \r \h </w:instrText>
      </w:r>
      <w:r>
        <w:rPr>
          <w:lang w:val="en-GB"/>
        </w:rPr>
      </w:r>
      <w:r>
        <w:rPr>
          <w:lang w:val="en-GB"/>
        </w:rPr>
        <w:fldChar w:fldCharType="separate"/>
      </w:r>
      <w:r>
        <w:rPr>
          <w:rFonts w:hint="cs"/>
          <w:cs/>
          <w:lang w:val="en-GB"/>
        </w:rPr>
        <w:t>‎</w:t>
      </w:r>
      <w:r>
        <w:rPr>
          <w:lang w:val="en-GB"/>
        </w:rPr>
        <w:t>[3]</w:t>
      </w:r>
      <w:r>
        <w:rPr>
          <w:lang w:val="en-GB"/>
        </w:rPr>
        <w:fldChar w:fldCharType="end"/>
      </w:r>
      <w:r>
        <w:rPr>
          <w:lang w:val="en-GB"/>
        </w:rPr>
        <w:t>:</w:t>
      </w:r>
    </w:p>
    <w:tbl>
      <w:tblPr>
        <w:tblStyle w:val="TableGrid"/>
        <w:tblW w:w="0" w:type="auto"/>
        <w:tblLook w:val="04A0" w:firstRow="1" w:lastRow="0" w:firstColumn="1" w:lastColumn="0" w:noHBand="0" w:noVBand="1"/>
      </w:tblPr>
      <w:tblGrid>
        <w:gridCol w:w="9855"/>
      </w:tblGrid>
      <w:tr w:rsidR="008D0EB5" w14:paraId="414FD16A" w14:textId="77777777" w:rsidTr="008D0EB5">
        <w:tc>
          <w:tcPr>
            <w:tcW w:w="9855" w:type="dxa"/>
          </w:tcPr>
          <w:p w14:paraId="11213CF8" w14:textId="77777777" w:rsidR="008D0EB5" w:rsidRDefault="008D0EB5" w:rsidP="008D0EB5">
            <w:pPr>
              <w:rPr>
                <w:rFonts w:eastAsia="Calibri" w:cs="Times"/>
                <w:b/>
                <w:szCs w:val="20"/>
              </w:rPr>
            </w:pPr>
            <w:r>
              <w:rPr>
                <w:rFonts w:eastAsia="Calibri" w:cs="Times"/>
                <w:b/>
                <w:szCs w:val="20"/>
              </w:rPr>
              <w:t xml:space="preserve">For companies to further consider: </w:t>
            </w:r>
          </w:p>
          <w:p w14:paraId="432CBE40" w14:textId="77777777" w:rsidR="008D0EB5" w:rsidRDefault="008D0EB5" w:rsidP="008D0EB5">
            <w:pPr>
              <w:rPr>
                <w:rFonts w:eastAsia="Calibri" w:cs="Times"/>
                <w:szCs w:val="20"/>
              </w:rPr>
            </w:pPr>
            <w:r>
              <w:rPr>
                <w:rFonts w:eastAsia="Calibri" w:cs="Times"/>
                <w:szCs w:val="20"/>
              </w:rPr>
              <w:t>Different resource partitioning scenarios for access and backhaul links, including their respective implication on interference, for different resource multiplexing cases. Examples include:</w:t>
            </w:r>
          </w:p>
          <w:p w14:paraId="268B7405" w14:textId="77777777" w:rsidR="008D0EB5" w:rsidRPr="00BA73CD" w:rsidRDefault="008D0EB5" w:rsidP="008D0EB5">
            <w:pPr>
              <w:pStyle w:val="ListParagraph"/>
              <w:numPr>
                <w:ilvl w:val="0"/>
                <w:numId w:val="26"/>
              </w:numPr>
              <w:spacing w:before="0" w:after="0" w:line="240" w:lineRule="auto"/>
              <w:rPr>
                <w:rFonts w:eastAsia="Calibri" w:cs="Times"/>
                <w:szCs w:val="20"/>
              </w:rPr>
            </w:pPr>
            <w:r w:rsidRPr="00BA73CD">
              <w:rPr>
                <w:rFonts w:eastAsia="Calibri" w:cs="Times"/>
                <w:szCs w:val="20"/>
              </w:rPr>
              <w:t>Whether a given case is only applicable for certain resource types: e.g. DL only, UL only, DL + UL</w:t>
            </w:r>
          </w:p>
          <w:p w14:paraId="4EEEA454" w14:textId="77777777" w:rsidR="008D0EB5" w:rsidRPr="00BA73CD" w:rsidRDefault="008D0EB5" w:rsidP="008D0EB5">
            <w:pPr>
              <w:pStyle w:val="ListParagraph"/>
              <w:numPr>
                <w:ilvl w:val="0"/>
                <w:numId w:val="26"/>
              </w:numPr>
              <w:spacing w:before="0" w:after="0" w:line="240" w:lineRule="auto"/>
              <w:rPr>
                <w:rFonts w:eastAsia="Calibri" w:cs="Times"/>
                <w:szCs w:val="20"/>
              </w:rPr>
            </w:pPr>
            <w:r w:rsidRPr="00BA73CD">
              <w:rPr>
                <w:rFonts w:eastAsia="Calibri" w:cs="Times"/>
                <w:szCs w:val="20"/>
              </w:rPr>
              <w:t>Whether a given case is only applicable for backhaul links or both access and backhaul links</w:t>
            </w:r>
          </w:p>
          <w:p w14:paraId="318B1FCD" w14:textId="3423136B" w:rsidR="008D0EB5" w:rsidRDefault="008D0EB5" w:rsidP="008D0EB5">
            <w:pPr>
              <w:pStyle w:val="ListParagraph"/>
              <w:numPr>
                <w:ilvl w:val="0"/>
                <w:numId w:val="26"/>
              </w:numPr>
              <w:spacing w:before="0" w:after="0" w:line="240" w:lineRule="auto"/>
              <w:rPr>
                <w:lang w:val="en-GB"/>
              </w:rPr>
            </w:pPr>
            <w:r>
              <w:rPr>
                <w:rFonts w:eastAsia="Calibri" w:cs="Times"/>
                <w:szCs w:val="20"/>
              </w:rPr>
              <w:t>Note: This should have no impact on legacy UE behavior</w:t>
            </w:r>
          </w:p>
        </w:tc>
      </w:tr>
    </w:tbl>
    <w:p w14:paraId="016FAFCF" w14:textId="77777777" w:rsidR="008D0EB5" w:rsidRPr="008D0EB5" w:rsidRDefault="008D0EB5" w:rsidP="008D0EB5">
      <w:pPr>
        <w:rPr>
          <w:lang w:val="en-GB"/>
        </w:rPr>
      </w:pPr>
    </w:p>
    <w:p w14:paraId="2FA799B2" w14:textId="6666814F" w:rsidR="008544D2" w:rsidRDefault="00454539" w:rsidP="00496899">
      <w:r>
        <w:t>Companies were encouraged in the previous meeting to further consider resource partitioning scenarios. One of the main aspects is how to handle interference and whether that affects DL/UL resources and backhaul/access links.</w:t>
      </w:r>
    </w:p>
    <w:p w14:paraId="3FCFD6CF" w14:textId="3AC84406" w:rsidR="00454539" w:rsidRDefault="00454539" w:rsidP="00496899">
      <w:r>
        <w:t xml:space="preserve">We propose to consider both downlink and uplink resources to cover all the four duplexing cases at least for the backhaul link. </w:t>
      </w:r>
      <w:bookmarkStart w:id="73" w:name="_Hlk54338286"/>
      <w:r>
        <w:t>The different types of interference</w:t>
      </w:r>
      <w:r w:rsidR="001B7460">
        <w:t>, including cross-link interference (CLI) and self-interference (SI),</w:t>
      </w:r>
      <w:r>
        <w:t xml:space="preserve"> </w:t>
      </w:r>
      <w:r w:rsidR="001B7460">
        <w:t xml:space="preserve">among </w:t>
      </w:r>
      <w:r>
        <w:t xml:space="preserve">adjacent </w:t>
      </w:r>
      <w:r w:rsidR="001B7460">
        <w:t xml:space="preserve">IAB </w:t>
      </w:r>
      <w:r>
        <w:t xml:space="preserve">nodes </w:t>
      </w:r>
      <w:r w:rsidR="001B7460">
        <w:t xml:space="preserve">and within an IAB node, </w:t>
      </w:r>
      <w:r>
        <w:t xml:space="preserve">can be handled by configuring reference signals </w:t>
      </w:r>
      <w:r w:rsidR="008C39B0">
        <w:t xml:space="preserve">that other IAB nodes in the vicinity can measure. </w:t>
      </w:r>
      <w:r w:rsidR="001B7460">
        <w:t xml:space="preserve">These reference signals are naturally CSI-RS for DL resources and SRS for UL </w:t>
      </w:r>
      <w:r w:rsidR="001B7460">
        <w:lastRenderedPageBreak/>
        <w:t xml:space="preserve">resources. </w:t>
      </w:r>
      <w:r w:rsidR="008C39B0">
        <w:t>This approach works well at least for handling interference among IAB nodes connected to the same IAB donor, because informat</w:t>
      </w:r>
      <w:r w:rsidR="001B7460">
        <w:t xml:space="preserve">ion </w:t>
      </w:r>
      <w:r w:rsidR="008C39B0">
        <w:t>of these designated CSI-RS/SRS configurations can be provided to all the IAB nodes by the IAB-CU. The case of interference among IAB nodes connected to different IAB donors can be further studied.</w:t>
      </w:r>
    </w:p>
    <w:p w14:paraId="3320C115" w14:textId="53CEF3A9" w:rsidR="008C39B0" w:rsidRDefault="008C39B0" w:rsidP="00496899">
      <w:r>
        <w:t>Furthermore, CLI where either the aggressor or the victim is a UE can also be handled by existing CLI specifications. Therefore, it can be argued that resource partitioning for duplexing cases need not be discriminated based on resource type (DL/UL) or link type (access/backhaul).</w:t>
      </w:r>
    </w:p>
    <w:p w14:paraId="4566768E" w14:textId="553185FC" w:rsidR="008C39B0" w:rsidRDefault="008C39B0" w:rsidP="00994344">
      <w:pPr>
        <w:pStyle w:val="Proposal"/>
      </w:pPr>
      <w:bookmarkStart w:id="74" w:name="_Toc54311505"/>
      <w:bookmarkStart w:id="75" w:name="_Toc54311605"/>
      <w:bookmarkStart w:id="76" w:name="_Toc54311800"/>
      <w:bookmarkStart w:id="77" w:name="_Toc54332053"/>
      <w:bookmarkStart w:id="78" w:name="_Toc54332731"/>
      <w:bookmarkStart w:id="79" w:name="_Toc54332775"/>
      <w:bookmarkStart w:id="80" w:name="_Toc54332817"/>
      <w:bookmarkStart w:id="81" w:name="_Toc54336717"/>
      <w:bookmarkStart w:id="82" w:name="_Toc54336878"/>
      <w:bookmarkStart w:id="83" w:name="_Toc54341455"/>
      <w:bookmarkStart w:id="84" w:name="_Toc54341513"/>
      <w:bookmarkStart w:id="85" w:name="_Toc54345802"/>
      <w:bookmarkStart w:id="86" w:name="_Toc54393519"/>
      <w:bookmarkStart w:id="87" w:name="_Toc54393580"/>
      <w:bookmarkStart w:id="88" w:name="_Toc54393719"/>
      <w:bookmarkEnd w:id="73"/>
      <w:r>
        <w:t>Support both downlink and uplink resources for backhaul links and access links.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962E599" w14:textId="67EE03F7" w:rsidR="008C39B0" w:rsidRDefault="004A11C3" w:rsidP="00994344">
      <w:pPr>
        <w:pStyle w:val="Proposal"/>
      </w:pPr>
      <w:bookmarkStart w:id="89" w:name="_Toc54311506"/>
      <w:bookmarkStart w:id="90" w:name="_Toc54311606"/>
      <w:bookmarkStart w:id="91" w:name="_Toc54311801"/>
      <w:bookmarkStart w:id="92" w:name="_Toc54332054"/>
      <w:bookmarkStart w:id="93" w:name="_Toc54332732"/>
      <w:bookmarkStart w:id="94" w:name="_Toc54332776"/>
      <w:bookmarkStart w:id="95" w:name="_Toc54332818"/>
      <w:bookmarkStart w:id="96" w:name="_Toc54336718"/>
      <w:bookmarkStart w:id="97" w:name="_Toc54336879"/>
      <w:bookmarkStart w:id="98" w:name="_Toc54341456"/>
      <w:bookmarkStart w:id="99" w:name="_Toc54341514"/>
      <w:bookmarkStart w:id="100" w:name="_Toc54345803"/>
      <w:bookmarkStart w:id="101" w:name="_Toc54393520"/>
      <w:bookmarkStart w:id="102" w:name="_Toc54393581"/>
      <w:bookmarkStart w:id="103" w:name="_Toc54393720"/>
      <w:r>
        <w:t>Support</w:t>
      </w:r>
      <w:r w:rsidR="008C39B0">
        <w:t xml:space="preserve"> interference management</w:t>
      </w:r>
      <w:r w:rsidR="001B7460">
        <w:t xml:space="preserve"> (including CLI and SI)</w:t>
      </w:r>
      <w:r w:rsidR="008C39B0">
        <w:t xml:space="preserve"> for </w:t>
      </w:r>
      <w:r w:rsidR="00FD20D2">
        <w:t xml:space="preserve">the </w:t>
      </w:r>
      <w:r>
        <w:t xml:space="preserve">four </w:t>
      </w:r>
      <w:r w:rsidR="00FD20D2">
        <w:t>duplexing cases, at least between IAB nodes connected to the same IAB donor.</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DB322CF" w14:textId="26A555E7" w:rsidR="00EA1EE4" w:rsidRDefault="00ED1FB7" w:rsidP="00ED1FB7">
      <w:pPr>
        <w:pStyle w:val="Heading2"/>
      </w:pPr>
      <w:r>
        <w:t>Dual-connectivity</w:t>
      </w:r>
    </w:p>
    <w:p w14:paraId="101C6225" w14:textId="08E8E393" w:rsidR="00C4248E" w:rsidRDefault="00C4248E" w:rsidP="00887C39">
      <w:pPr>
        <w:rPr>
          <w:lang w:val="en-GB"/>
        </w:rPr>
      </w:pPr>
      <w:r>
        <w:rPr>
          <w:lang w:val="en-GB"/>
        </w:rPr>
        <w:t xml:space="preserve">The following was agreed and proposed for further consideration in the previous meeting </w:t>
      </w:r>
      <w:r>
        <w:rPr>
          <w:lang w:val="en-GB"/>
        </w:rPr>
        <w:fldChar w:fldCharType="begin"/>
      </w:r>
      <w:r>
        <w:rPr>
          <w:lang w:val="en-GB"/>
        </w:rPr>
        <w:instrText xml:space="preserve"> REF _Ref54186872 \r \h </w:instrText>
      </w:r>
      <w:r>
        <w:rPr>
          <w:lang w:val="en-GB"/>
        </w:rPr>
      </w:r>
      <w:r>
        <w:rPr>
          <w:lang w:val="en-GB"/>
        </w:rPr>
        <w:fldChar w:fldCharType="separate"/>
      </w:r>
      <w:r>
        <w:rPr>
          <w:rFonts w:hint="cs"/>
          <w:cs/>
          <w:lang w:val="en-GB"/>
        </w:rPr>
        <w:t>‎</w:t>
      </w:r>
      <w:r>
        <w:rPr>
          <w:lang w:val="en-GB"/>
        </w:rPr>
        <w:t>[3]</w:t>
      </w:r>
      <w:r>
        <w:rPr>
          <w:lang w:val="en-GB"/>
        </w:rPr>
        <w:fldChar w:fldCharType="end"/>
      </w:r>
      <w:r>
        <w:rPr>
          <w:lang w:val="en-GB"/>
        </w:rPr>
        <w:t>:</w:t>
      </w:r>
    </w:p>
    <w:tbl>
      <w:tblPr>
        <w:tblStyle w:val="TableGrid"/>
        <w:tblW w:w="0" w:type="auto"/>
        <w:tblLook w:val="04A0" w:firstRow="1" w:lastRow="0" w:firstColumn="1" w:lastColumn="0" w:noHBand="0" w:noVBand="1"/>
      </w:tblPr>
      <w:tblGrid>
        <w:gridCol w:w="9855"/>
      </w:tblGrid>
      <w:tr w:rsidR="00C4248E" w14:paraId="1DA6FDB5" w14:textId="77777777" w:rsidTr="00C4248E">
        <w:tc>
          <w:tcPr>
            <w:tcW w:w="9855" w:type="dxa"/>
          </w:tcPr>
          <w:p w14:paraId="3C2374F5" w14:textId="77777777" w:rsidR="00C4248E" w:rsidRDefault="00C4248E" w:rsidP="00C4248E">
            <w:pPr>
              <w:rPr>
                <w:b/>
                <w:bCs/>
                <w:lang w:eastAsia="x-none"/>
              </w:rPr>
            </w:pPr>
            <w:r>
              <w:rPr>
                <w:b/>
                <w:bCs/>
                <w:lang w:eastAsia="x-none"/>
              </w:rPr>
              <w:t>Conclusion</w:t>
            </w:r>
          </w:p>
          <w:p w14:paraId="374AA0D7" w14:textId="77777777" w:rsidR="00C4248E" w:rsidRDefault="00C4248E" w:rsidP="00C4248E">
            <w:pPr>
              <w:rPr>
                <w:lang w:eastAsia="x-none"/>
              </w:rPr>
            </w:pPr>
            <w:r>
              <w:rPr>
                <w:lang w:eastAsia="x-none"/>
              </w:rPr>
              <w:t>At least the inter-carrier DC scenario can be considered in Rel-17. Further discussion in RAN3/RAN Plenary may be necessary for the intra-carrier DC scenario.</w:t>
            </w:r>
          </w:p>
          <w:p w14:paraId="08B791AA" w14:textId="77777777" w:rsidR="00C4248E" w:rsidRDefault="00C4248E" w:rsidP="00C4248E">
            <w:pPr>
              <w:rPr>
                <w:rFonts w:eastAsia="Calibri" w:cs="Times"/>
                <w:b/>
                <w:bCs/>
                <w:szCs w:val="20"/>
              </w:rPr>
            </w:pPr>
            <w:r>
              <w:rPr>
                <w:rFonts w:eastAsia="Calibri" w:cs="Times"/>
                <w:b/>
                <w:bCs/>
                <w:szCs w:val="20"/>
                <w:highlight w:val="green"/>
              </w:rPr>
              <w:t>Agreement</w:t>
            </w:r>
          </w:p>
          <w:p w14:paraId="055BDDAF" w14:textId="77777777" w:rsidR="00C4248E" w:rsidRDefault="00C4248E" w:rsidP="00C4248E">
            <w:pPr>
              <w:rPr>
                <w:rFonts w:eastAsia="Calibri" w:cs="Times"/>
                <w:szCs w:val="20"/>
              </w:rPr>
            </w:pPr>
            <w:r>
              <w:rPr>
                <w:rFonts w:eastAsia="Calibri" w:cs="Times"/>
                <w:szCs w:val="20"/>
              </w:rPr>
              <w:t xml:space="preserve">Reuse by IAB-MT of existing Inter-frequency DC is considered as a starting point to support concurrent BH links to two parents. </w:t>
            </w:r>
          </w:p>
          <w:p w14:paraId="30543B85" w14:textId="77777777" w:rsidR="00C4248E" w:rsidRDefault="00C4248E" w:rsidP="00C4248E">
            <w:pPr>
              <w:pStyle w:val="ListParagraph"/>
              <w:numPr>
                <w:ilvl w:val="0"/>
                <w:numId w:val="35"/>
              </w:numPr>
              <w:spacing w:before="0" w:after="0" w:line="240" w:lineRule="auto"/>
              <w:rPr>
                <w:rFonts w:eastAsia="Calibri" w:cs="Times"/>
                <w:szCs w:val="20"/>
              </w:rPr>
            </w:pPr>
            <w:r>
              <w:rPr>
                <w:rFonts w:eastAsia="Calibri" w:cs="Times"/>
                <w:szCs w:val="20"/>
              </w:rPr>
              <w:t>FFS: Reuse of multi-TRP transmission resource allocation features (if intra-</w:t>
            </w:r>
            <w:proofErr w:type="spellStart"/>
            <w:r>
              <w:rPr>
                <w:rFonts w:eastAsia="Calibri" w:cs="Times"/>
                <w:szCs w:val="20"/>
              </w:rPr>
              <w:t>freq</w:t>
            </w:r>
            <w:proofErr w:type="spellEnd"/>
            <w:r>
              <w:rPr>
                <w:rFonts w:eastAsia="Calibri" w:cs="Times"/>
                <w:szCs w:val="20"/>
              </w:rPr>
              <w:t xml:space="preserve"> DC scenario is supported for IAB)</w:t>
            </w:r>
          </w:p>
          <w:p w14:paraId="2A7C38F5" w14:textId="77777777" w:rsidR="00C4248E" w:rsidRDefault="00C4248E" w:rsidP="00C4248E">
            <w:pPr>
              <w:pStyle w:val="ListParagraph"/>
              <w:numPr>
                <w:ilvl w:val="0"/>
                <w:numId w:val="35"/>
              </w:numPr>
              <w:spacing w:before="0" w:after="0" w:line="240" w:lineRule="auto"/>
              <w:rPr>
                <w:rFonts w:eastAsia="Calibri" w:cs="Times"/>
                <w:szCs w:val="20"/>
              </w:rPr>
            </w:pPr>
            <w:r>
              <w:rPr>
                <w:rFonts w:eastAsia="Calibri" w:cs="Times"/>
                <w:szCs w:val="20"/>
              </w:rPr>
              <w:t>FFS: Additional specification effort to support IAB</w:t>
            </w:r>
          </w:p>
          <w:p w14:paraId="2B8650A8" w14:textId="77777777" w:rsidR="00C4248E" w:rsidRDefault="00C4248E" w:rsidP="00C4248E">
            <w:pPr>
              <w:rPr>
                <w:rFonts w:cs="Times"/>
                <w:b/>
                <w:bCs/>
                <w:szCs w:val="20"/>
                <w:lang w:eastAsia="x-none"/>
              </w:rPr>
            </w:pPr>
            <w:r>
              <w:rPr>
                <w:rFonts w:cs="Times"/>
                <w:b/>
                <w:bCs/>
                <w:szCs w:val="20"/>
                <w:lang w:eastAsia="x-none"/>
              </w:rPr>
              <w:t>For companies to further consider:</w:t>
            </w:r>
          </w:p>
          <w:p w14:paraId="5AD11452" w14:textId="77777777" w:rsidR="00C4248E" w:rsidRDefault="00C4248E" w:rsidP="00C4248E">
            <w:pPr>
              <w:rPr>
                <w:rFonts w:eastAsia="Calibri" w:cs="Times"/>
                <w:szCs w:val="20"/>
              </w:rPr>
            </w:pPr>
            <w:r>
              <w:rPr>
                <w:rFonts w:eastAsia="Calibri" w:cs="Times"/>
                <w:szCs w:val="20"/>
              </w:rPr>
              <w:t>The following categories of enhancements have been proposed to support DC scenarios (not an exhaustive list):</w:t>
            </w:r>
          </w:p>
          <w:p w14:paraId="22057F15" w14:textId="77777777" w:rsidR="00C4248E" w:rsidRPr="00BA73CD" w:rsidRDefault="00C4248E" w:rsidP="00C4248E">
            <w:pPr>
              <w:pStyle w:val="ListParagraph"/>
              <w:numPr>
                <w:ilvl w:val="0"/>
                <w:numId w:val="36"/>
              </w:numPr>
              <w:spacing w:before="0" w:after="0" w:line="240" w:lineRule="auto"/>
              <w:rPr>
                <w:rFonts w:eastAsia="Calibri" w:cs="Times"/>
                <w:szCs w:val="20"/>
              </w:rPr>
            </w:pPr>
            <w:r w:rsidRPr="00BA73CD">
              <w:rPr>
                <w:rFonts w:eastAsia="Calibri" w:cs="Times"/>
                <w:szCs w:val="20"/>
              </w:rPr>
              <w:t>Inter-parent DU resource coordination mechanisms and signaling</w:t>
            </w:r>
          </w:p>
          <w:p w14:paraId="47E914AE" w14:textId="77777777" w:rsidR="00C4248E" w:rsidRPr="00BA73CD" w:rsidRDefault="00C4248E" w:rsidP="00C4248E">
            <w:pPr>
              <w:pStyle w:val="ListParagraph"/>
              <w:numPr>
                <w:ilvl w:val="0"/>
                <w:numId w:val="36"/>
              </w:numPr>
              <w:spacing w:before="0" w:after="0" w:line="240" w:lineRule="auto"/>
              <w:rPr>
                <w:rFonts w:eastAsia="Calibri" w:cs="Times"/>
                <w:szCs w:val="20"/>
              </w:rPr>
            </w:pPr>
            <w:r w:rsidRPr="00BA73CD">
              <w:rPr>
                <w:rFonts w:eastAsia="Calibri" w:cs="Times"/>
                <w:szCs w:val="20"/>
              </w:rPr>
              <w:t>Resource allocation/scheduling conflict resolution rules at the parent or child node</w:t>
            </w:r>
          </w:p>
          <w:p w14:paraId="72AACDD3" w14:textId="0051ADF2" w:rsidR="00C4248E" w:rsidRPr="00C4248E" w:rsidRDefault="00C4248E" w:rsidP="00C4248E">
            <w:pPr>
              <w:pStyle w:val="ListParagraph"/>
              <w:numPr>
                <w:ilvl w:val="0"/>
                <w:numId w:val="36"/>
              </w:numPr>
              <w:spacing w:before="0" w:after="0" w:line="240" w:lineRule="auto"/>
              <w:rPr>
                <w:rFonts w:eastAsia="Calibri" w:cs="Times"/>
                <w:szCs w:val="20"/>
              </w:rPr>
            </w:pPr>
            <w:r>
              <w:rPr>
                <w:rFonts w:eastAsia="Calibri" w:cs="Times"/>
                <w:szCs w:val="20"/>
              </w:rPr>
              <w:t>Per-link IAB-DU resource configurations at the parent node</w:t>
            </w:r>
          </w:p>
        </w:tc>
      </w:tr>
    </w:tbl>
    <w:p w14:paraId="696F3626" w14:textId="77777777" w:rsidR="00C4248E" w:rsidRDefault="00C4248E" w:rsidP="00887C39">
      <w:pPr>
        <w:rPr>
          <w:lang w:val="en-GB"/>
        </w:rPr>
      </w:pPr>
    </w:p>
    <w:p w14:paraId="64548ABB" w14:textId="0FC4E89C" w:rsidR="00DB4489" w:rsidRDefault="00C46095" w:rsidP="00887C39">
      <w:pPr>
        <w:rPr>
          <w:lang w:val="en-GB"/>
        </w:rPr>
      </w:pPr>
      <w:r>
        <w:rPr>
          <w:lang w:val="en-GB"/>
        </w:rPr>
        <w:t>When an IAB node N establishes connections with two parent IAB nodes PN1 and PN2, both parent IAB nodes can be informed of resource configurations for N according to IAB Rel-16. That is, both PN1 and PN2 can be informed of which resources for N</w:t>
      </w:r>
      <w:r w:rsidR="00DB4489">
        <w:rPr>
          <w:lang w:val="en-GB"/>
        </w:rPr>
        <w:t xml:space="preserve"> IAB-DU</w:t>
      </w:r>
      <w:r>
        <w:rPr>
          <w:lang w:val="en-GB"/>
        </w:rPr>
        <w:t xml:space="preserve"> are always available (H), not available (NA), or subject to availability indication (S). However, for example, if PN1 indicates soft resources available for N</w:t>
      </w:r>
      <w:r w:rsidR="00DB4489">
        <w:rPr>
          <w:lang w:val="en-GB"/>
        </w:rPr>
        <w:t xml:space="preserve"> through DCI 2_5 </w:t>
      </w:r>
      <w:proofErr w:type="spellStart"/>
      <w:r w:rsidR="00DB4489">
        <w:rPr>
          <w:lang w:val="en-GB"/>
        </w:rPr>
        <w:t>signaling</w:t>
      </w:r>
      <w:proofErr w:type="spellEnd"/>
      <w:r>
        <w:rPr>
          <w:lang w:val="en-GB"/>
        </w:rPr>
        <w:t>, PN2 does not have access to this information</w:t>
      </w:r>
      <w:r w:rsidR="00DB4489">
        <w:rPr>
          <w:lang w:val="en-GB"/>
        </w:rPr>
        <w:t>.</w:t>
      </w:r>
    </w:p>
    <w:p w14:paraId="2FDD4FEB" w14:textId="34FA9C64" w:rsidR="00C46095" w:rsidRDefault="00DB4489" w:rsidP="00887C39">
      <w:pPr>
        <w:rPr>
          <w:lang w:val="en-GB"/>
        </w:rPr>
      </w:pPr>
      <w:r>
        <w:rPr>
          <w:lang w:val="en-GB"/>
        </w:rPr>
        <w:t xml:space="preserve">That </w:t>
      </w:r>
      <w:r w:rsidR="00C46095">
        <w:rPr>
          <w:lang w:val="en-GB"/>
        </w:rPr>
        <w:t>raises several issues. One issue is that if PN2 intends to avoid interference with transmissions scheduled by N</w:t>
      </w:r>
      <w:r>
        <w:rPr>
          <w:lang w:val="en-GB"/>
        </w:rPr>
        <w:t xml:space="preserve"> on soft resources</w:t>
      </w:r>
      <w:r w:rsidR="00C46095">
        <w:rPr>
          <w:lang w:val="en-GB"/>
        </w:rPr>
        <w:t xml:space="preserve">, it does not </w:t>
      </w:r>
      <w:r>
        <w:rPr>
          <w:lang w:val="en-GB"/>
        </w:rPr>
        <w:t xml:space="preserve">have a means to realize whether the soft resources are already available to N. Another issue </w:t>
      </w:r>
      <w:r w:rsidR="00CA3F84">
        <w:rPr>
          <w:lang w:val="en-GB"/>
        </w:rPr>
        <w:t xml:space="preserve">is during </w:t>
      </w:r>
      <w:r>
        <w:rPr>
          <w:lang w:val="en-GB"/>
        </w:rPr>
        <w:t>transition times when the link between N and PN1 is not available and PN2 should take control of resource availability for N and other child nodes without knowing which soft resources are already indicated available to N.</w:t>
      </w:r>
    </w:p>
    <w:p w14:paraId="523030DA" w14:textId="5E9D3424" w:rsidR="00DB4489" w:rsidRDefault="00DB4489" w:rsidP="00887C39">
      <w:pPr>
        <w:rPr>
          <w:lang w:val="en-GB"/>
        </w:rPr>
      </w:pPr>
      <w:r>
        <w:rPr>
          <w:lang w:val="en-GB"/>
        </w:rPr>
        <w:t xml:space="preserve">In order to address these issues, signalling can be introduced between parent nodes, or from an IAB node to its parent node, that informs the parent node of the current status of AI for soft resources </w:t>
      </w:r>
      <w:r w:rsidR="00C4248E">
        <w:rPr>
          <w:lang w:val="en-GB"/>
        </w:rPr>
        <w:t>of</w:t>
      </w:r>
      <w:r>
        <w:rPr>
          <w:lang w:val="en-GB"/>
        </w:rPr>
        <w:t xml:space="preserve"> a dually-connected IAB node.</w:t>
      </w:r>
    </w:p>
    <w:p w14:paraId="5EFE6A23" w14:textId="2D0C84B1" w:rsidR="00A90CE4" w:rsidRDefault="00A90CE4" w:rsidP="00994344">
      <w:pPr>
        <w:pStyle w:val="Proposal"/>
      </w:pPr>
      <w:bookmarkStart w:id="104" w:name="_Toc54311507"/>
      <w:bookmarkStart w:id="105" w:name="_Toc54311607"/>
      <w:bookmarkStart w:id="106" w:name="_Toc54311802"/>
      <w:bookmarkStart w:id="107" w:name="_Toc54332055"/>
      <w:bookmarkStart w:id="108" w:name="_Toc54332733"/>
      <w:bookmarkStart w:id="109" w:name="_Toc54332777"/>
      <w:bookmarkStart w:id="110" w:name="_Toc54332819"/>
      <w:bookmarkStart w:id="111" w:name="_Toc54336719"/>
      <w:bookmarkStart w:id="112" w:name="_Toc54336880"/>
      <w:bookmarkStart w:id="113" w:name="_Toc54341457"/>
      <w:bookmarkStart w:id="114" w:name="_Toc54341515"/>
      <w:bookmarkStart w:id="115" w:name="_Toc54345804"/>
      <w:bookmarkStart w:id="116" w:name="_Toc54393521"/>
      <w:bookmarkStart w:id="117" w:name="_Toc54393582"/>
      <w:bookmarkStart w:id="118" w:name="_Toc54393721"/>
      <w:r>
        <w:t xml:space="preserve">Define </w:t>
      </w:r>
      <w:r w:rsidRPr="00994344">
        <w:t>signaling</w:t>
      </w:r>
      <w:r>
        <w:t xml:space="preserve"> </w:t>
      </w:r>
      <w:r w:rsidRPr="00994344">
        <w:t>for</w:t>
      </w:r>
      <w:r>
        <w:t xml:space="preserve"> IAB nodes in the DC mode to inform parent IAB nodes of the status of availability of soft resources.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7D4F397" w14:textId="5BD92296" w:rsidR="00B1741F" w:rsidRPr="001B5AA8" w:rsidRDefault="00453465" w:rsidP="00B1741F">
      <w:pPr>
        <w:pStyle w:val="Heading1"/>
      </w:pPr>
      <w:r>
        <w:t>Conclusions</w:t>
      </w:r>
    </w:p>
    <w:p w14:paraId="2F91A1ED" w14:textId="7F104BC9" w:rsidR="00B1741F" w:rsidRDefault="00B1741F" w:rsidP="00B1741F">
      <w:r>
        <w:t xml:space="preserve">In this contribution, we discussed </w:t>
      </w:r>
      <w:r w:rsidR="00F317D4">
        <w:t xml:space="preserve">resource multiplexing </w:t>
      </w:r>
      <w:r>
        <w:t>enhancements for simultaneous operation</w:t>
      </w:r>
      <w:r w:rsidR="00C124C4">
        <w:t>s on</w:t>
      </w:r>
      <w:r>
        <w:t xml:space="preserve"> child and parent links of an IAB</w:t>
      </w:r>
      <w:r w:rsidR="00DA2597">
        <w:t xml:space="preserve"> </w:t>
      </w:r>
      <w:r>
        <w:t>node and made the following proposals:</w:t>
      </w:r>
    </w:p>
    <w:p w14:paraId="6F145DD5" w14:textId="77777777" w:rsidR="009726F5" w:rsidRDefault="009A7FE7">
      <w:pPr>
        <w:pStyle w:val="TableofFigures"/>
        <w:tabs>
          <w:tab w:val="left" w:pos="1418"/>
        </w:tabs>
        <w:rPr>
          <w:rFonts w:asciiTheme="minorHAnsi" w:eastAsiaTheme="minorEastAsia" w:hAnsiTheme="minorHAnsi" w:cstheme="minorBidi"/>
          <w:b w:val="0"/>
          <w:bCs w:val="0"/>
          <w:noProof/>
          <w:sz w:val="22"/>
          <w:szCs w:val="22"/>
        </w:rPr>
      </w:pPr>
      <w:r>
        <w:lastRenderedPageBreak/>
        <w:fldChar w:fldCharType="begin"/>
      </w:r>
      <w:r>
        <w:instrText xml:space="preserve"> TOC \n \t "Proposal" \c </w:instrText>
      </w:r>
      <w:bookmarkStart w:id="119" w:name="_GoBack"/>
      <w:bookmarkEnd w:id="119"/>
      <w:r>
        <w:fldChar w:fldCharType="separate"/>
      </w:r>
      <w:r w:rsidR="009726F5" w:rsidRPr="006136B1">
        <w:rPr>
          <w:noProof/>
          <w:lang w:val="en-GB"/>
        </w:rPr>
        <w:t>Proposal 1:</w:t>
      </w:r>
      <w:r w:rsidR="009726F5">
        <w:rPr>
          <w:rFonts w:asciiTheme="minorHAnsi" w:eastAsiaTheme="minorEastAsia" w:hAnsiTheme="minorHAnsi" w:cstheme="minorBidi"/>
          <w:b w:val="0"/>
          <w:bCs w:val="0"/>
          <w:noProof/>
          <w:sz w:val="22"/>
          <w:szCs w:val="22"/>
        </w:rPr>
        <w:tab/>
      </w:r>
      <w:r w:rsidR="009726F5">
        <w:rPr>
          <w:noProof/>
        </w:rPr>
        <w:t>Support</w:t>
      </w:r>
      <w:r w:rsidR="009726F5" w:rsidRPr="006136B1">
        <w:rPr>
          <w:noProof/>
          <w:lang w:val="en-GB"/>
        </w:rPr>
        <w:t xml:space="preserve"> semi-static resource configuration (partitioning) in time and frequency domains.</w:t>
      </w:r>
    </w:p>
    <w:p w14:paraId="7B60B2DB" w14:textId="77777777" w:rsidR="009726F5" w:rsidRDefault="009726F5">
      <w:pPr>
        <w:pStyle w:val="TableofFigures"/>
        <w:tabs>
          <w:tab w:val="left" w:pos="1418"/>
        </w:tabs>
        <w:rPr>
          <w:rFonts w:asciiTheme="minorHAnsi" w:eastAsiaTheme="minorEastAsia" w:hAnsiTheme="minorHAnsi" w:cstheme="minorBidi"/>
          <w:b w:val="0"/>
          <w:bCs w:val="0"/>
          <w:noProof/>
          <w:sz w:val="22"/>
          <w:szCs w:val="22"/>
        </w:rPr>
      </w:pPr>
      <w:r>
        <w:rPr>
          <w:noProof/>
        </w:rPr>
        <w:t>Proposal 2:</w:t>
      </w:r>
      <w:r>
        <w:rPr>
          <w:rFonts w:asciiTheme="minorHAnsi" w:eastAsiaTheme="minorEastAsia" w:hAnsiTheme="minorHAnsi" w:cstheme="minorBidi"/>
          <w:b w:val="0"/>
          <w:bCs w:val="0"/>
          <w:noProof/>
          <w:sz w:val="22"/>
          <w:szCs w:val="22"/>
        </w:rPr>
        <w:tab/>
      </w:r>
      <w:r>
        <w:rPr>
          <w:noProof/>
        </w:rPr>
        <w:t>Extend hard/soft resource configuration and availability indication to the frequeny domain.</w:t>
      </w:r>
    </w:p>
    <w:p w14:paraId="47BA6CC6" w14:textId="77777777" w:rsidR="009726F5" w:rsidRDefault="009726F5">
      <w:pPr>
        <w:pStyle w:val="TableofFigures"/>
        <w:tabs>
          <w:tab w:val="left" w:pos="1418"/>
        </w:tabs>
        <w:rPr>
          <w:rFonts w:asciiTheme="minorHAnsi" w:eastAsiaTheme="minorEastAsia" w:hAnsiTheme="minorHAnsi" w:cstheme="minorBidi"/>
          <w:b w:val="0"/>
          <w:bCs w:val="0"/>
          <w:noProof/>
          <w:sz w:val="22"/>
          <w:szCs w:val="22"/>
        </w:rPr>
      </w:pPr>
      <w:r w:rsidRPr="006136B1">
        <w:rPr>
          <w:noProof/>
          <w:lang w:val="en-GB"/>
        </w:rPr>
        <w:t>Proposal 3:</w:t>
      </w:r>
      <w:r>
        <w:rPr>
          <w:rFonts w:asciiTheme="minorHAnsi" w:eastAsiaTheme="minorEastAsia" w:hAnsiTheme="minorHAnsi" w:cstheme="minorBidi"/>
          <w:b w:val="0"/>
          <w:bCs w:val="0"/>
          <w:noProof/>
          <w:sz w:val="22"/>
          <w:szCs w:val="22"/>
        </w:rPr>
        <w:tab/>
      </w:r>
      <w:r w:rsidRPr="006136B1">
        <w:rPr>
          <w:noProof/>
          <w:lang w:val="en-GB"/>
        </w:rPr>
        <w:t>Knowledge of IAB node capability of timing alignment, multi-panel and baseband characteristics may be beneficial from system operation perspective.</w:t>
      </w:r>
    </w:p>
    <w:p w14:paraId="55EBD373" w14:textId="77777777" w:rsidR="009726F5" w:rsidRDefault="009726F5">
      <w:pPr>
        <w:pStyle w:val="TableofFigures"/>
        <w:tabs>
          <w:tab w:val="left" w:pos="1418"/>
        </w:tabs>
        <w:rPr>
          <w:rFonts w:asciiTheme="minorHAnsi" w:eastAsiaTheme="minorEastAsia" w:hAnsiTheme="minorHAnsi" w:cstheme="minorBidi"/>
          <w:b w:val="0"/>
          <w:bCs w:val="0"/>
          <w:noProof/>
          <w:sz w:val="22"/>
          <w:szCs w:val="22"/>
        </w:rPr>
      </w:pPr>
      <w:r>
        <w:rPr>
          <w:noProof/>
        </w:rPr>
        <w:t>Proposal 4:</w:t>
      </w:r>
      <w:r>
        <w:rPr>
          <w:rFonts w:asciiTheme="minorHAnsi" w:eastAsiaTheme="minorEastAsia" w:hAnsiTheme="minorHAnsi" w:cstheme="minorBidi"/>
          <w:b w:val="0"/>
          <w:bCs w:val="0"/>
          <w:noProof/>
          <w:sz w:val="22"/>
          <w:szCs w:val="22"/>
        </w:rPr>
        <w:tab/>
      </w:r>
      <w:r>
        <w:rPr>
          <w:noProof/>
        </w:rPr>
        <w:t>Consider mechanisms to identify which IAB node panels are available for its scheduling to facilitate SDM operation between parent IAB node and child IAB node.</w:t>
      </w:r>
    </w:p>
    <w:p w14:paraId="531BD5B7" w14:textId="77777777" w:rsidR="009726F5" w:rsidRDefault="009726F5">
      <w:pPr>
        <w:pStyle w:val="TableofFigures"/>
        <w:tabs>
          <w:tab w:val="left" w:pos="1418"/>
        </w:tabs>
        <w:rPr>
          <w:rFonts w:asciiTheme="minorHAnsi" w:eastAsiaTheme="minorEastAsia" w:hAnsiTheme="minorHAnsi" w:cstheme="minorBidi"/>
          <w:b w:val="0"/>
          <w:bCs w:val="0"/>
          <w:noProof/>
          <w:sz w:val="22"/>
          <w:szCs w:val="22"/>
        </w:rPr>
      </w:pPr>
      <w:r>
        <w:rPr>
          <w:noProof/>
        </w:rPr>
        <w:t>Proposal 5:</w:t>
      </w:r>
      <w:r>
        <w:rPr>
          <w:rFonts w:asciiTheme="minorHAnsi" w:eastAsiaTheme="minorEastAsia" w:hAnsiTheme="minorHAnsi" w:cstheme="minorBidi"/>
          <w:b w:val="0"/>
          <w:bCs w:val="0"/>
          <w:noProof/>
          <w:sz w:val="22"/>
          <w:szCs w:val="22"/>
        </w:rPr>
        <w:tab/>
      </w:r>
      <w:r>
        <w:rPr>
          <w:noProof/>
        </w:rPr>
        <w:t>Support both downlink and uplink resources for backhaul links and access links.</w:t>
      </w:r>
    </w:p>
    <w:p w14:paraId="6DE2BFBE" w14:textId="77777777" w:rsidR="009726F5" w:rsidRDefault="009726F5">
      <w:pPr>
        <w:pStyle w:val="TableofFigures"/>
        <w:tabs>
          <w:tab w:val="left" w:pos="1418"/>
        </w:tabs>
        <w:rPr>
          <w:rFonts w:asciiTheme="minorHAnsi" w:eastAsiaTheme="minorEastAsia" w:hAnsiTheme="minorHAnsi" w:cstheme="minorBidi"/>
          <w:b w:val="0"/>
          <w:bCs w:val="0"/>
          <w:noProof/>
          <w:sz w:val="22"/>
          <w:szCs w:val="22"/>
        </w:rPr>
      </w:pPr>
      <w:r>
        <w:rPr>
          <w:noProof/>
        </w:rPr>
        <w:t>Proposal 6:</w:t>
      </w:r>
      <w:r>
        <w:rPr>
          <w:rFonts w:asciiTheme="minorHAnsi" w:eastAsiaTheme="minorEastAsia" w:hAnsiTheme="minorHAnsi" w:cstheme="minorBidi"/>
          <w:b w:val="0"/>
          <w:bCs w:val="0"/>
          <w:noProof/>
          <w:sz w:val="22"/>
          <w:szCs w:val="22"/>
        </w:rPr>
        <w:tab/>
      </w:r>
      <w:r>
        <w:rPr>
          <w:noProof/>
        </w:rPr>
        <w:t>Support interference management (including CLI and SI) for the four duplexing cases, at least between IAB nodes connected to the same IAB donor.</w:t>
      </w:r>
    </w:p>
    <w:p w14:paraId="2EE2DC4D" w14:textId="77777777" w:rsidR="009726F5" w:rsidRDefault="009726F5">
      <w:pPr>
        <w:pStyle w:val="TableofFigures"/>
        <w:tabs>
          <w:tab w:val="left" w:pos="1418"/>
        </w:tabs>
        <w:rPr>
          <w:rFonts w:asciiTheme="minorHAnsi" w:eastAsiaTheme="minorEastAsia" w:hAnsiTheme="minorHAnsi" w:cstheme="minorBidi"/>
          <w:b w:val="0"/>
          <w:bCs w:val="0"/>
          <w:noProof/>
          <w:sz w:val="22"/>
          <w:szCs w:val="22"/>
        </w:rPr>
      </w:pPr>
      <w:r>
        <w:rPr>
          <w:noProof/>
        </w:rPr>
        <w:t>Proposal 7:</w:t>
      </w:r>
      <w:r>
        <w:rPr>
          <w:rFonts w:asciiTheme="minorHAnsi" w:eastAsiaTheme="minorEastAsia" w:hAnsiTheme="minorHAnsi" w:cstheme="minorBidi"/>
          <w:b w:val="0"/>
          <w:bCs w:val="0"/>
          <w:noProof/>
          <w:sz w:val="22"/>
          <w:szCs w:val="22"/>
        </w:rPr>
        <w:tab/>
      </w:r>
      <w:r>
        <w:rPr>
          <w:noProof/>
        </w:rPr>
        <w:t>Define signaling for IAB nodes in the DC mode to inform parent IAB nodes of the status of availability of soft resources.</w:t>
      </w:r>
    </w:p>
    <w:p w14:paraId="3D51BDC7" w14:textId="502A4E9D" w:rsidR="006055A3" w:rsidRDefault="009A7FE7" w:rsidP="001D539E">
      <w:pPr>
        <w:pStyle w:val="TableofFigures"/>
        <w:tabs>
          <w:tab w:val="left" w:pos="1418"/>
          <w:tab w:val="right" w:pos="9629"/>
        </w:tabs>
      </w:pPr>
      <w:r>
        <w:fldChar w:fldCharType="end"/>
      </w:r>
    </w:p>
    <w:p w14:paraId="2AAA3E1B" w14:textId="7D685E96" w:rsidR="00B1741F" w:rsidRPr="001B5AA8" w:rsidRDefault="00B1741F" w:rsidP="00B1741F">
      <w:pPr>
        <w:pStyle w:val="Heading1"/>
      </w:pPr>
      <w:r>
        <w:rPr>
          <w:lang w:val="en-US"/>
        </w:rPr>
        <w:t>References</w:t>
      </w:r>
    </w:p>
    <w:p w14:paraId="601D6610" w14:textId="77777777" w:rsidR="00032DAB" w:rsidRDefault="00032DAB" w:rsidP="00E421CF">
      <w:pPr>
        <w:pStyle w:val="References"/>
        <w:numPr>
          <w:ilvl w:val="0"/>
          <w:numId w:val="11"/>
        </w:numPr>
      </w:pPr>
      <w:bookmarkStart w:id="120" w:name="_Ref30751908"/>
      <w:r w:rsidRPr="00032DAB">
        <w:t>RP-193251</w:t>
      </w:r>
      <w:bookmarkEnd w:id="3"/>
      <w:r w:rsidR="00E421CF">
        <w:t>, “</w:t>
      </w:r>
      <w:r w:rsidR="00E421CF" w:rsidRPr="00E421CF">
        <w:t>New WID on Enhancements to Integrated Access and Backhaul</w:t>
      </w:r>
      <w:r w:rsidR="00E421CF">
        <w:t xml:space="preserve">,” Qualcomm, RAN#86, </w:t>
      </w:r>
      <w:proofErr w:type="spellStart"/>
      <w:r w:rsidR="00E421CF">
        <w:t>Sitges</w:t>
      </w:r>
      <w:proofErr w:type="spellEnd"/>
      <w:r w:rsidR="00E421CF">
        <w:t>, Spain, December 2019.</w:t>
      </w:r>
      <w:bookmarkEnd w:id="4"/>
      <w:bookmarkEnd w:id="120"/>
    </w:p>
    <w:p w14:paraId="34966503" w14:textId="61C49541" w:rsidR="00900A18" w:rsidRDefault="00900A18" w:rsidP="00900A18">
      <w:pPr>
        <w:pStyle w:val="References"/>
        <w:numPr>
          <w:ilvl w:val="0"/>
          <w:numId w:val="11"/>
        </w:numPr>
      </w:pPr>
      <w:bookmarkStart w:id="121" w:name="_Ref47520968"/>
      <w:bookmarkStart w:id="122" w:name="_Ref30491916"/>
      <w:r w:rsidRPr="00900A18">
        <w:t>RP-201293</w:t>
      </w:r>
      <w:r>
        <w:t>, “</w:t>
      </w:r>
      <w:r w:rsidRPr="00E421CF">
        <w:t>New WID on Enhancements to Integrated Access and Backhaul</w:t>
      </w:r>
      <w:r>
        <w:t xml:space="preserve">,” Qualcomm, RAN#88e, </w:t>
      </w:r>
      <w:r w:rsidR="00BA438E">
        <w:t xml:space="preserve">Electronic </w:t>
      </w:r>
      <w:r>
        <w:t>Meeting, June-July 2020.</w:t>
      </w:r>
      <w:bookmarkEnd w:id="121"/>
    </w:p>
    <w:p w14:paraId="4D9EC02B" w14:textId="04547EA9" w:rsidR="00F95439" w:rsidRDefault="00F95439" w:rsidP="00900A18">
      <w:pPr>
        <w:pStyle w:val="References"/>
        <w:numPr>
          <w:ilvl w:val="0"/>
          <w:numId w:val="11"/>
        </w:numPr>
      </w:pPr>
      <w:bookmarkStart w:id="123" w:name="_Ref54186872"/>
      <w:r>
        <w:t>RAN1#102-e Chairman’s Notes.</w:t>
      </w:r>
      <w:bookmarkEnd w:id="123"/>
    </w:p>
    <w:p w14:paraId="7CC3CF51" w14:textId="780E5644" w:rsidR="00F83912" w:rsidRPr="00B23C80" w:rsidRDefault="00DA2E53" w:rsidP="0063027B">
      <w:pPr>
        <w:pStyle w:val="References"/>
        <w:numPr>
          <w:ilvl w:val="0"/>
          <w:numId w:val="11"/>
        </w:numPr>
      </w:pPr>
      <w:bookmarkStart w:id="124" w:name="_Ref30492464"/>
      <w:bookmarkEnd w:id="5"/>
      <w:bookmarkEnd w:id="122"/>
      <w:r w:rsidRPr="00DA2E53">
        <w:t>R1-200910</w:t>
      </w:r>
      <w:r>
        <w:t>9</w:t>
      </w:r>
      <w:r w:rsidR="0063027B">
        <w:t>, “</w:t>
      </w:r>
      <w:r w:rsidR="00F479EB" w:rsidRPr="00F479EB">
        <w:t>Enhancements for simultaneous operation in IAB systems</w:t>
      </w:r>
      <w:r w:rsidR="0063027B">
        <w:t xml:space="preserve">,” Lenovo, </w:t>
      </w:r>
      <w:bookmarkEnd w:id="124"/>
      <w:r w:rsidR="00BA438E">
        <w:t xml:space="preserve">Motorola Mobility, </w:t>
      </w:r>
      <w:r w:rsidR="0063027B">
        <w:t>RAN1#10</w:t>
      </w:r>
      <w:r w:rsidR="00553D14">
        <w:t>3</w:t>
      </w:r>
      <w:r w:rsidR="00304F48">
        <w:t>-</w:t>
      </w:r>
      <w:r w:rsidR="00BA438E">
        <w:t xml:space="preserve">e, Electronic Meeting, </w:t>
      </w:r>
      <w:r w:rsidR="00304F48">
        <w:t>October/November</w:t>
      </w:r>
      <w:r w:rsidR="0063027B">
        <w:t xml:space="preserve"> 2020.</w:t>
      </w:r>
    </w:p>
    <w:sectPr w:rsidR="00F83912" w:rsidRPr="00B23C80" w:rsidSect="00E054B7">
      <w:headerReference w:type="even" r:id="rId12"/>
      <w:footerReference w:type="even" r:id="rId13"/>
      <w:footerReference w:type="default" r:id="rId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46298" w14:textId="77777777" w:rsidR="00907F41" w:rsidRDefault="00907F41">
      <w:r>
        <w:separator/>
      </w:r>
    </w:p>
  </w:endnote>
  <w:endnote w:type="continuationSeparator" w:id="0">
    <w:p w14:paraId="5F2DADA4" w14:textId="77777777" w:rsidR="00907F41" w:rsidRDefault="00907F41">
      <w:r>
        <w:continuationSeparator/>
      </w:r>
    </w:p>
  </w:endnote>
  <w:endnote w:type="continuationNotice" w:id="1">
    <w:p w14:paraId="11199344" w14:textId="77777777" w:rsidR="00907F41" w:rsidRDefault="00907F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78AE7" w14:textId="77777777" w:rsidR="00976E39" w:rsidRDefault="00B67E87" w:rsidP="00F837DD">
    <w:pPr>
      <w:pStyle w:val="Footer"/>
      <w:framePr w:wrap="around" w:vAnchor="text" w:hAnchor="margin" w:xAlign="right" w:y="1"/>
      <w:rPr>
        <w:rStyle w:val="PageNumber"/>
      </w:rPr>
    </w:pPr>
    <w:r>
      <w:rPr>
        <w:rStyle w:val="PageNumber"/>
      </w:rPr>
      <w:fldChar w:fldCharType="begin"/>
    </w:r>
    <w:r w:rsidR="00976E39">
      <w:rPr>
        <w:rStyle w:val="PageNumber"/>
      </w:rPr>
      <w:instrText xml:space="preserve">PAGE  </w:instrText>
    </w:r>
    <w:r>
      <w:rPr>
        <w:rStyle w:val="PageNumber"/>
      </w:rPr>
      <w:fldChar w:fldCharType="end"/>
    </w:r>
  </w:p>
  <w:p w14:paraId="4E88AFDC" w14:textId="77777777" w:rsidR="00976E39" w:rsidRDefault="00976E3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145AE" w14:textId="2DA8EDFF" w:rsidR="00976E39" w:rsidRDefault="00B67E87" w:rsidP="00450D3B">
    <w:pPr>
      <w:pStyle w:val="Footer"/>
      <w:ind w:right="360"/>
    </w:pPr>
    <w:r>
      <w:rPr>
        <w:rStyle w:val="PageNumber"/>
      </w:rPr>
      <w:fldChar w:fldCharType="begin"/>
    </w:r>
    <w:r w:rsidR="00976E39">
      <w:rPr>
        <w:rStyle w:val="PageNumber"/>
      </w:rPr>
      <w:instrText xml:space="preserve"> PAGE </w:instrText>
    </w:r>
    <w:r>
      <w:rPr>
        <w:rStyle w:val="PageNumber"/>
      </w:rPr>
      <w:fldChar w:fldCharType="separate"/>
    </w:r>
    <w:r w:rsidR="007F04E6">
      <w:rPr>
        <w:rStyle w:val="PageNumber"/>
      </w:rPr>
      <w:t>3</w:t>
    </w:r>
    <w:r>
      <w:rPr>
        <w:rStyle w:val="PageNumber"/>
      </w:rPr>
      <w:fldChar w:fldCharType="end"/>
    </w:r>
    <w:r w:rsidR="00976E39">
      <w:rPr>
        <w:rStyle w:val="PageNumber"/>
      </w:rPr>
      <w:t>/</w:t>
    </w:r>
    <w:r>
      <w:rPr>
        <w:rStyle w:val="PageNumber"/>
      </w:rPr>
      <w:fldChar w:fldCharType="begin"/>
    </w:r>
    <w:r w:rsidR="00976E39">
      <w:rPr>
        <w:rStyle w:val="PageNumber"/>
      </w:rPr>
      <w:instrText xml:space="preserve"> NUMPAGES </w:instrText>
    </w:r>
    <w:r>
      <w:rPr>
        <w:rStyle w:val="PageNumber"/>
      </w:rPr>
      <w:fldChar w:fldCharType="separate"/>
    </w:r>
    <w:r w:rsidR="007F04E6">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A10C8" w14:textId="77777777" w:rsidR="00907F41" w:rsidRDefault="00907F41">
      <w:r>
        <w:separator/>
      </w:r>
    </w:p>
  </w:footnote>
  <w:footnote w:type="continuationSeparator" w:id="0">
    <w:p w14:paraId="3CC8AB88" w14:textId="77777777" w:rsidR="00907F41" w:rsidRDefault="00907F41">
      <w:r>
        <w:continuationSeparator/>
      </w:r>
    </w:p>
  </w:footnote>
  <w:footnote w:type="continuationNotice" w:id="1">
    <w:p w14:paraId="5A5EAD0E" w14:textId="77777777" w:rsidR="00907F41" w:rsidRDefault="00907F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0A9B9" w14:textId="77777777" w:rsidR="00976E39" w:rsidRDefault="00976E39">
    <w:r>
      <w:t xml:space="preserve">Page </w:t>
    </w:r>
    <w:r w:rsidR="00B67E87">
      <w:fldChar w:fldCharType="begin"/>
    </w:r>
    <w:r>
      <w:instrText>PAGE</w:instrText>
    </w:r>
    <w:r w:rsidR="00B67E87">
      <w:fldChar w:fldCharType="separate"/>
    </w:r>
    <w:r>
      <w:rPr>
        <w:noProof/>
      </w:rPr>
      <w:t>1</w:t>
    </w:r>
    <w:r w:rsidR="00B67E87">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FE7B35"/>
    <w:multiLevelType w:val="hybridMultilevel"/>
    <w:tmpl w:val="D9A0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00B65"/>
    <w:multiLevelType w:val="hybridMultilevel"/>
    <w:tmpl w:val="C9D6D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E56B1"/>
    <w:multiLevelType w:val="hybridMultilevel"/>
    <w:tmpl w:val="0590AF88"/>
    <w:lvl w:ilvl="0" w:tplc="8CDE8C5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D011D"/>
    <w:multiLevelType w:val="hybridMultilevel"/>
    <w:tmpl w:val="B50C37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6" w15:restartNumberingAfterBreak="0">
    <w:nsid w:val="1FD269EA"/>
    <w:multiLevelType w:val="hybridMultilevel"/>
    <w:tmpl w:val="142A0A40"/>
    <w:lvl w:ilvl="0" w:tplc="DB1C69B8">
      <w:start w:val="1"/>
      <w:numFmt w:val="decimal"/>
      <w:pStyle w:val="Proposal"/>
      <w:lvlText w:val="Proposal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587D22"/>
    <w:multiLevelType w:val="hybridMultilevel"/>
    <w:tmpl w:val="B1684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ED1AD6"/>
    <w:multiLevelType w:val="hybridMultilevel"/>
    <w:tmpl w:val="F8F8D220"/>
    <w:lvl w:ilvl="0" w:tplc="99A002DC">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4E596E"/>
    <w:multiLevelType w:val="multilevel"/>
    <w:tmpl w:val="E41207E4"/>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9346F5"/>
    <w:multiLevelType w:val="hybridMultilevel"/>
    <w:tmpl w:val="E062B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8D1B80"/>
    <w:multiLevelType w:val="hybridMultilevel"/>
    <w:tmpl w:val="CA4EA048"/>
    <w:lvl w:ilvl="0" w:tplc="FDC0631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4211F7"/>
    <w:multiLevelType w:val="hybridMultilevel"/>
    <w:tmpl w:val="A4DAB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20" w15:restartNumberingAfterBreak="0">
    <w:nsid w:val="58161224"/>
    <w:multiLevelType w:val="hybridMultilevel"/>
    <w:tmpl w:val="08529A68"/>
    <w:lvl w:ilvl="0" w:tplc="4CB66500">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68874E78"/>
    <w:multiLevelType w:val="hybridMultilevel"/>
    <w:tmpl w:val="DD18703E"/>
    <w:lvl w:ilvl="0" w:tplc="4EC443B4">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8B66B5"/>
    <w:multiLevelType w:val="hybridMultilevel"/>
    <w:tmpl w:val="E592D996"/>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14"/>
  </w:num>
  <w:num w:numId="4">
    <w:abstractNumId w:val="8"/>
  </w:num>
  <w:num w:numId="5">
    <w:abstractNumId w:val="1"/>
  </w:num>
  <w:num w:numId="6">
    <w:abstractNumId w:val="4"/>
  </w:num>
  <w:num w:numId="7">
    <w:abstractNumId w:val="7"/>
  </w:num>
  <w:num w:numId="8">
    <w:abstractNumId w:val="12"/>
  </w:num>
  <w:num w:numId="9">
    <w:abstractNumId w:val="13"/>
  </w:num>
  <w:num w:numId="10">
    <w:abstractNumId w:val="2"/>
  </w:num>
  <w:num w:numId="11">
    <w:abstractNumId w:val="14"/>
    <w:lvlOverride w:ilvl="0">
      <w:startOverride w:val="1"/>
    </w:lvlOverride>
  </w:num>
  <w:num w:numId="12">
    <w:abstractNumId w:val="17"/>
  </w:num>
  <w:num w:numId="13">
    <w:abstractNumId w:val="9"/>
  </w:num>
  <w:num w:numId="14">
    <w:abstractNumId w:val="16"/>
  </w:num>
  <w:num w:numId="15">
    <w:abstractNumId w:val="3"/>
  </w:num>
  <w:num w:numId="16">
    <w:abstractNumId w:val="10"/>
  </w:num>
  <w:num w:numId="17">
    <w:abstractNumId w:val="24"/>
  </w:num>
  <w:num w:numId="18">
    <w:abstractNumId w:val="23"/>
  </w:num>
  <w:num w:numId="19">
    <w:abstractNumId w:val="15"/>
  </w:num>
  <w:num w:numId="20">
    <w:abstractNumId w:val="20"/>
  </w:num>
  <w:num w:numId="21">
    <w:abstractNumId w:val="24"/>
  </w:num>
  <w:num w:numId="22">
    <w:abstractNumId w:val="0"/>
  </w:num>
  <w:num w:numId="23">
    <w:abstractNumId w:val="19"/>
  </w:num>
  <w:num w:numId="24">
    <w:abstractNumId w:val="21"/>
  </w:num>
  <w:num w:numId="25">
    <w:abstractNumId w:val="18"/>
  </w:num>
  <w:num w:numId="26">
    <w:abstractNumId w:val="22"/>
  </w:num>
  <w:num w:numId="27">
    <w:abstractNumId w:val="24"/>
    <w:lvlOverride w:ilvl="0">
      <w:startOverride w:val="1"/>
    </w:lvlOverride>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19"/>
  </w:num>
  <w:num w:numId="36">
    <w:abstractNumId w:val="21"/>
  </w:num>
  <w:num w:numId="37">
    <w:abstractNumId w:val="6"/>
  </w:num>
  <w:num w:numId="38">
    <w:abstractNumId w:val="6"/>
    <w:lvlOverride w:ilvl="0">
      <w:startOverride w:val="1"/>
    </w:lvlOverride>
  </w:num>
  <w:num w:numId="39">
    <w:abstractNumId w:val="6"/>
  </w:num>
  <w:num w:numId="40">
    <w:abstractNumId w:val="6"/>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GB" w:vendorID="64" w:dllVersion="6" w:nlCheck="1" w:checkStyle="1"/>
  <w:activeWritingStyle w:appName="MSWord" w:lang="en-US" w:vendorID="64" w:dllVersion="6"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2735A"/>
    <w:rsid w:val="000300FE"/>
    <w:rsid w:val="00030F08"/>
    <w:rsid w:val="00030F74"/>
    <w:rsid w:val="000319C1"/>
    <w:rsid w:val="00031EDD"/>
    <w:rsid w:val="00032DAB"/>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173"/>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19CC"/>
    <w:rsid w:val="00062551"/>
    <w:rsid w:val="00062963"/>
    <w:rsid w:val="00062CA8"/>
    <w:rsid w:val="00063E21"/>
    <w:rsid w:val="00063F57"/>
    <w:rsid w:val="0006549C"/>
    <w:rsid w:val="0006633C"/>
    <w:rsid w:val="00066576"/>
    <w:rsid w:val="000665AA"/>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6C21"/>
    <w:rsid w:val="00077EB9"/>
    <w:rsid w:val="000801D8"/>
    <w:rsid w:val="00080783"/>
    <w:rsid w:val="00081546"/>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582"/>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051F"/>
    <w:rsid w:val="000B1B68"/>
    <w:rsid w:val="000B1CD3"/>
    <w:rsid w:val="000B1FBE"/>
    <w:rsid w:val="000B23E2"/>
    <w:rsid w:val="000B245F"/>
    <w:rsid w:val="000B247A"/>
    <w:rsid w:val="000B256B"/>
    <w:rsid w:val="000B3F37"/>
    <w:rsid w:val="000B546F"/>
    <w:rsid w:val="000B58B7"/>
    <w:rsid w:val="000B5E4A"/>
    <w:rsid w:val="000B60DA"/>
    <w:rsid w:val="000B68F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222"/>
    <w:rsid w:val="000C6447"/>
    <w:rsid w:val="000C657C"/>
    <w:rsid w:val="000C764F"/>
    <w:rsid w:val="000D037E"/>
    <w:rsid w:val="000D0C91"/>
    <w:rsid w:val="000D0F9A"/>
    <w:rsid w:val="000D11B1"/>
    <w:rsid w:val="000D148D"/>
    <w:rsid w:val="000D1570"/>
    <w:rsid w:val="000D1610"/>
    <w:rsid w:val="000D1842"/>
    <w:rsid w:val="000D1A08"/>
    <w:rsid w:val="000D231C"/>
    <w:rsid w:val="000D2920"/>
    <w:rsid w:val="000D2E6D"/>
    <w:rsid w:val="000D3387"/>
    <w:rsid w:val="000D37FA"/>
    <w:rsid w:val="000D39FA"/>
    <w:rsid w:val="000D41F3"/>
    <w:rsid w:val="000D4324"/>
    <w:rsid w:val="000D4736"/>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6DDE"/>
    <w:rsid w:val="000F7452"/>
    <w:rsid w:val="000F794D"/>
    <w:rsid w:val="00100E41"/>
    <w:rsid w:val="00101489"/>
    <w:rsid w:val="00101ACE"/>
    <w:rsid w:val="00102147"/>
    <w:rsid w:val="00102FE9"/>
    <w:rsid w:val="00103E0E"/>
    <w:rsid w:val="00104058"/>
    <w:rsid w:val="0010405D"/>
    <w:rsid w:val="00104228"/>
    <w:rsid w:val="00104A80"/>
    <w:rsid w:val="00105820"/>
    <w:rsid w:val="00105CEE"/>
    <w:rsid w:val="00105FC2"/>
    <w:rsid w:val="00106117"/>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0B2D"/>
    <w:rsid w:val="00121412"/>
    <w:rsid w:val="00123993"/>
    <w:rsid w:val="0012453C"/>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51A"/>
    <w:rsid w:val="00135829"/>
    <w:rsid w:val="001358F4"/>
    <w:rsid w:val="00135911"/>
    <w:rsid w:val="00135E0A"/>
    <w:rsid w:val="0013612A"/>
    <w:rsid w:val="00136359"/>
    <w:rsid w:val="00136AAD"/>
    <w:rsid w:val="00136EED"/>
    <w:rsid w:val="00137280"/>
    <w:rsid w:val="00137288"/>
    <w:rsid w:val="00137480"/>
    <w:rsid w:val="0014082B"/>
    <w:rsid w:val="001410F1"/>
    <w:rsid w:val="0014161D"/>
    <w:rsid w:val="001418FE"/>
    <w:rsid w:val="00142093"/>
    <w:rsid w:val="0014244B"/>
    <w:rsid w:val="0014371C"/>
    <w:rsid w:val="001437AD"/>
    <w:rsid w:val="00143A51"/>
    <w:rsid w:val="00143FFE"/>
    <w:rsid w:val="0014452E"/>
    <w:rsid w:val="00144F22"/>
    <w:rsid w:val="001459EB"/>
    <w:rsid w:val="001461C2"/>
    <w:rsid w:val="00146540"/>
    <w:rsid w:val="00146E5E"/>
    <w:rsid w:val="0014719D"/>
    <w:rsid w:val="001474D9"/>
    <w:rsid w:val="00147B5F"/>
    <w:rsid w:val="00147D67"/>
    <w:rsid w:val="00147E88"/>
    <w:rsid w:val="0015019F"/>
    <w:rsid w:val="00150577"/>
    <w:rsid w:val="00150616"/>
    <w:rsid w:val="00151516"/>
    <w:rsid w:val="00151805"/>
    <w:rsid w:val="00151D5F"/>
    <w:rsid w:val="001529E0"/>
    <w:rsid w:val="00152BA8"/>
    <w:rsid w:val="00153A6B"/>
    <w:rsid w:val="00153E38"/>
    <w:rsid w:val="001544AB"/>
    <w:rsid w:val="0015452C"/>
    <w:rsid w:val="00154BE2"/>
    <w:rsid w:val="00155593"/>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8EF"/>
    <w:rsid w:val="00167C50"/>
    <w:rsid w:val="00167ECA"/>
    <w:rsid w:val="00172414"/>
    <w:rsid w:val="001724C5"/>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77B"/>
    <w:rsid w:val="00193B10"/>
    <w:rsid w:val="00193D91"/>
    <w:rsid w:val="00193F6D"/>
    <w:rsid w:val="0019403F"/>
    <w:rsid w:val="001943E8"/>
    <w:rsid w:val="00194642"/>
    <w:rsid w:val="0019564C"/>
    <w:rsid w:val="0019573B"/>
    <w:rsid w:val="00196220"/>
    <w:rsid w:val="0019734F"/>
    <w:rsid w:val="001977D0"/>
    <w:rsid w:val="00197FA7"/>
    <w:rsid w:val="001A019F"/>
    <w:rsid w:val="001A0303"/>
    <w:rsid w:val="001A037C"/>
    <w:rsid w:val="001A067A"/>
    <w:rsid w:val="001A0D8D"/>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5AA8"/>
    <w:rsid w:val="001B6D3D"/>
    <w:rsid w:val="001B70CF"/>
    <w:rsid w:val="001B7460"/>
    <w:rsid w:val="001B78D5"/>
    <w:rsid w:val="001B7AB3"/>
    <w:rsid w:val="001C0085"/>
    <w:rsid w:val="001C04A8"/>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39E"/>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5A"/>
    <w:rsid w:val="002102DC"/>
    <w:rsid w:val="00210301"/>
    <w:rsid w:val="002106D1"/>
    <w:rsid w:val="00210812"/>
    <w:rsid w:val="00210A2E"/>
    <w:rsid w:val="00210C91"/>
    <w:rsid w:val="002116CA"/>
    <w:rsid w:val="00211895"/>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1DAF"/>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3EA5"/>
    <w:rsid w:val="002562E9"/>
    <w:rsid w:val="00256B8F"/>
    <w:rsid w:val="00257A62"/>
    <w:rsid w:val="002605CB"/>
    <w:rsid w:val="0026075E"/>
    <w:rsid w:val="00260998"/>
    <w:rsid w:val="00261142"/>
    <w:rsid w:val="002612AF"/>
    <w:rsid w:val="00261D05"/>
    <w:rsid w:val="00262830"/>
    <w:rsid w:val="00262952"/>
    <w:rsid w:val="00263BC6"/>
    <w:rsid w:val="00263C17"/>
    <w:rsid w:val="002644D5"/>
    <w:rsid w:val="00264B50"/>
    <w:rsid w:val="00265701"/>
    <w:rsid w:val="00265996"/>
    <w:rsid w:val="00265A57"/>
    <w:rsid w:val="00265B7E"/>
    <w:rsid w:val="00266210"/>
    <w:rsid w:val="00266FF8"/>
    <w:rsid w:val="0026716C"/>
    <w:rsid w:val="002676D3"/>
    <w:rsid w:val="002676EA"/>
    <w:rsid w:val="00270087"/>
    <w:rsid w:val="0027074B"/>
    <w:rsid w:val="00271501"/>
    <w:rsid w:val="002727C8"/>
    <w:rsid w:val="00272FEB"/>
    <w:rsid w:val="002738C9"/>
    <w:rsid w:val="00273B2D"/>
    <w:rsid w:val="00273CFB"/>
    <w:rsid w:val="00274B3C"/>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EDF"/>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AB3"/>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6EB"/>
    <w:rsid w:val="002C3AE4"/>
    <w:rsid w:val="002C4749"/>
    <w:rsid w:val="002C4CB7"/>
    <w:rsid w:val="002C5620"/>
    <w:rsid w:val="002C57BB"/>
    <w:rsid w:val="002C61E0"/>
    <w:rsid w:val="002C6221"/>
    <w:rsid w:val="002C6374"/>
    <w:rsid w:val="002C6BE0"/>
    <w:rsid w:val="002C7B03"/>
    <w:rsid w:val="002D0657"/>
    <w:rsid w:val="002D08DC"/>
    <w:rsid w:val="002D13B7"/>
    <w:rsid w:val="002D1A21"/>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2F7D9F"/>
    <w:rsid w:val="0030000D"/>
    <w:rsid w:val="003005AC"/>
    <w:rsid w:val="00300A26"/>
    <w:rsid w:val="003011C0"/>
    <w:rsid w:val="0030121F"/>
    <w:rsid w:val="00301890"/>
    <w:rsid w:val="003024DE"/>
    <w:rsid w:val="00302701"/>
    <w:rsid w:val="00302CBE"/>
    <w:rsid w:val="0030305A"/>
    <w:rsid w:val="00303442"/>
    <w:rsid w:val="003044B9"/>
    <w:rsid w:val="00304F48"/>
    <w:rsid w:val="003073BB"/>
    <w:rsid w:val="00307683"/>
    <w:rsid w:val="00307B27"/>
    <w:rsid w:val="00307D3F"/>
    <w:rsid w:val="0031013F"/>
    <w:rsid w:val="0031058E"/>
    <w:rsid w:val="00311941"/>
    <w:rsid w:val="003123EA"/>
    <w:rsid w:val="003125FA"/>
    <w:rsid w:val="00313982"/>
    <w:rsid w:val="00313C4F"/>
    <w:rsid w:val="00314280"/>
    <w:rsid w:val="003158FE"/>
    <w:rsid w:val="00315DD9"/>
    <w:rsid w:val="00316717"/>
    <w:rsid w:val="00317050"/>
    <w:rsid w:val="00320B56"/>
    <w:rsid w:val="00320BED"/>
    <w:rsid w:val="00320F94"/>
    <w:rsid w:val="003230B0"/>
    <w:rsid w:val="00325F5C"/>
    <w:rsid w:val="003268CF"/>
    <w:rsid w:val="00326974"/>
    <w:rsid w:val="00327A0A"/>
    <w:rsid w:val="0033007D"/>
    <w:rsid w:val="0033027D"/>
    <w:rsid w:val="003308C4"/>
    <w:rsid w:val="00330DE8"/>
    <w:rsid w:val="00331EDC"/>
    <w:rsid w:val="00331FF4"/>
    <w:rsid w:val="003323F3"/>
    <w:rsid w:val="0033306E"/>
    <w:rsid w:val="00333DC8"/>
    <w:rsid w:val="00335250"/>
    <w:rsid w:val="0033592C"/>
    <w:rsid w:val="00335B9C"/>
    <w:rsid w:val="00336164"/>
    <w:rsid w:val="0034150F"/>
    <w:rsid w:val="0034298C"/>
    <w:rsid w:val="0034305B"/>
    <w:rsid w:val="00343E84"/>
    <w:rsid w:val="003444EB"/>
    <w:rsid w:val="00344778"/>
    <w:rsid w:val="00344E12"/>
    <w:rsid w:val="00344F78"/>
    <w:rsid w:val="0034511B"/>
    <w:rsid w:val="00345740"/>
    <w:rsid w:val="00346F28"/>
    <w:rsid w:val="003504EC"/>
    <w:rsid w:val="00350996"/>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0C31"/>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546"/>
    <w:rsid w:val="00374804"/>
    <w:rsid w:val="00374B96"/>
    <w:rsid w:val="00374F06"/>
    <w:rsid w:val="00375BD2"/>
    <w:rsid w:val="003762D5"/>
    <w:rsid w:val="003764FA"/>
    <w:rsid w:val="00376A34"/>
    <w:rsid w:val="00376AD6"/>
    <w:rsid w:val="00376C0D"/>
    <w:rsid w:val="0037709A"/>
    <w:rsid w:val="003773C7"/>
    <w:rsid w:val="00377569"/>
    <w:rsid w:val="00377A68"/>
    <w:rsid w:val="00377C91"/>
    <w:rsid w:val="00377CE8"/>
    <w:rsid w:val="003810EA"/>
    <w:rsid w:val="003811F7"/>
    <w:rsid w:val="0038166A"/>
    <w:rsid w:val="0038187D"/>
    <w:rsid w:val="003821E7"/>
    <w:rsid w:val="00382B96"/>
    <w:rsid w:val="00383130"/>
    <w:rsid w:val="003834C7"/>
    <w:rsid w:val="00383D4B"/>
    <w:rsid w:val="00384735"/>
    <w:rsid w:val="003848D9"/>
    <w:rsid w:val="00385614"/>
    <w:rsid w:val="00385DBB"/>
    <w:rsid w:val="00386B71"/>
    <w:rsid w:val="003871D9"/>
    <w:rsid w:val="00387771"/>
    <w:rsid w:val="00387B4D"/>
    <w:rsid w:val="003908C2"/>
    <w:rsid w:val="0039178D"/>
    <w:rsid w:val="00392C0A"/>
    <w:rsid w:val="00392D4A"/>
    <w:rsid w:val="00393367"/>
    <w:rsid w:val="003939F6"/>
    <w:rsid w:val="00393AA5"/>
    <w:rsid w:val="00393B78"/>
    <w:rsid w:val="00393B7F"/>
    <w:rsid w:val="003942A4"/>
    <w:rsid w:val="00394E4F"/>
    <w:rsid w:val="003959A9"/>
    <w:rsid w:val="0039665F"/>
    <w:rsid w:val="00396D81"/>
    <w:rsid w:val="003A0311"/>
    <w:rsid w:val="003A063F"/>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A7AF7"/>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8A0"/>
    <w:rsid w:val="003C7CE7"/>
    <w:rsid w:val="003D0246"/>
    <w:rsid w:val="003D09DA"/>
    <w:rsid w:val="003D0A1E"/>
    <w:rsid w:val="003D0AD2"/>
    <w:rsid w:val="003D12AF"/>
    <w:rsid w:val="003D132A"/>
    <w:rsid w:val="003D2339"/>
    <w:rsid w:val="003D26AA"/>
    <w:rsid w:val="003D3577"/>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617"/>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366"/>
    <w:rsid w:val="0040689B"/>
    <w:rsid w:val="00406F4B"/>
    <w:rsid w:val="004073B0"/>
    <w:rsid w:val="004077CC"/>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5C4"/>
    <w:rsid w:val="004276E3"/>
    <w:rsid w:val="0042795C"/>
    <w:rsid w:val="00427E67"/>
    <w:rsid w:val="00430178"/>
    <w:rsid w:val="00430250"/>
    <w:rsid w:val="004309F8"/>
    <w:rsid w:val="00431843"/>
    <w:rsid w:val="0043198C"/>
    <w:rsid w:val="0043270B"/>
    <w:rsid w:val="00432E20"/>
    <w:rsid w:val="00432F8F"/>
    <w:rsid w:val="0043424B"/>
    <w:rsid w:val="00434364"/>
    <w:rsid w:val="0043480E"/>
    <w:rsid w:val="004352B4"/>
    <w:rsid w:val="004355EB"/>
    <w:rsid w:val="00435602"/>
    <w:rsid w:val="00435635"/>
    <w:rsid w:val="004356FA"/>
    <w:rsid w:val="00435CCF"/>
    <w:rsid w:val="004365C5"/>
    <w:rsid w:val="00437179"/>
    <w:rsid w:val="004371AB"/>
    <w:rsid w:val="0044035D"/>
    <w:rsid w:val="0044166C"/>
    <w:rsid w:val="00441FE8"/>
    <w:rsid w:val="00442856"/>
    <w:rsid w:val="004429F5"/>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02"/>
    <w:rsid w:val="00450E4C"/>
    <w:rsid w:val="004518D5"/>
    <w:rsid w:val="00451B17"/>
    <w:rsid w:val="00451BEB"/>
    <w:rsid w:val="00451E3C"/>
    <w:rsid w:val="00452891"/>
    <w:rsid w:val="00453465"/>
    <w:rsid w:val="00453DEF"/>
    <w:rsid w:val="004543E4"/>
    <w:rsid w:val="00454539"/>
    <w:rsid w:val="004548E5"/>
    <w:rsid w:val="004549AF"/>
    <w:rsid w:val="00454C27"/>
    <w:rsid w:val="00455B39"/>
    <w:rsid w:val="00456114"/>
    <w:rsid w:val="004562F8"/>
    <w:rsid w:val="00456971"/>
    <w:rsid w:val="00456DBF"/>
    <w:rsid w:val="0045742D"/>
    <w:rsid w:val="004574AB"/>
    <w:rsid w:val="0046027A"/>
    <w:rsid w:val="004607CD"/>
    <w:rsid w:val="004608A9"/>
    <w:rsid w:val="00460958"/>
    <w:rsid w:val="0046110A"/>
    <w:rsid w:val="004612C8"/>
    <w:rsid w:val="004616E5"/>
    <w:rsid w:val="0046194F"/>
    <w:rsid w:val="00461B3E"/>
    <w:rsid w:val="00461E80"/>
    <w:rsid w:val="00462420"/>
    <w:rsid w:val="004627B7"/>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DBC"/>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2DEA"/>
    <w:rsid w:val="00493063"/>
    <w:rsid w:val="00493A0E"/>
    <w:rsid w:val="00493AC2"/>
    <w:rsid w:val="00493D08"/>
    <w:rsid w:val="004943E3"/>
    <w:rsid w:val="004945CB"/>
    <w:rsid w:val="00494C33"/>
    <w:rsid w:val="00495AA2"/>
    <w:rsid w:val="004961DB"/>
    <w:rsid w:val="00496899"/>
    <w:rsid w:val="00496927"/>
    <w:rsid w:val="00496A97"/>
    <w:rsid w:val="00497E75"/>
    <w:rsid w:val="00497FF8"/>
    <w:rsid w:val="004A04B1"/>
    <w:rsid w:val="004A0C8F"/>
    <w:rsid w:val="004A11C3"/>
    <w:rsid w:val="004A15A9"/>
    <w:rsid w:val="004A201F"/>
    <w:rsid w:val="004A2EF3"/>
    <w:rsid w:val="004A3394"/>
    <w:rsid w:val="004A366E"/>
    <w:rsid w:val="004A3CFF"/>
    <w:rsid w:val="004A4D38"/>
    <w:rsid w:val="004A4E7E"/>
    <w:rsid w:val="004A5312"/>
    <w:rsid w:val="004A57FC"/>
    <w:rsid w:val="004A5A64"/>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2BD5"/>
    <w:rsid w:val="004B3C3F"/>
    <w:rsid w:val="004B3CE9"/>
    <w:rsid w:val="004B4D0A"/>
    <w:rsid w:val="004B566D"/>
    <w:rsid w:val="004B5C0C"/>
    <w:rsid w:val="004B6301"/>
    <w:rsid w:val="004B71E9"/>
    <w:rsid w:val="004C0346"/>
    <w:rsid w:val="004C0B5B"/>
    <w:rsid w:val="004C0F99"/>
    <w:rsid w:val="004C130D"/>
    <w:rsid w:val="004C1E76"/>
    <w:rsid w:val="004C20B1"/>
    <w:rsid w:val="004C255D"/>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63"/>
    <w:rsid w:val="004E2487"/>
    <w:rsid w:val="004E3FD8"/>
    <w:rsid w:val="004E4503"/>
    <w:rsid w:val="004E46BD"/>
    <w:rsid w:val="004E49DC"/>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358"/>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42A"/>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8A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AA5"/>
    <w:rsid w:val="00525CAE"/>
    <w:rsid w:val="00526653"/>
    <w:rsid w:val="00526C8A"/>
    <w:rsid w:val="00527489"/>
    <w:rsid w:val="00527DB2"/>
    <w:rsid w:val="00530BD5"/>
    <w:rsid w:val="00531307"/>
    <w:rsid w:val="0053173A"/>
    <w:rsid w:val="00531824"/>
    <w:rsid w:val="00532462"/>
    <w:rsid w:val="00532976"/>
    <w:rsid w:val="00533215"/>
    <w:rsid w:val="005339D2"/>
    <w:rsid w:val="00533B96"/>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3D14"/>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5D9A"/>
    <w:rsid w:val="0056710F"/>
    <w:rsid w:val="0056719E"/>
    <w:rsid w:val="00567D6E"/>
    <w:rsid w:val="00570859"/>
    <w:rsid w:val="00570B67"/>
    <w:rsid w:val="00570C83"/>
    <w:rsid w:val="0057137A"/>
    <w:rsid w:val="00572583"/>
    <w:rsid w:val="00572A3E"/>
    <w:rsid w:val="00572B21"/>
    <w:rsid w:val="00573146"/>
    <w:rsid w:val="005735E8"/>
    <w:rsid w:val="0057380A"/>
    <w:rsid w:val="00573B1B"/>
    <w:rsid w:val="00573BC0"/>
    <w:rsid w:val="00573E29"/>
    <w:rsid w:val="00573F24"/>
    <w:rsid w:val="00575248"/>
    <w:rsid w:val="00575716"/>
    <w:rsid w:val="005758CE"/>
    <w:rsid w:val="00575E94"/>
    <w:rsid w:val="005770BC"/>
    <w:rsid w:val="00577BE7"/>
    <w:rsid w:val="00580760"/>
    <w:rsid w:val="00581367"/>
    <w:rsid w:val="005819D7"/>
    <w:rsid w:val="00582D3E"/>
    <w:rsid w:val="00582E3D"/>
    <w:rsid w:val="005836D0"/>
    <w:rsid w:val="00583766"/>
    <w:rsid w:val="005840E5"/>
    <w:rsid w:val="0058445A"/>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4F5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A0"/>
    <w:rsid w:val="005A50FE"/>
    <w:rsid w:val="005A59CF"/>
    <w:rsid w:val="005A6CB4"/>
    <w:rsid w:val="005A7ECD"/>
    <w:rsid w:val="005A7F72"/>
    <w:rsid w:val="005B097C"/>
    <w:rsid w:val="005B1CC4"/>
    <w:rsid w:val="005B1D3E"/>
    <w:rsid w:val="005B2EB8"/>
    <w:rsid w:val="005B33A1"/>
    <w:rsid w:val="005B4282"/>
    <w:rsid w:val="005B5251"/>
    <w:rsid w:val="005B54FE"/>
    <w:rsid w:val="005B5A55"/>
    <w:rsid w:val="005B5F56"/>
    <w:rsid w:val="005B67F6"/>
    <w:rsid w:val="005B7D8A"/>
    <w:rsid w:val="005C0904"/>
    <w:rsid w:val="005C09BF"/>
    <w:rsid w:val="005C0D61"/>
    <w:rsid w:val="005C0E62"/>
    <w:rsid w:val="005C17D4"/>
    <w:rsid w:val="005C18B0"/>
    <w:rsid w:val="005C1B10"/>
    <w:rsid w:val="005C1F4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6DA7"/>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5A3"/>
    <w:rsid w:val="00606C6F"/>
    <w:rsid w:val="00606FA6"/>
    <w:rsid w:val="00607079"/>
    <w:rsid w:val="00607ADE"/>
    <w:rsid w:val="00611C83"/>
    <w:rsid w:val="00612015"/>
    <w:rsid w:val="006122CF"/>
    <w:rsid w:val="0061286E"/>
    <w:rsid w:val="00612C73"/>
    <w:rsid w:val="006133F5"/>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253"/>
    <w:rsid w:val="00623A7F"/>
    <w:rsid w:val="00623C74"/>
    <w:rsid w:val="0062482E"/>
    <w:rsid w:val="00625213"/>
    <w:rsid w:val="00625B24"/>
    <w:rsid w:val="006265D0"/>
    <w:rsid w:val="00626C25"/>
    <w:rsid w:val="006279A7"/>
    <w:rsid w:val="00627BA3"/>
    <w:rsid w:val="00627E44"/>
    <w:rsid w:val="0063027B"/>
    <w:rsid w:val="00630549"/>
    <w:rsid w:val="00630829"/>
    <w:rsid w:val="00631826"/>
    <w:rsid w:val="006326BC"/>
    <w:rsid w:val="006327DF"/>
    <w:rsid w:val="00632A0E"/>
    <w:rsid w:val="00633951"/>
    <w:rsid w:val="00633B5E"/>
    <w:rsid w:val="00633C0A"/>
    <w:rsid w:val="00633CB0"/>
    <w:rsid w:val="0063405E"/>
    <w:rsid w:val="00634767"/>
    <w:rsid w:val="00634B95"/>
    <w:rsid w:val="00635175"/>
    <w:rsid w:val="006352B0"/>
    <w:rsid w:val="00635CC3"/>
    <w:rsid w:val="00636041"/>
    <w:rsid w:val="00636094"/>
    <w:rsid w:val="006365A1"/>
    <w:rsid w:val="006373C7"/>
    <w:rsid w:val="00637E00"/>
    <w:rsid w:val="00640222"/>
    <w:rsid w:val="00640C06"/>
    <w:rsid w:val="00640E17"/>
    <w:rsid w:val="00641061"/>
    <w:rsid w:val="006412CA"/>
    <w:rsid w:val="00641E4B"/>
    <w:rsid w:val="006427D6"/>
    <w:rsid w:val="006428E2"/>
    <w:rsid w:val="00642D10"/>
    <w:rsid w:val="006430B5"/>
    <w:rsid w:val="00644200"/>
    <w:rsid w:val="0064640A"/>
    <w:rsid w:val="006464A6"/>
    <w:rsid w:val="00646C3F"/>
    <w:rsid w:val="006478E6"/>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80F"/>
    <w:rsid w:val="00665229"/>
    <w:rsid w:val="006654E8"/>
    <w:rsid w:val="00665598"/>
    <w:rsid w:val="0066566C"/>
    <w:rsid w:val="0066568F"/>
    <w:rsid w:val="00665C15"/>
    <w:rsid w:val="00665CCE"/>
    <w:rsid w:val="00665F1A"/>
    <w:rsid w:val="00666471"/>
    <w:rsid w:val="00666653"/>
    <w:rsid w:val="006673D8"/>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6FFB"/>
    <w:rsid w:val="00677B01"/>
    <w:rsid w:val="00677E8D"/>
    <w:rsid w:val="00680A97"/>
    <w:rsid w:val="00680C3F"/>
    <w:rsid w:val="0068102D"/>
    <w:rsid w:val="0068226B"/>
    <w:rsid w:val="00682ED3"/>
    <w:rsid w:val="0068370B"/>
    <w:rsid w:val="00684BDE"/>
    <w:rsid w:val="00684FBD"/>
    <w:rsid w:val="00685535"/>
    <w:rsid w:val="00685D3B"/>
    <w:rsid w:val="006863EA"/>
    <w:rsid w:val="00687817"/>
    <w:rsid w:val="0069008A"/>
    <w:rsid w:val="00690881"/>
    <w:rsid w:val="00692799"/>
    <w:rsid w:val="00692A0D"/>
    <w:rsid w:val="00693077"/>
    <w:rsid w:val="00693295"/>
    <w:rsid w:val="006936BD"/>
    <w:rsid w:val="0069447C"/>
    <w:rsid w:val="00695E3A"/>
    <w:rsid w:val="00697076"/>
    <w:rsid w:val="006979CD"/>
    <w:rsid w:val="00697FE2"/>
    <w:rsid w:val="006A0B49"/>
    <w:rsid w:val="006A1313"/>
    <w:rsid w:val="006A1C6F"/>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A7C"/>
    <w:rsid w:val="006B1DA2"/>
    <w:rsid w:val="006B1F5F"/>
    <w:rsid w:val="006B2064"/>
    <w:rsid w:val="006B3AD6"/>
    <w:rsid w:val="006B4F5B"/>
    <w:rsid w:val="006B5922"/>
    <w:rsid w:val="006B67DE"/>
    <w:rsid w:val="006B6C94"/>
    <w:rsid w:val="006B6E3E"/>
    <w:rsid w:val="006C0900"/>
    <w:rsid w:val="006C09DD"/>
    <w:rsid w:val="006C10C0"/>
    <w:rsid w:val="006C369C"/>
    <w:rsid w:val="006C36E8"/>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A2D"/>
    <w:rsid w:val="006E3B45"/>
    <w:rsid w:val="006E512D"/>
    <w:rsid w:val="006E53A6"/>
    <w:rsid w:val="006E5C3A"/>
    <w:rsid w:val="006E610E"/>
    <w:rsid w:val="006E6F8F"/>
    <w:rsid w:val="006E6FC9"/>
    <w:rsid w:val="006E7093"/>
    <w:rsid w:val="006E7496"/>
    <w:rsid w:val="006E7969"/>
    <w:rsid w:val="006F0104"/>
    <w:rsid w:val="006F0B08"/>
    <w:rsid w:val="006F0C12"/>
    <w:rsid w:val="006F0EB1"/>
    <w:rsid w:val="006F1636"/>
    <w:rsid w:val="006F16B4"/>
    <w:rsid w:val="006F2CCB"/>
    <w:rsid w:val="006F2E9D"/>
    <w:rsid w:val="006F314D"/>
    <w:rsid w:val="006F57A2"/>
    <w:rsid w:val="006F59D4"/>
    <w:rsid w:val="006F5CDF"/>
    <w:rsid w:val="006F5FAA"/>
    <w:rsid w:val="006F61B8"/>
    <w:rsid w:val="006F6BE1"/>
    <w:rsid w:val="006F738F"/>
    <w:rsid w:val="006F7E42"/>
    <w:rsid w:val="0070023A"/>
    <w:rsid w:val="00700EC2"/>
    <w:rsid w:val="00700F47"/>
    <w:rsid w:val="00700F6E"/>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07C06"/>
    <w:rsid w:val="0071029D"/>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6B6"/>
    <w:rsid w:val="00721E1D"/>
    <w:rsid w:val="00722752"/>
    <w:rsid w:val="00722CD9"/>
    <w:rsid w:val="00723B7C"/>
    <w:rsid w:val="00723E10"/>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79B"/>
    <w:rsid w:val="00741B54"/>
    <w:rsid w:val="007420C9"/>
    <w:rsid w:val="00743B7C"/>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950"/>
    <w:rsid w:val="00755B06"/>
    <w:rsid w:val="0075603B"/>
    <w:rsid w:val="00756C09"/>
    <w:rsid w:val="007570E6"/>
    <w:rsid w:val="00757A61"/>
    <w:rsid w:val="00757C96"/>
    <w:rsid w:val="007600A8"/>
    <w:rsid w:val="0076083D"/>
    <w:rsid w:val="00760D79"/>
    <w:rsid w:val="0076121D"/>
    <w:rsid w:val="007619FB"/>
    <w:rsid w:val="00761C91"/>
    <w:rsid w:val="00762924"/>
    <w:rsid w:val="00762D30"/>
    <w:rsid w:val="00763339"/>
    <w:rsid w:val="00763355"/>
    <w:rsid w:val="00763522"/>
    <w:rsid w:val="00763FE8"/>
    <w:rsid w:val="00764A6B"/>
    <w:rsid w:val="00764E1D"/>
    <w:rsid w:val="00765327"/>
    <w:rsid w:val="007661E2"/>
    <w:rsid w:val="00766AE4"/>
    <w:rsid w:val="00766BFB"/>
    <w:rsid w:val="007678B6"/>
    <w:rsid w:val="00770CF3"/>
    <w:rsid w:val="007721AD"/>
    <w:rsid w:val="007726FB"/>
    <w:rsid w:val="00772D15"/>
    <w:rsid w:val="00772DC3"/>
    <w:rsid w:val="00773141"/>
    <w:rsid w:val="00773D67"/>
    <w:rsid w:val="00774BC1"/>
    <w:rsid w:val="00774E6B"/>
    <w:rsid w:val="00775F11"/>
    <w:rsid w:val="007768F2"/>
    <w:rsid w:val="00776E9E"/>
    <w:rsid w:val="00777126"/>
    <w:rsid w:val="007773CD"/>
    <w:rsid w:val="00777C1A"/>
    <w:rsid w:val="00777C3F"/>
    <w:rsid w:val="00777EE9"/>
    <w:rsid w:val="00780732"/>
    <w:rsid w:val="0078095A"/>
    <w:rsid w:val="0078146E"/>
    <w:rsid w:val="0078165E"/>
    <w:rsid w:val="00781B9A"/>
    <w:rsid w:val="0078243D"/>
    <w:rsid w:val="00783659"/>
    <w:rsid w:val="0078380D"/>
    <w:rsid w:val="00783BCC"/>
    <w:rsid w:val="00784702"/>
    <w:rsid w:val="007847B9"/>
    <w:rsid w:val="00785381"/>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59F5"/>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A7AF0"/>
    <w:rsid w:val="007B0253"/>
    <w:rsid w:val="007B0E3D"/>
    <w:rsid w:val="007B1061"/>
    <w:rsid w:val="007B1306"/>
    <w:rsid w:val="007B1B64"/>
    <w:rsid w:val="007B2638"/>
    <w:rsid w:val="007B2D8B"/>
    <w:rsid w:val="007B3458"/>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CB3"/>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252"/>
    <w:rsid w:val="007E276E"/>
    <w:rsid w:val="007E2B64"/>
    <w:rsid w:val="007E3051"/>
    <w:rsid w:val="007E4238"/>
    <w:rsid w:val="007E43A4"/>
    <w:rsid w:val="007E4E4F"/>
    <w:rsid w:val="007E6477"/>
    <w:rsid w:val="007E686B"/>
    <w:rsid w:val="007E6D46"/>
    <w:rsid w:val="007E6DA8"/>
    <w:rsid w:val="007E73ED"/>
    <w:rsid w:val="007E7A3E"/>
    <w:rsid w:val="007F04E6"/>
    <w:rsid w:val="007F05E0"/>
    <w:rsid w:val="007F0AE2"/>
    <w:rsid w:val="007F0DD3"/>
    <w:rsid w:val="007F163D"/>
    <w:rsid w:val="007F1A2B"/>
    <w:rsid w:val="007F1C1B"/>
    <w:rsid w:val="007F2D82"/>
    <w:rsid w:val="007F2DBB"/>
    <w:rsid w:val="007F2ED4"/>
    <w:rsid w:val="007F31B4"/>
    <w:rsid w:val="007F322D"/>
    <w:rsid w:val="007F3BCA"/>
    <w:rsid w:val="007F3FB0"/>
    <w:rsid w:val="007F4981"/>
    <w:rsid w:val="007F49CD"/>
    <w:rsid w:val="007F4E99"/>
    <w:rsid w:val="007F513A"/>
    <w:rsid w:val="007F5D4A"/>
    <w:rsid w:val="007F6562"/>
    <w:rsid w:val="007F65F2"/>
    <w:rsid w:val="007F757D"/>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60"/>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0FE6"/>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157"/>
    <w:rsid w:val="0083657B"/>
    <w:rsid w:val="00836762"/>
    <w:rsid w:val="00837D87"/>
    <w:rsid w:val="0084059F"/>
    <w:rsid w:val="00840634"/>
    <w:rsid w:val="008412CF"/>
    <w:rsid w:val="00841875"/>
    <w:rsid w:val="00841D09"/>
    <w:rsid w:val="00841E9F"/>
    <w:rsid w:val="00842061"/>
    <w:rsid w:val="00843971"/>
    <w:rsid w:val="00843AFD"/>
    <w:rsid w:val="00843B71"/>
    <w:rsid w:val="00843BDF"/>
    <w:rsid w:val="00844468"/>
    <w:rsid w:val="008444F8"/>
    <w:rsid w:val="00845014"/>
    <w:rsid w:val="0084554A"/>
    <w:rsid w:val="00845D97"/>
    <w:rsid w:val="00845F51"/>
    <w:rsid w:val="00846069"/>
    <w:rsid w:val="0084637B"/>
    <w:rsid w:val="00846467"/>
    <w:rsid w:val="0084760D"/>
    <w:rsid w:val="00847991"/>
    <w:rsid w:val="008479F4"/>
    <w:rsid w:val="00847C4E"/>
    <w:rsid w:val="0085172A"/>
    <w:rsid w:val="008517E2"/>
    <w:rsid w:val="008535B0"/>
    <w:rsid w:val="00853A21"/>
    <w:rsid w:val="00853BD0"/>
    <w:rsid w:val="008544D2"/>
    <w:rsid w:val="00854983"/>
    <w:rsid w:val="00854DBE"/>
    <w:rsid w:val="00855C75"/>
    <w:rsid w:val="008569DF"/>
    <w:rsid w:val="00856B6B"/>
    <w:rsid w:val="00856E4A"/>
    <w:rsid w:val="00856EEA"/>
    <w:rsid w:val="008579B1"/>
    <w:rsid w:val="00857DB5"/>
    <w:rsid w:val="00857F97"/>
    <w:rsid w:val="0086007E"/>
    <w:rsid w:val="0086037F"/>
    <w:rsid w:val="00860777"/>
    <w:rsid w:val="00860AD4"/>
    <w:rsid w:val="0086119E"/>
    <w:rsid w:val="008614CF"/>
    <w:rsid w:val="00861B0E"/>
    <w:rsid w:val="00861B16"/>
    <w:rsid w:val="00861B41"/>
    <w:rsid w:val="00861DA1"/>
    <w:rsid w:val="00862173"/>
    <w:rsid w:val="008621F7"/>
    <w:rsid w:val="008626B0"/>
    <w:rsid w:val="00864A2A"/>
    <w:rsid w:val="00864E86"/>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2A4C"/>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87C39"/>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EAA"/>
    <w:rsid w:val="00895F27"/>
    <w:rsid w:val="008970B5"/>
    <w:rsid w:val="008971D9"/>
    <w:rsid w:val="008A0473"/>
    <w:rsid w:val="008A16AE"/>
    <w:rsid w:val="008A23DF"/>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7C0"/>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39B0"/>
    <w:rsid w:val="008C436D"/>
    <w:rsid w:val="008C4853"/>
    <w:rsid w:val="008C48F2"/>
    <w:rsid w:val="008C5040"/>
    <w:rsid w:val="008C5BE7"/>
    <w:rsid w:val="008C74CC"/>
    <w:rsid w:val="008C7C3C"/>
    <w:rsid w:val="008C7F77"/>
    <w:rsid w:val="008D095D"/>
    <w:rsid w:val="008D0EB5"/>
    <w:rsid w:val="008D13DC"/>
    <w:rsid w:val="008D1980"/>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3D50"/>
    <w:rsid w:val="008E412D"/>
    <w:rsid w:val="008E4145"/>
    <w:rsid w:val="008E451A"/>
    <w:rsid w:val="008E455C"/>
    <w:rsid w:val="008E4C61"/>
    <w:rsid w:val="008E4E8B"/>
    <w:rsid w:val="008E5867"/>
    <w:rsid w:val="008E5D5A"/>
    <w:rsid w:val="008E6240"/>
    <w:rsid w:val="008E6D2D"/>
    <w:rsid w:val="008E6E01"/>
    <w:rsid w:val="008E76F3"/>
    <w:rsid w:val="008E7A59"/>
    <w:rsid w:val="008E7FDA"/>
    <w:rsid w:val="008F01AB"/>
    <w:rsid w:val="008F09AF"/>
    <w:rsid w:val="008F23C7"/>
    <w:rsid w:val="008F2A4E"/>
    <w:rsid w:val="008F2EB2"/>
    <w:rsid w:val="008F3DC9"/>
    <w:rsid w:val="008F4107"/>
    <w:rsid w:val="008F4807"/>
    <w:rsid w:val="008F4BFE"/>
    <w:rsid w:val="008F4F27"/>
    <w:rsid w:val="008F56B5"/>
    <w:rsid w:val="008F594D"/>
    <w:rsid w:val="008F595E"/>
    <w:rsid w:val="008F62E5"/>
    <w:rsid w:val="008F7697"/>
    <w:rsid w:val="008F7AEE"/>
    <w:rsid w:val="00900A18"/>
    <w:rsid w:val="00900BAA"/>
    <w:rsid w:val="00901845"/>
    <w:rsid w:val="00901AAA"/>
    <w:rsid w:val="0090242C"/>
    <w:rsid w:val="00902740"/>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07F41"/>
    <w:rsid w:val="009108A7"/>
    <w:rsid w:val="009114A5"/>
    <w:rsid w:val="00911E1A"/>
    <w:rsid w:val="009123B9"/>
    <w:rsid w:val="00912DDD"/>
    <w:rsid w:val="00913F4C"/>
    <w:rsid w:val="0091404B"/>
    <w:rsid w:val="0091423A"/>
    <w:rsid w:val="00914307"/>
    <w:rsid w:val="00914370"/>
    <w:rsid w:val="00914CA0"/>
    <w:rsid w:val="00914DE2"/>
    <w:rsid w:val="0091537E"/>
    <w:rsid w:val="00915DE0"/>
    <w:rsid w:val="009167FB"/>
    <w:rsid w:val="00916CCF"/>
    <w:rsid w:val="00920236"/>
    <w:rsid w:val="00920B65"/>
    <w:rsid w:val="00920BC8"/>
    <w:rsid w:val="00920D4C"/>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93E"/>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1D2A"/>
    <w:rsid w:val="00951FFF"/>
    <w:rsid w:val="009520A6"/>
    <w:rsid w:val="009526F7"/>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1EF"/>
    <w:rsid w:val="009612F1"/>
    <w:rsid w:val="00961B8B"/>
    <w:rsid w:val="00961BF6"/>
    <w:rsid w:val="00961D3F"/>
    <w:rsid w:val="00962AA0"/>
    <w:rsid w:val="00962CB3"/>
    <w:rsid w:val="00963164"/>
    <w:rsid w:val="00963275"/>
    <w:rsid w:val="0096347D"/>
    <w:rsid w:val="00963CD6"/>
    <w:rsid w:val="009646FA"/>
    <w:rsid w:val="009654F0"/>
    <w:rsid w:val="009667FB"/>
    <w:rsid w:val="00966C9A"/>
    <w:rsid w:val="00967B12"/>
    <w:rsid w:val="00967EA6"/>
    <w:rsid w:val="00970E72"/>
    <w:rsid w:val="00970F7A"/>
    <w:rsid w:val="0097132B"/>
    <w:rsid w:val="0097189F"/>
    <w:rsid w:val="00971C42"/>
    <w:rsid w:val="00971EC5"/>
    <w:rsid w:val="00971FCC"/>
    <w:rsid w:val="00971FE2"/>
    <w:rsid w:val="009720A1"/>
    <w:rsid w:val="009726F5"/>
    <w:rsid w:val="009728FB"/>
    <w:rsid w:val="0097298A"/>
    <w:rsid w:val="0097373B"/>
    <w:rsid w:val="00973BAF"/>
    <w:rsid w:val="00974182"/>
    <w:rsid w:val="00975236"/>
    <w:rsid w:val="0097579F"/>
    <w:rsid w:val="00975CBD"/>
    <w:rsid w:val="0097672C"/>
    <w:rsid w:val="009769BA"/>
    <w:rsid w:val="00976E39"/>
    <w:rsid w:val="009773CE"/>
    <w:rsid w:val="0097780F"/>
    <w:rsid w:val="009778AB"/>
    <w:rsid w:val="00981CB6"/>
    <w:rsid w:val="00982AB4"/>
    <w:rsid w:val="00983061"/>
    <w:rsid w:val="0098312F"/>
    <w:rsid w:val="00983223"/>
    <w:rsid w:val="00984206"/>
    <w:rsid w:val="0098511E"/>
    <w:rsid w:val="00985135"/>
    <w:rsid w:val="0098541D"/>
    <w:rsid w:val="00985C9A"/>
    <w:rsid w:val="009866CE"/>
    <w:rsid w:val="009879B5"/>
    <w:rsid w:val="00990010"/>
    <w:rsid w:val="00990732"/>
    <w:rsid w:val="00990C1F"/>
    <w:rsid w:val="00991820"/>
    <w:rsid w:val="00991C57"/>
    <w:rsid w:val="00991F39"/>
    <w:rsid w:val="009930C0"/>
    <w:rsid w:val="00994344"/>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A7FE7"/>
    <w:rsid w:val="009B003C"/>
    <w:rsid w:val="009B0DFC"/>
    <w:rsid w:val="009B114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FF1"/>
    <w:rsid w:val="009E1546"/>
    <w:rsid w:val="009E1726"/>
    <w:rsid w:val="009E18DB"/>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3DC"/>
    <w:rsid w:val="009F3CC3"/>
    <w:rsid w:val="009F3F25"/>
    <w:rsid w:val="009F42FA"/>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997"/>
    <w:rsid w:val="00A20D0A"/>
    <w:rsid w:val="00A2104B"/>
    <w:rsid w:val="00A210E9"/>
    <w:rsid w:val="00A213B0"/>
    <w:rsid w:val="00A21AAA"/>
    <w:rsid w:val="00A21FEA"/>
    <w:rsid w:val="00A224A1"/>
    <w:rsid w:val="00A23979"/>
    <w:rsid w:val="00A23DD3"/>
    <w:rsid w:val="00A2470A"/>
    <w:rsid w:val="00A2481C"/>
    <w:rsid w:val="00A25FDF"/>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47B7B"/>
    <w:rsid w:val="00A5044D"/>
    <w:rsid w:val="00A50B00"/>
    <w:rsid w:val="00A50C99"/>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2F30"/>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5795"/>
    <w:rsid w:val="00A760AD"/>
    <w:rsid w:val="00A7634B"/>
    <w:rsid w:val="00A7647C"/>
    <w:rsid w:val="00A76A52"/>
    <w:rsid w:val="00A76BA5"/>
    <w:rsid w:val="00A7735F"/>
    <w:rsid w:val="00A80709"/>
    <w:rsid w:val="00A817F3"/>
    <w:rsid w:val="00A81DCD"/>
    <w:rsid w:val="00A8221B"/>
    <w:rsid w:val="00A82D80"/>
    <w:rsid w:val="00A82F10"/>
    <w:rsid w:val="00A83213"/>
    <w:rsid w:val="00A83430"/>
    <w:rsid w:val="00A8389D"/>
    <w:rsid w:val="00A83BF1"/>
    <w:rsid w:val="00A84298"/>
    <w:rsid w:val="00A842D6"/>
    <w:rsid w:val="00A844C6"/>
    <w:rsid w:val="00A8523D"/>
    <w:rsid w:val="00A853A6"/>
    <w:rsid w:val="00A905F1"/>
    <w:rsid w:val="00A90CE4"/>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3CB1"/>
    <w:rsid w:val="00AA49B7"/>
    <w:rsid w:val="00AA61DD"/>
    <w:rsid w:val="00AA630A"/>
    <w:rsid w:val="00AA64F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2F4"/>
    <w:rsid w:val="00AC55D6"/>
    <w:rsid w:val="00AC6071"/>
    <w:rsid w:val="00AC62C7"/>
    <w:rsid w:val="00AC63F4"/>
    <w:rsid w:val="00AC7483"/>
    <w:rsid w:val="00AC755E"/>
    <w:rsid w:val="00AC7BC4"/>
    <w:rsid w:val="00AC7E9D"/>
    <w:rsid w:val="00AD067C"/>
    <w:rsid w:val="00AD163D"/>
    <w:rsid w:val="00AD1744"/>
    <w:rsid w:val="00AD1B03"/>
    <w:rsid w:val="00AD1D48"/>
    <w:rsid w:val="00AD1DFE"/>
    <w:rsid w:val="00AD1F3F"/>
    <w:rsid w:val="00AD2C1A"/>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1D7"/>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00"/>
    <w:rsid w:val="00AF66F1"/>
    <w:rsid w:val="00AF6C00"/>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5A9"/>
    <w:rsid w:val="00B05688"/>
    <w:rsid w:val="00B05A41"/>
    <w:rsid w:val="00B06241"/>
    <w:rsid w:val="00B07988"/>
    <w:rsid w:val="00B07EDA"/>
    <w:rsid w:val="00B11AC8"/>
    <w:rsid w:val="00B11C22"/>
    <w:rsid w:val="00B11E9A"/>
    <w:rsid w:val="00B13818"/>
    <w:rsid w:val="00B13C59"/>
    <w:rsid w:val="00B14939"/>
    <w:rsid w:val="00B14DDF"/>
    <w:rsid w:val="00B14E6C"/>
    <w:rsid w:val="00B14F21"/>
    <w:rsid w:val="00B151C6"/>
    <w:rsid w:val="00B15CC4"/>
    <w:rsid w:val="00B1741F"/>
    <w:rsid w:val="00B17793"/>
    <w:rsid w:val="00B17D79"/>
    <w:rsid w:val="00B17F5F"/>
    <w:rsid w:val="00B20057"/>
    <w:rsid w:val="00B208A5"/>
    <w:rsid w:val="00B209B5"/>
    <w:rsid w:val="00B20E2B"/>
    <w:rsid w:val="00B21CA7"/>
    <w:rsid w:val="00B21D24"/>
    <w:rsid w:val="00B22651"/>
    <w:rsid w:val="00B22CE2"/>
    <w:rsid w:val="00B23216"/>
    <w:rsid w:val="00B23960"/>
    <w:rsid w:val="00B23C80"/>
    <w:rsid w:val="00B24165"/>
    <w:rsid w:val="00B2484E"/>
    <w:rsid w:val="00B24C37"/>
    <w:rsid w:val="00B24F49"/>
    <w:rsid w:val="00B25064"/>
    <w:rsid w:val="00B255A7"/>
    <w:rsid w:val="00B25A70"/>
    <w:rsid w:val="00B25F9A"/>
    <w:rsid w:val="00B263DD"/>
    <w:rsid w:val="00B265B9"/>
    <w:rsid w:val="00B27080"/>
    <w:rsid w:val="00B272D3"/>
    <w:rsid w:val="00B27F0A"/>
    <w:rsid w:val="00B31F85"/>
    <w:rsid w:val="00B3245C"/>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FBD"/>
    <w:rsid w:val="00B65956"/>
    <w:rsid w:val="00B65E54"/>
    <w:rsid w:val="00B660A0"/>
    <w:rsid w:val="00B67D22"/>
    <w:rsid w:val="00B67E87"/>
    <w:rsid w:val="00B70068"/>
    <w:rsid w:val="00B701B4"/>
    <w:rsid w:val="00B70288"/>
    <w:rsid w:val="00B7049B"/>
    <w:rsid w:val="00B70EDB"/>
    <w:rsid w:val="00B71A5D"/>
    <w:rsid w:val="00B71F17"/>
    <w:rsid w:val="00B72444"/>
    <w:rsid w:val="00B7260F"/>
    <w:rsid w:val="00B737C7"/>
    <w:rsid w:val="00B74A0D"/>
    <w:rsid w:val="00B74FBD"/>
    <w:rsid w:val="00B75180"/>
    <w:rsid w:val="00B75667"/>
    <w:rsid w:val="00B75780"/>
    <w:rsid w:val="00B76A7A"/>
    <w:rsid w:val="00B77B01"/>
    <w:rsid w:val="00B77D8A"/>
    <w:rsid w:val="00B77E12"/>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6D0"/>
    <w:rsid w:val="00B9086A"/>
    <w:rsid w:val="00B915BE"/>
    <w:rsid w:val="00B91AD7"/>
    <w:rsid w:val="00B91DBA"/>
    <w:rsid w:val="00B92037"/>
    <w:rsid w:val="00B92189"/>
    <w:rsid w:val="00B93093"/>
    <w:rsid w:val="00B93392"/>
    <w:rsid w:val="00B93412"/>
    <w:rsid w:val="00B93453"/>
    <w:rsid w:val="00B93664"/>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38E"/>
    <w:rsid w:val="00BA44AB"/>
    <w:rsid w:val="00BA48E0"/>
    <w:rsid w:val="00BA5EFB"/>
    <w:rsid w:val="00BA659A"/>
    <w:rsid w:val="00BA6874"/>
    <w:rsid w:val="00BA68C1"/>
    <w:rsid w:val="00BA6E74"/>
    <w:rsid w:val="00BA715B"/>
    <w:rsid w:val="00BA73CD"/>
    <w:rsid w:val="00BA79BC"/>
    <w:rsid w:val="00BA7EB0"/>
    <w:rsid w:val="00BB022B"/>
    <w:rsid w:val="00BB0528"/>
    <w:rsid w:val="00BB07FA"/>
    <w:rsid w:val="00BB0986"/>
    <w:rsid w:val="00BB1D67"/>
    <w:rsid w:val="00BB214E"/>
    <w:rsid w:val="00BB23BD"/>
    <w:rsid w:val="00BB301E"/>
    <w:rsid w:val="00BB3F4C"/>
    <w:rsid w:val="00BB5260"/>
    <w:rsid w:val="00BB5FEA"/>
    <w:rsid w:val="00BB724B"/>
    <w:rsid w:val="00BB72E6"/>
    <w:rsid w:val="00BB77DC"/>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5C95"/>
    <w:rsid w:val="00BC6D8F"/>
    <w:rsid w:val="00BC7ADB"/>
    <w:rsid w:val="00BC7DB0"/>
    <w:rsid w:val="00BD082C"/>
    <w:rsid w:val="00BD0942"/>
    <w:rsid w:val="00BD0A3A"/>
    <w:rsid w:val="00BD0FC4"/>
    <w:rsid w:val="00BD1151"/>
    <w:rsid w:val="00BD13D0"/>
    <w:rsid w:val="00BD140B"/>
    <w:rsid w:val="00BD233E"/>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3FE8"/>
    <w:rsid w:val="00BE40F3"/>
    <w:rsid w:val="00BE65B3"/>
    <w:rsid w:val="00BE69FE"/>
    <w:rsid w:val="00BE742D"/>
    <w:rsid w:val="00BE779A"/>
    <w:rsid w:val="00BE7D51"/>
    <w:rsid w:val="00BF0487"/>
    <w:rsid w:val="00BF0ACA"/>
    <w:rsid w:val="00BF0FD5"/>
    <w:rsid w:val="00BF10D2"/>
    <w:rsid w:val="00BF116C"/>
    <w:rsid w:val="00BF120B"/>
    <w:rsid w:val="00BF19D1"/>
    <w:rsid w:val="00BF22EE"/>
    <w:rsid w:val="00BF2AF0"/>
    <w:rsid w:val="00BF31CB"/>
    <w:rsid w:val="00BF4881"/>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BF0"/>
    <w:rsid w:val="00C04D46"/>
    <w:rsid w:val="00C050A5"/>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A5"/>
    <w:rsid w:val="00C11FE5"/>
    <w:rsid w:val="00C11FF6"/>
    <w:rsid w:val="00C122BF"/>
    <w:rsid w:val="00C124C4"/>
    <w:rsid w:val="00C12D59"/>
    <w:rsid w:val="00C13AD5"/>
    <w:rsid w:val="00C13C8A"/>
    <w:rsid w:val="00C14FE4"/>
    <w:rsid w:val="00C15135"/>
    <w:rsid w:val="00C17D89"/>
    <w:rsid w:val="00C20049"/>
    <w:rsid w:val="00C2068D"/>
    <w:rsid w:val="00C206C4"/>
    <w:rsid w:val="00C20D6F"/>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25D2"/>
    <w:rsid w:val="00C337F3"/>
    <w:rsid w:val="00C33B98"/>
    <w:rsid w:val="00C33FF0"/>
    <w:rsid w:val="00C34751"/>
    <w:rsid w:val="00C34C05"/>
    <w:rsid w:val="00C34E0B"/>
    <w:rsid w:val="00C3566B"/>
    <w:rsid w:val="00C35A2B"/>
    <w:rsid w:val="00C35B23"/>
    <w:rsid w:val="00C35BE3"/>
    <w:rsid w:val="00C36064"/>
    <w:rsid w:val="00C36BFA"/>
    <w:rsid w:val="00C37050"/>
    <w:rsid w:val="00C37D75"/>
    <w:rsid w:val="00C4018E"/>
    <w:rsid w:val="00C40FA9"/>
    <w:rsid w:val="00C41332"/>
    <w:rsid w:val="00C419A3"/>
    <w:rsid w:val="00C41B56"/>
    <w:rsid w:val="00C41D2B"/>
    <w:rsid w:val="00C4248E"/>
    <w:rsid w:val="00C42A8C"/>
    <w:rsid w:val="00C444D9"/>
    <w:rsid w:val="00C44500"/>
    <w:rsid w:val="00C447FB"/>
    <w:rsid w:val="00C45B4A"/>
    <w:rsid w:val="00C46095"/>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D3B"/>
    <w:rsid w:val="00C60EC1"/>
    <w:rsid w:val="00C61F3D"/>
    <w:rsid w:val="00C620E3"/>
    <w:rsid w:val="00C62997"/>
    <w:rsid w:val="00C62B6B"/>
    <w:rsid w:val="00C62DEF"/>
    <w:rsid w:val="00C62F42"/>
    <w:rsid w:val="00C633AB"/>
    <w:rsid w:val="00C64849"/>
    <w:rsid w:val="00C65F58"/>
    <w:rsid w:val="00C661CD"/>
    <w:rsid w:val="00C66571"/>
    <w:rsid w:val="00C667F6"/>
    <w:rsid w:val="00C66941"/>
    <w:rsid w:val="00C66B7F"/>
    <w:rsid w:val="00C66C4B"/>
    <w:rsid w:val="00C66E0C"/>
    <w:rsid w:val="00C67420"/>
    <w:rsid w:val="00C679BA"/>
    <w:rsid w:val="00C70551"/>
    <w:rsid w:val="00C7094D"/>
    <w:rsid w:val="00C71CB1"/>
    <w:rsid w:val="00C7296E"/>
    <w:rsid w:val="00C72AD3"/>
    <w:rsid w:val="00C73242"/>
    <w:rsid w:val="00C7357D"/>
    <w:rsid w:val="00C741B5"/>
    <w:rsid w:val="00C74C3E"/>
    <w:rsid w:val="00C75004"/>
    <w:rsid w:val="00C755E8"/>
    <w:rsid w:val="00C75970"/>
    <w:rsid w:val="00C75A42"/>
    <w:rsid w:val="00C75C9D"/>
    <w:rsid w:val="00C77113"/>
    <w:rsid w:val="00C811D4"/>
    <w:rsid w:val="00C8128C"/>
    <w:rsid w:val="00C8198E"/>
    <w:rsid w:val="00C82C71"/>
    <w:rsid w:val="00C82E5F"/>
    <w:rsid w:val="00C83234"/>
    <w:rsid w:val="00C8338A"/>
    <w:rsid w:val="00C83FEB"/>
    <w:rsid w:val="00C84103"/>
    <w:rsid w:val="00C8567F"/>
    <w:rsid w:val="00C8572A"/>
    <w:rsid w:val="00C85784"/>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5DB0"/>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3F84"/>
    <w:rsid w:val="00CA5DA1"/>
    <w:rsid w:val="00CA60CC"/>
    <w:rsid w:val="00CA68EC"/>
    <w:rsid w:val="00CA7692"/>
    <w:rsid w:val="00CA7769"/>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3F83"/>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C58"/>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665"/>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8A2"/>
    <w:rsid w:val="00D03FC3"/>
    <w:rsid w:val="00D04FC8"/>
    <w:rsid w:val="00D05BC3"/>
    <w:rsid w:val="00D05FD4"/>
    <w:rsid w:val="00D06088"/>
    <w:rsid w:val="00D065A5"/>
    <w:rsid w:val="00D0675C"/>
    <w:rsid w:val="00D06800"/>
    <w:rsid w:val="00D06BB8"/>
    <w:rsid w:val="00D06EF9"/>
    <w:rsid w:val="00D0798F"/>
    <w:rsid w:val="00D07A46"/>
    <w:rsid w:val="00D07ADD"/>
    <w:rsid w:val="00D10199"/>
    <w:rsid w:val="00D10E49"/>
    <w:rsid w:val="00D10FB7"/>
    <w:rsid w:val="00D11683"/>
    <w:rsid w:val="00D11873"/>
    <w:rsid w:val="00D12BDB"/>
    <w:rsid w:val="00D13880"/>
    <w:rsid w:val="00D14204"/>
    <w:rsid w:val="00D14F37"/>
    <w:rsid w:val="00D1624D"/>
    <w:rsid w:val="00D164BF"/>
    <w:rsid w:val="00D16A3F"/>
    <w:rsid w:val="00D20083"/>
    <w:rsid w:val="00D20E2C"/>
    <w:rsid w:val="00D217CE"/>
    <w:rsid w:val="00D21FD2"/>
    <w:rsid w:val="00D22050"/>
    <w:rsid w:val="00D22D38"/>
    <w:rsid w:val="00D22EE4"/>
    <w:rsid w:val="00D22F97"/>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77B"/>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5A2"/>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635"/>
    <w:rsid w:val="00D74977"/>
    <w:rsid w:val="00D75843"/>
    <w:rsid w:val="00D75999"/>
    <w:rsid w:val="00D76E83"/>
    <w:rsid w:val="00D8036A"/>
    <w:rsid w:val="00D81307"/>
    <w:rsid w:val="00D81FF1"/>
    <w:rsid w:val="00D820F3"/>
    <w:rsid w:val="00D822CA"/>
    <w:rsid w:val="00D84268"/>
    <w:rsid w:val="00D84515"/>
    <w:rsid w:val="00D84824"/>
    <w:rsid w:val="00D84F73"/>
    <w:rsid w:val="00D8666C"/>
    <w:rsid w:val="00D86B3B"/>
    <w:rsid w:val="00D876BB"/>
    <w:rsid w:val="00D8778A"/>
    <w:rsid w:val="00D87E21"/>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96F51"/>
    <w:rsid w:val="00DA019E"/>
    <w:rsid w:val="00DA0590"/>
    <w:rsid w:val="00DA0F8E"/>
    <w:rsid w:val="00DA0FC0"/>
    <w:rsid w:val="00DA1176"/>
    <w:rsid w:val="00DA12A3"/>
    <w:rsid w:val="00DA1985"/>
    <w:rsid w:val="00DA1B85"/>
    <w:rsid w:val="00DA1D80"/>
    <w:rsid w:val="00DA1E0F"/>
    <w:rsid w:val="00DA2046"/>
    <w:rsid w:val="00DA2597"/>
    <w:rsid w:val="00DA2BCC"/>
    <w:rsid w:val="00DA2E53"/>
    <w:rsid w:val="00DA3048"/>
    <w:rsid w:val="00DA30FB"/>
    <w:rsid w:val="00DA39C6"/>
    <w:rsid w:val="00DA3F00"/>
    <w:rsid w:val="00DA5C40"/>
    <w:rsid w:val="00DA631B"/>
    <w:rsid w:val="00DA6B8E"/>
    <w:rsid w:val="00DA7074"/>
    <w:rsid w:val="00DA727D"/>
    <w:rsid w:val="00DA773F"/>
    <w:rsid w:val="00DA7BC7"/>
    <w:rsid w:val="00DB0564"/>
    <w:rsid w:val="00DB1382"/>
    <w:rsid w:val="00DB1539"/>
    <w:rsid w:val="00DB2014"/>
    <w:rsid w:val="00DB21E6"/>
    <w:rsid w:val="00DB220E"/>
    <w:rsid w:val="00DB2369"/>
    <w:rsid w:val="00DB2559"/>
    <w:rsid w:val="00DB272C"/>
    <w:rsid w:val="00DB35C7"/>
    <w:rsid w:val="00DB39DE"/>
    <w:rsid w:val="00DB405C"/>
    <w:rsid w:val="00DB4322"/>
    <w:rsid w:val="00DB4489"/>
    <w:rsid w:val="00DB4699"/>
    <w:rsid w:val="00DB4CA0"/>
    <w:rsid w:val="00DB4FD7"/>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5C23"/>
    <w:rsid w:val="00DC60E1"/>
    <w:rsid w:val="00DC6A94"/>
    <w:rsid w:val="00DC76BA"/>
    <w:rsid w:val="00DD132F"/>
    <w:rsid w:val="00DD1521"/>
    <w:rsid w:val="00DD1C2F"/>
    <w:rsid w:val="00DD1ED7"/>
    <w:rsid w:val="00DD242B"/>
    <w:rsid w:val="00DD278D"/>
    <w:rsid w:val="00DD2C54"/>
    <w:rsid w:val="00DD3430"/>
    <w:rsid w:val="00DD35A0"/>
    <w:rsid w:val="00DD6396"/>
    <w:rsid w:val="00DD6C70"/>
    <w:rsid w:val="00DD6E8E"/>
    <w:rsid w:val="00DD70C8"/>
    <w:rsid w:val="00DD7F36"/>
    <w:rsid w:val="00DE0C03"/>
    <w:rsid w:val="00DE21CF"/>
    <w:rsid w:val="00DE273A"/>
    <w:rsid w:val="00DE285A"/>
    <w:rsid w:val="00DE3E7C"/>
    <w:rsid w:val="00DE4664"/>
    <w:rsid w:val="00DE5335"/>
    <w:rsid w:val="00DE562C"/>
    <w:rsid w:val="00DE67B4"/>
    <w:rsid w:val="00DE6DAE"/>
    <w:rsid w:val="00DE7524"/>
    <w:rsid w:val="00DF02EC"/>
    <w:rsid w:val="00DF098C"/>
    <w:rsid w:val="00DF1249"/>
    <w:rsid w:val="00DF24B9"/>
    <w:rsid w:val="00DF2DA0"/>
    <w:rsid w:val="00DF2EEE"/>
    <w:rsid w:val="00DF32AF"/>
    <w:rsid w:val="00DF3E4D"/>
    <w:rsid w:val="00DF42F3"/>
    <w:rsid w:val="00DF46CF"/>
    <w:rsid w:val="00DF4D70"/>
    <w:rsid w:val="00DF4DBC"/>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31F"/>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22"/>
    <w:rsid w:val="00E222AC"/>
    <w:rsid w:val="00E224C9"/>
    <w:rsid w:val="00E2272F"/>
    <w:rsid w:val="00E229F7"/>
    <w:rsid w:val="00E22A2D"/>
    <w:rsid w:val="00E22EE3"/>
    <w:rsid w:val="00E23416"/>
    <w:rsid w:val="00E2391F"/>
    <w:rsid w:val="00E242E6"/>
    <w:rsid w:val="00E24E3D"/>
    <w:rsid w:val="00E250DB"/>
    <w:rsid w:val="00E2596F"/>
    <w:rsid w:val="00E2636F"/>
    <w:rsid w:val="00E263E4"/>
    <w:rsid w:val="00E26A77"/>
    <w:rsid w:val="00E271F0"/>
    <w:rsid w:val="00E30155"/>
    <w:rsid w:val="00E304DE"/>
    <w:rsid w:val="00E3069F"/>
    <w:rsid w:val="00E306A2"/>
    <w:rsid w:val="00E307C5"/>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1CF"/>
    <w:rsid w:val="00E42782"/>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3FAB"/>
    <w:rsid w:val="00E5413F"/>
    <w:rsid w:val="00E541D0"/>
    <w:rsid w:val="00E543CA"/>
    <w:rsid w:val="00E54EC5"/>
    <w:rsid w:val="00E55335"/>
    <w:rsid w:val="00E55D2A"/>
    <w:rsid w:val="00E57FA4"/>
    <w:rsid w:val="00E60ADA"/>
    <w:rsid w:val="00E61C29"/>
    <w:rsid w:val="00E624D8"/>
    <w:rsid w:val="00E62EED"/>
    <w:rsid w:val="00E63DB3"/>
    <w:rsid w:val="00E63F2E"/>
    <w:rsid w:val="00E645DC"/>
    <w:rsid w:val="00E649A5"/>
    <w:rsid w:val="00E6523D"/>
    <w:rsid w:val="00E65967"/>
    <w:rsid w:val="00E65EF0"/>
    <w:rsid w:val="00E668E2"/>
    <w:rsid w:val="00E6767F"/>
    <w:rsid w:val="00E67F22"/>
    <w:rsid w:val="00E7048B"/>
    <w:rsid w:val="00E705E5"/>
    <w:rsid w:val="00E70B0C"/>
    <w:rsid w:val="00E713AC"/>
    <w:rsid w:val="00E71EFF"/>
    <w:rsid w:val="00E72246"/>
    <w:rsid w:val="00E722AC"/>
    <w:rsid w:val="00E723D3"/>
    <w:rsid w:val="00E725B6"/>
    <w:rsid w:val="00E7370D"/>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EE4"/>
    <w:rsid w:val="00EA20F1"/>
    <w:rsid w:val="00EA2730"/>
    <w:rsid w:val="00EA42BA"/>
    <w:rsid w:val="00EA4F96"/>
    <w:rsid w:val="00EA531A"/>
    <w:rsid w:val="00EA54BC"/>
    <w:rsid w:val="00EA589B"/>
    <w:rsid w:val="00EA73FE"/>
    <w:rsid w:val="00EA7499"/>
    <w:rsid w:val="00EA74E3"/>
    <w:rsid w:val="00EA7744"/>
    <w:rsid w:val="00EB178A"/>
    <w:rsid w:val="00EB2435"/>
    <w:rsid w:val="00EB2A33"/>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6EF"/>
    <w:rsid w:val="00ED19F8"/>
    <w:rsid w:val="00ED1FB7"/>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862"/>
    <w:rsid w:val="00EE2AAB"/>
    <w:rsid w:val="00EE3354"/>
    <w:rsid w:val="00EE3A54"/>
    <w:rsid w:val="00EE459C"/>
    <w:rsid w:val="00EE62B4"/>
    <w:rsid w:val="00EF0E50"/>
    <w:rsid w:val="00EF1FE3"/>
    <w:rsid w:val="00EF20FD"/>
    <w:rsid w:val="00EF220D"/>
    <w:rsid w:val="00EF2337"/>
    <w:rsid w:val="00EF2439"/>
    <w:rsid w:val="00EF2A75"/>
    <w:rsid w:val="00EF3A4A"/>
    <w:rsid w:val="00EF3B82"/>
    <w:rsid w:val="00EF3D43"/>
    <w:rsid w:val="00EF3E49"/>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4351"/>
    <w:rsid w:val="00F154C5"/>
    <w:rsid w:val="00F15744"/>
    <w:rsid w:val="00F15A4F"/>
    <w:rsid w:val="00F16565"/>
    <w:rsid w:val="00F165FE"/>
    <w:rsid w:val="00F16BB1"/>
    <w:rsid w:val="00F17E62"/>
    <w:rsid w:val="00F20046"/>
    <w:rsid w:val="00F206FE"/>
    <w:rsid w:val="00F209E0"/>
    <w:rsid w:val="00F20EE3"/>
    <w:rsid w:val="00F21048"/>
    <w:rsid w:val="00F2112D"/>
    <w:rsid w:val="00F21654"/>
    <w:rsid w:val="00F218EF"/>
    <w:rsid w:val="00F21B93"/>
    <w:rsid w:val="00F21EC3"/>
    <w:rsid w:val="00F22F88"/>
    <w:rsid w:val="00F23178"/>
    <w:rsid w:val="00F2357F"/>
    <w:rsid w:val="00F24A57"/>
    <w:rsid w:val="00F24F4D"/>
    <w:rsid w:val="00F25139"/>
    <w:rsid w:val="00F25166"/>
    <w:rsid w:val="00F2589C"/>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7D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9EB"/>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367"/>
    <w:rsid w:val="00F548C8"/>
    <w:rsid w:val="00F54986"/>
    <w:rsid w:val="00F55A3B"/>
    <w:rsid w:val="00F563B2"/>
    <w:rsid w:val="00F56848"/>
    <w:rsid w:val="00F56FA3"/>
    <w:rsid w:val="00F5765A"/>
    <w:rsid w:val="00F57A26"/>
    <w:rsid w:val="00F57A55"/>
    <w:rsid w:val="00F57C72"/>
    <w:rsid w:val="00F60802"/>
    <w:rsid w:val="00F611F0"/>
    <w:rsid w:val="00F61564"/>
    <w:rsid w:val="00F61614"/>
    <w:rsid w:val="00F6190D"/>
    <w:rsid w:val="00F61D1B"/>
    <w:rsid w:val="00F61FDE"/>
    <w:rsid w:val="00F62BB8"/>
    <w:rsid w:val="00F63DE6"/>
    <w:rsid w:val="00F64966"/>
    <w:rsid w:val="00F65A43"/>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912"/>
    <w:rsid w:val="00F83C07"/>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382C"/>
    <w:rsid w:val="00F9419F"/>
    <w:rsid w:val="00F94683"/>
    <w:rsid w:val="00F9495D"/>
    <w:rsid w:val="00F94C7E"/>
    <w:rsid w:val="00F95013"/>
    <w:rsid w:val="00F9529E"/>
    <w:rsid w:val="00F95439"/>
    <w:rsid w:val="00F95663"/>
    <w:rsid w:val="00F9597B"/>
    <w:rsid w:val="00F96226"/>
    <w:rsid w:val="00F9632D"/>
    <w:rsid w:val="00F9650D"/>
    <w:rsid w:val="00F967D4"/>
    <w:rsid w:val="00F97645"/>
    <w:rsid w:val="00F976DD"/>
    <w:rsid w:val="00F9794E"/>
    <w:rsid w:val="00F97B15"/>
    <w:rsid w:val="00FA029F"/>
    <w:rsid w:val="00FA0509"/>
    <w:rsid w:val="00FA0E7C"/>
    <w:rsid w:val="00FA1D8F"/>
    <w:rsid w:val="00FA1E61"/>
    <w:rsid w:val="00FA2B5A"/>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593"/>
    <w:rsid w:val="00FF5929"/>
    <w:rsid w:val="00FF6227"/>
    <w:rsid w:val="00FF62EF"/>
    <w:rsid w:val="00FF68C4"/>
    <w:rsid w:val="00FF6D3E"/>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3CD"/>
    <w:pPr>
      <w:spacing w:after="160" w:line="259" w:lineRule="auto"/>
    </w:pPr>
    <w:rPr>
      <w:rFonts w:ascii="Times New Roman" w:eastAsiaTheme="minorHAnsi" w:hAnsi="Times New Roman" w:cstheme="minorBidi"/>
      <w:szCs w:val="22"/>
      <w:lang w:eastAsia="en-US"/>
    </w:rPr>
  </w:style>
  <w:style w:type="paragraph" w:styleId="Heading1">
    <w:name w:val="heading 1"/>
    <w:next w:val="Normal"/>
    <w:qFormat/>
    <w:rsid w:val="005B4282"/>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BA73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73CD"/>
  </w:style>
  <w:style w:type="paragraph" w:styleId="TOC8">
    <w:name w:val="toc 8"/>
    <w:basedOn w:val="TOC1"/>
    <w:semiHidden/>
    <w:rsid w:val="005B4282"/>
    <w:pPr>
      <w:spacing w:before="180"/>
      <w:ind w:left="2693" w:hanging="2693"/>
    </w:pPr>
    <w:rPr>
      <w:b/>
    </w:rPr>
  </w:style>
  <w:style w:type="paragraph" w:styleId="TOC1">
    <w:name w:val="toc 1"/>
    <w:semiHidden/>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semiHidden/>
    <w:rsid w:val="005B4282"/>
    <w:pPr>
      <w:ind w:left="1134" w:hanging="1134"/>
    </w:pPr>
  </w:style>
  <w:style w:type="paragraph" w:styleId="TOC2">
    <w:name w:val="toc 2"/>
    <w:basedOn w:val="TOC1"/>
    <w:semiHidden/>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spacing w:after="0"/>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spacing w:after="0"/>
      <w:ind w:left="454" w:hanging="454"/>
    </w:pPr>
    <w:rPr>
      <w:sz w:val="16"/>
    </w:rPr>
  </w:style>
  <w:style w:type="paragraph" w:customStyle="1" w:styleId="TAH">
    <w:name w:val="TAH"/>
    <w:basedOn w:val="TAC"/>
    <w:link w:val="TAHCar"/>
    <w:rsid w:val="005B4282"/>
    <w:rPr>
      <w:b/>
    </w:rPr>
  </w:style>
  <w:style w:type="paragraph" w:customStyle="1" w:styleId="TAC">
    <w:name w:val="TAC"/>
    <w:basedOn w:val="TAL"/>
    <w:link w:val="TACChar"/>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pPr>
      <w:spacing w:after="0"/>
    </w:pPr>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pPr>
      <w:spacing w:after="0"/>
    </w:pPr>
  </w:style>
  <w:style w:type="paragraph" w:customStyle="1" w:styleId="EW">
    <w:name w:val="EW"/>
    <w:basedOn w:val="EX"/>
    <w:rsid w:val="005B4282"/>
    <w:pPr>
      <w:spacing w:after="0"/>
    </w:pPr>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rsid w:val="005B4282"/>
    <w:pPr>
      <w:keepNext/>
      <w:keepLines/>
      <w:spacing w:before="60"/>
      <w:jc w:val="center"/>
    </w:pPr>
    <w:rPr>
      <w:rFonts w:ascii="Arial" w:hAnsi="Arial"/>
      <w:b/>
    </w:rPr>
  </w:style>
  <w:style w:type="paragraph" w:customStyle="1" w:styleId="NF">
    <w:name w:val="NF"/>
    <w:basedOn w:val="NO"/>
    <w:rsid w:val="005B4282"/>
    <w:pPr>
      <w:keepNext/>
      <w:spacing w:after="0"/>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rsid w:val="005B4282"/>
    <w:pPr>
      <w:keepNext/>
      <w:keepLines/>
      <w:spacing w:after="0"/>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rsid w:val="005B4282"/>
  </w:style>
  <w:style w:type="paragraph" w:customStyle="1" w:styleId="B2">
    <w:name w:val="B2"/>
    <w:basedOn w:val="List2"/>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lang w:eastAsia="zh-CN"/>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C60D3B"/>
    <w:pPr>
      <w:numPr>
        <w:numId w:val="17"/>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spacing w:after="0"/>
    </w:pPr>
    <w:rPr>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spacing w:before="100" w:beforeAutospacing="1" w:after="100" w:afterAutospacing="1"/>
    </w:pPr>
    <w:rPr>
      <w:sz w:val="24"/>
      <w:szCs w:val="24"/>
      <w:lang w:eastAsia="zh-CN"/>
    </w:rPr>
  </w:style>
  <w:style w:type="character" w:customStyle="1" w:styleId="B10">
    <w:name w:val="B1 (文字)"/>
    <w:link w:val="B1"/>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eastAsia="Times New Roman" w:hAnsi="Arial"/>
      <w:b/>
      <w:lang w:val="en-GB" w:eastAsia="en-US"/>
    </w:rPr>
  </w:style>
  <w:style w:type="character" w:customStyle="1" w:styleId="TACChar">
    <w:name w:val="TAC Char"/>
    <w:link w:val="TAC"/>
    <w:locked/>
    <w:rsid w:val="00404024"/>
    <w:rPr>
      <w:rFonts w:ascii="Arial" w:eastAsia="Times New Roman" w:hAnsi="Arial"/>
      <w:sz w:val="18"/>
      <w:lang w:val="en-GB" w:eastAsia="en-US"/>
    </w:rPr>
  </w:style>
  <w:style w:type="character" w:customStyle="1" w:styleId="TAHCar">
    <w:name w:val="TAH Car"/>
    <w:link w:val="TAH"/>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imes New Roman" w:eastAsia="Times New Roman" w:hAnsi="Times New Roman"/>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uiPriority w:val="99"/>
    <w:rsid w:val="00F9419F"/>
    <w:pPr>
      <w:numPr>
        <w:numId w:val="3"/>
      </w:numPr>
      <w:snapToGrid w:val="0"/>
      <w:spacing w:after="60"/>
      <w:jc w:val="both"/>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link w:val="ProposalChar"/>
    <w:qFormat/>
    <w:rsid w:val="006055A3"/>
    <w:pPr>
      <w:numPr>
        <w:numId w:val="28"/>
      </w:numPr>
      <w:ind w:left="0" w:firstLine="0"/>
    </w:pPr>
    <w:rPr>
      <w:b/>
    </w:rPr>
  </w:style>
  <w:style w:type="paragraph" w:styleId="TableofFigures">
    <w:name w:val="table of figures"/>
    <w:basedOn w:val="Normal"/>
    <w:next w:val="Normal"/>
    <w:uiPriority w:val="99"/>
    <w:unhideWhenUsed/>
    <w:rsid w:val="00F22F88"/>
    <w:pPr>
      <w:tabs>
        <w:tab w:val="left" w:pos="1080"/>
      </w:tabs>
    </w:pPr>
    <w:rPr>
      <w:rFonts w:cs="Times New Roman"/>
      <w:b/>
      <w:bCs/>
      <w:szCs w:val="24"/>
    </w:rPr>
  </w:style>
  <w:style w:type="character" w:customStyle="1" w:styleId="ProposalChar">
    <w:name w:val="Proposal Char"/>
    <w:basedOn w:val="DefaultParagraphFont"/>
    <w:link w:val="Proposal"/>
    <w:rsid w:val="006055A3"/>
    <w:rPr>
      <w:rFonts w:asciiTheme="minorHAnsi" w:eastAsiaTheme="minorHAnsi" w:hAnsiTheme="minorHAnsi" w:cstheme="minorBid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18420-4161-4482-85A1-1AE1311E5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2278</Words>
  <Characters>12985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2020-10-24T04:08:00Z</dcterms:created>
  <dcterms:modified xsi:type="dcterms:W3CDTF">2020-10-24T06:02:00Z</dcterms:modified>
</cp:coreProperties>
</file>