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 xml:space="preserve">SRS resource with higher layer parameter usage in SRS-ResourceSet set to 'codebook' and 'nonCodebook'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SimSun"/>
                <w:iCs/>
                <w:sz w:val="20"/>
                <w:szCs w:val="20"/>
              </w:rPr>
            </w:pPr>
            <w:r>
              <w:rPr>
                <w:rFonts w:eastAsia="SimSun"/>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x-none"/>
              </w:rPr>
            </w:pPr>
            <w:r>
              <w:rPr>
                <w:rFonts w:eastAsia="SimSun"/>
                <w:iCs/>
                <w:sz w:val="20"/>
                <w:szCs w:val="20"/>
              </w:rPr>
              <w:t>Agree with this in principle, but the condition “</w:t>
            </w:r>
            <w:r w:rsidRPr="006D619F">
              <w:rPr>
                <w:rFonts w:eastAsia="SimSun"/>
                <w:iCs/>
                <w:sz w:val="20"/>
                <w:szCs w:val="20"/>
                <w:lang w:val="x-none"/>
              </w:rPr>
              <w:t xml:space="preserve">if the UE is provided </w:t>
            </w:r>
            <w:r w:rsidRPr="006D619F">
              <w:rPr>
                <w:rFonts w:eastAsia="SimSun"/>
                <w:i/>
                <w:iCs/>
                <w:sz w:val="20"/>
                <w:szCs w:val="20"/>
                <w:lang w:val="x-none"/>
              </w:rPr>
              <w:t>spatialRelationInfo</w:t>
            </w:r>
            <w:r w:rsidRPr="006D619F">
              <w:rPr>
                <w:rFonts w:eastAsia="SimSun"/>
                <w:iCs/>
                <w:sz w:val="20"/>
                <w:szCs w:val="20"/>
                <w:lang w:val="x-none"/>
              </w:rPr>
              <w:t xml:space="preserve"> for the SRS resource</w:t>
            </w:r>
            <w:r>
              <w:rPr>
                <w:rFonts w:eastAsia="SimSun"/>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7C33F8">
              <w:rPr>
                <w:rFonts w:eastAsia="SimSun"/>
                <w:iCs/>
                <w:sz w:val="20"/>
                <w:szCs w:val="20"/>
              </w:rPr>
              <w:t>Agree with Apple: the T</w:t>
            </w:r>
            <w:r>
              <w:rPr>
                <w:rFonts w:eastAsia="SimSun"/>
                <w:iCs/>
                <w:sz w:val="20"/>
                <w:szCs w:val="20"/>
              </w:rPr>
              <w:t xml:space="preserve">P is fine in principle, but the condition on </w:t>
            </w:r>
            <w:r w:rsidRPr="006D619F">
              <w:rPr>
                <w:rFonts w:eastAsia="SimSun"/>
                <w:i/>
                <w:iCs/>
                <w:sz w:val="20"/>
                <w:szCs w:val="20"/>
                <w:lang w:val="x-none"/>
              </w:rPr>
              <w:t>spatialRelationInfo</w:t>
            </w:r>
            <w:r w:rsidRPr="007C33F8">
              <w:rPr>
                <w:rFonts w:eastAsia="SimSun"/>
                <w:i/>
                <w:iCs/>
                <w:sz w:val="20"/>
                <w:szCs w:val="20"/>
              </w:rPr>
              <w:t xml:space="preserve"> </w:t>
            </w:r>
            <w:r>
              <w:rPr>
                <w:rFonts w:eastAsia="SimSun"/>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SimSun"/>
                <w:iCs/>
                <w:sz w:val="20"/>
                <w:szCs w:val="20"/>
              </w:rPr>
            </w:pPr>
            <w:r>
              <w:rPr>
                <w:rFonts w:eastAsia="SimSun"/>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Agree in principle.</w:t>
            </w:r>
            <w:r w:rsidR="00A16C61">
              <w:rPr>
                <w:rFonts w:eastAsia="SimSun"/>
                <w:iCs/>
                <w:sz w:val="20"/>
                <w:szCs w:val="20"/>
              </w:rPr>
              <w:t xml:space="preserve"> </w:t>
            </w:r>
          </w:p>
        </w:tc>
      </w:tr>
      <w:tr w:rsidR="005D5D68" w14:paraId="4818E193"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3B9DE0C" w14:textId="462F3E29" w:rsidR="005D5D68" w:rsidRPr="005D5D68" w:rsidRDefault="005D5D68" w:rsidP="002E2384">
            <w:pPr>
              <w:spacing w:beforeLines="50" w:before="120" w:after="12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6C88685E" w14:textId="6E0EF31E" w:rsidR="005D5D68" w:rsidRPr="005D5D68" w:rsidRDefault="005D5D6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A</w:t>
            </w:r>
            <w:r>
              <w:rPr>
                <w:rFonts w:eastAsia="Malgun Gothic"/>
                <w:iCs/>
                <w:sz w:val="20"/>
                <w:szCs w:val="20"/>
                <w:lang w:eastAsia="ko-KR"/>
              </w:rPr>
              <w:t>gree in principle.</w:t>
            </w:r>
          </w:p>
        </w:tc>
      </w:tr>
      <w:tr w:rsidR="00766470" w:rsidRPr="00AA2ADC" w14:paraId="646C97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74734B" w14:textId="34F35468" w:rsidR="00766470" w:rsidRDefault="00766470" w:rsidP="002E2384">
            <w:pPr>
              <w:spacing w:beforeLines="50" w:before="120" w:after="120"/>
              <w:rPr>
                <w:rFonts w:eastAsia="Malgun Gothic"/>
                <w:iCs/>
                <w:sz w:val="20"/>
                <w:szCs w:val="20"/>
                <w:lang w:eastAsia="ko-KR"/>
              </w:rPr>
            </w:pPr>
            <w:r>
              <w:rPr>
                <w:rFonts w:eastAsia="Malgun Gothic" w:hint="eastAsia"/>
                <w:iCs/>
                <w:sz w:val="20"/>
                <w:szCs w:val="20"/>
                <w:lang w:eastAsia="ko-KR"/>
              </w:rPr>
              <w:t>ZTE</w:t>
            </w:r>
          </w:p>
        </w:tc>
        <w:tc>
          <w:tcPr>
            <w:tcW w:w="6038" w:type="dxa"/>
          </w:tcPr>
          <w:p w14:paraId="0E68EC68" w14:textId="77777777" w:rsidR="00EF7927" w:rsidRDefault="00EF7927"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 in principle.</w:t>
            </w:r>
          </w:p>
          <w:p w14:paraId="67F661B0" w14:textId="6CD98D9D" w:rsidR="00AA2ADC" w:rsidRPr="00EF7927" w:rsidRDefault="008329C5"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Firstly, we s</w:t>
            </w:r>
            <w:r w:rsidR="00766470" w:rsidRPr="00EF7927">
              <w:rPr>
                <w:rFonts w:eastAsia="Malgun Gothic" w:hint="eastAsia"/>
                <w:iCs/>
                <w:szCs w:val="20"/>
                <w:lang w:eastAsia="ko-KR"/>
              </w:rPr>
              <w:t>hare</w:t>
            </w:r>
            <w:r w:rsidR="00766470" w:rsidRPr="00EF7927">
              <w:rPr>
                <w:rFonts w:eastAsia="Malgun Gothic"/>
                <w:iCs/>
                <w:szCs w:val="20"/>
                <w:lang w:eastAsia="ko-KR"/>
              </w:rPr>
              <w:t xml:space="preserve"> the same views with Apple and Ericsson</w:t>
            </w:r>
            <w:r w:rsidR="00AA2ADC" w:rsidRPr="00EF7927">
              <w:rPr>
                <w:rFonts w:eastAsia="Malgun Gothic"/>
                <w:iCs/>
                <w:szCs w:val="20"/>
                <w:lang w:eastAsia="ko-KR"/>
              </w:rPr>
              <w:t xml:space="preserve"> that </w:t>
            </w:r>
            <w:r w:rsidR="00AA2ADC" w:rsidRPr="00EF7927">
              <w:rPr>
                <w:rFonts w:eastAsia="SimSun"/>
                <w:iCs/>
                <w:szCs w:val="20"/>
              </w:rPr>
              <w:t>the condition “</w:t>
            </w:r>
            <w:r w:rsidR="00AA2ADC" w:rsidRPr="00EF7927">
              <w:rPr>
                <w:rFonts w:eastAsia="SimSun"/>
                <w:iCs/>
                <w:szCs w:val="20"/>
                <w:lang w:val="x-none"/>
              </w:rPr>
              <w:t xml:space="preserve">if the UE is provided </w:t>
            </w:r>
            <w:r w:rsidR="00AA2ADC" w:rsidRPr="00EF7927">
              <w:rPr>
                <w:rFonts w:eastAsia="SimSun"/>
                <w:i/>
                <w:iCs/>
                <w:szCs w:val="20"/>
                <w:lang w:val="x-none"/>
              </w:rPr>
              <w:t>spatialRelationInfo</w:t>
            </w:r>
            <w:r w:rsidR="00AA2ADC" w:rsidRPr="00EF7927">
              <w:rPr>
                <w:rFonts w:eastAsia="SimSun"/>
                <w:iCs/>
                <w:szCs w:val="20"/>
                <w:lang w:val="x-none"/>
              </w:rPr>
              <w:t xml:space="preserve"> for the SRS resource</w:t>
            </w:r>
            <w:r w:rsidR="00AA2ADC" w:rsidRPr="00EF7927">
              <w:rPr>
                <w:rFonts w:eastAsia="SimSun"/>
                <w:iCs/>
                <w:szCs w:val="20"/>
              </w:rPr>
              <w:t>” should be removed</w:t>
            </w:r>
            <w:r w:rsidR="00766470" w:rsidRPr="00EF7927">
              <w:rPr>
                <w:rFonts w:eastAsia="Malgun Gothic"/>
                <w:iCs/>
                <w:szCs w:val="20"/>
                <w:lang w:eastAsia="ko-KR"/>
              </w:rPr>
              <w:t xml:space="preserve">. </w:t>
            </w:r>
          </w:p>
          <w:p w14:paraId="35D49E12" w14:textId="003A11B1" w:rsidR="00766470" w:rsidRPr="00EF7927" w:rsidRDefault="00766470"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Also, the PUSCH path-loss RS should be updated, e.g., “transmits DCI format 0_1 scheduled PUSCH using a power determined as described in Clause 7.1.1 with j=2, q_d =q_new , and l=0,”</w:t>
            </w:r>
          </w:p>
          <w:p w14:paraId="1B77F7DD" w14:textId="25B787B1" w:rsidR="00AA2ADC" w:rsidRPr="00EF7927" w:rsidRDefault="00AA2ADC" w:rsidP="00EF7927">
            <w:pPr>
              <w:pStyle w:val="ListParagraph"/>
              <w:numPr>
                <w:ilvl w:val="0"/>
                <w:numId w:val="43"/>
              </w:numPr>
              <w:spacing w:beforeLines="50" w:before="120" w:after="120"/>
              <w:ind w:leftChars="0"/>
              <w:cnfStyle w:val="000000100000" w:firstRow="0" w:lastRow="0" w:firstColumn="0" w:lastColumn="0" w:oddVBand="0" w:evenVBand="0" w:oddHBand="1" w:evenHBand="0" w:firstRowFirstColumn="0" w:firstRowLastColumn="0" w:lastRowFirstColumn="0" w:lastRowLastColumn="0"/>
              <w:rPr>
                <w:rFonts w:eastAsia="Malgun Gothic"/>
                <w:iCs/>
                <w:szCs w:val="20"/>
                <w:lang w:eastAsia="ko-KR"/>
              </w:rPr>
            </w:pPr>
            <w:r w:rsidRPr="00EF7927">
              <w:rPr>
                <w:rFonts w:eastAsia="Malgun Gothic"/>
                <w:iCs/>
                <w:szCs w:val="20"/>
                <w:lang w:eastAsia="ko-KR"/>
              </w:rPr>
              <w:t>Besides, we wonder how to handle the accumulative value for SRS/PUSCH/PUCCH closed loop before SCell-BFR completion</w:t>
            </w:r>
            <w:r w:rsidR="008329C5" w:rsidRPr="00EF7927">
              <w:rPr>
                <w:rFonts w:eastAsia="Malgun Gothic"/>
                <w:iCs/>
                <w:szCs w:val="20"/>
                <w:lang w:eastAsia="ko-KR"/>
              </w:rPr>
              <w:t>? A big mismatch can be observed</w:t>
            </w:r>
          </w:p>
        </w:tc>
      </w:tr>
      <w:tr w:rsidR="0025491A" w:rsidRPr="00AA2ADC" w14:paraId="031265B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0F111130" w14:textId="73D5392E" w:rsidR="0025491A" w:rsidRDefault="0025491A" w:rsidP="002E2384">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55FF84C9" w14:textId="77777777" w:rsidR="0025491A" w:rsidRDefault="0025491A" w:rsidP="00AA2ADC">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Do not support. </w:t>
            </w:r>
          </w:p>
          <w:p w14:paraId="1CCD17AF" w14:textId="5DB8AB47" w:rsidR="0025491A" w:rsidRDefault="0025491A" w:rsidP="0025491A">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Spatial relation filter for SRS may be DL RS or UL RS. If it is UL RS, there is no immediate comparison between the beam quality for the existing spatial relation info and qnew (if used for UL), and it’s an overkill to mandate NW to overwrite SRS beam. If it is DL RS, likewise there is no immediate comparison between its quality and qnew when used for UL transmission. In our view what beam to use for PUCCH should be left to NW implementation, based on existing specification. As given in “reasons for change”, this is an optimization, not essential to Rel.16.</w:t>
            </w:r>
          </w:p>
        </w:tc>
      </w:tr>
      <w:tr w:rsidR="006A1F10" w:rsidRPr="00AA2ADC" w14:paraId="0D6930D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D27DE0" w14:textId="167AD86E" w:rsidR="006A1F10" w:rsidRDefault="006A1F10" w:rsidP="002E2384">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2733E872" w14:textId="5D4BA2DF" w:rsidR="006A1F10" w:rsidRDefault="006A1F10" w:rsidP="00AA2ADC">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Support. Removing the condition for spatial relation is fine. Agree that PUSCH PC parameters need to be reset as well. To CATT, agree that it is an optimization on top of beam update for PDCCH/PDSCH/PUCCH. My understanding is that optimization can still be discussed in R16, since for many </w:t>
            </w:r>
            <w:r w:rsidR="00416DC8">
              <w:rPr>
                <w:rFonts w:eastAsia="Malgun Gothic"/>
                <w:iCs/>
                <w:sz w:val="20"/>
                <w:szCs w:val="20"/>
                <w:lang w:eastAsia="ko-KR"/>
              </w:rPr>
              <w:t xml:space="preserve">discussed </w:t>
            </w:r>
            <w:bookmarkStart w:id="0" w:name="_GoBack"/>
            <w:bookmarkEnd w:id="0"/>
            <w:r>
              <w:rPr>
                <w:rFonts w:eastAsia="Malgun Gothic"/>
                <w:iCs/>
                <w:sz w:val="20"/>
                <w:szCs w:val="20"/>
                <w:lang w:eastAsia="ko-KR"/>
              </w:rPr>
              <w:t xml:space="preserve">proposals even without them system will not break. The bar is not as high as R15. </w:t>
            </w:r>
          </w:p>
        </w:tc>
      </w:tr>
    </w:tbl>
    <w:p w14:paraId="789BFE51" w14:textId="4695F32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7D411" w14:textId="77777777" w:rsidR="004424B1" w:rsidRDefault="004424B1" w:rsidP="005D5D68">
      <w:r>
        <w:separator/>
      </w:r>
    </w:p>
  </w:endnote>
  <w:endnote w:type="continuationSeparator" w:id="0">
    <w:p w14:paraId="70031462" w14:textId="77777777" w:rsidR="004424B1" w:rsidRDefault="004424B1"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E5F4" w14:textId="77777777" w:rsidR="004424B1" w:rsidRDefault="004424B1" w:rsidP="005D5D68">
      <w:r>
        <w:separator/>
      </w:r>
    </w:p>
  </w:footnote>
  <w:footnote w:type="continuationSeparator" w:id="0">
    <w:p w14:paraId="0798FF44" w14:textId="77777777" w:rsidR="004424B1" w:rsidRDefault="004424B1" w:rsidP="005D5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92762"/>
    <w:multiLevelType w:val="hybridMultilevel"/>
    <w:tmpl w:val="817017EA"/>
    <w:lvl w:ilvl="0" w:tplc="9DB6C1A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7"/>
  </w:num>
  <w:num w:numId="6">
    <w:abstractNumId w:val="38"/>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9"/>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1"/>
  </w:num>
  <w:num w:numId="39">
    <w:abstractNumId w:val="34"/>
  </w:num>
  <w:num w:numId="40">
    <w:abstractNumId w:val="6"/>
  </w:num>
  <w:num w:numId="41">
    <w:abstractNumId w:val="40"/>
  </w:num>
  <w:num w:numId="42">
    <w:abstractNumId w:val="3"/>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8192E"/>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91A"/>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E75B6"/>
    <w:rsid w:val="003F4FF0"/>
    <w:rsid w:val="00416DC8"/>
    <w:rsid w:val="00417FC9"/>
    <w:rsid w:val="00421F46"/>
    <w:rsid w:val="004269D7"/>
    <w:rsid w:val="0043219E"/>
    <w:rsid w:val="004424B1"/>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1F10"/>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66470"/>
    <w:rsid w:val="00770366"/>
    <w:rsid w:val="0078114E"/>
    <w:rsid w:val="00791B84"/>
    <w:rsid w:val="007950D7"/>
    <w:rsid w:val="007A2709"/>
    <w:rsid w:val="007A2A0A"/>
    <w:rsid w:val="007C33F8"/>
    <w:rsid w:val="007E3054"/>
    <w:rsid w:val="007E554B"/>
    <w:rsid w:val="007E6FF6"/>
    <w:rsid w:val="007F128C"/>
    <w:rsid w:val="007F4737"/>
    <w:rsid w:val="00810B2F"/>
    <w:rsid w:val="00820D52"/>
    <w:rsid w:val="008329C5"/>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A7A"/>
    <w:rsid w:val="009F7D20"/>
    <w:rsid w:val="00A005B7"/>
    <w:rsid w:val="00A16C61"/>
    <w:rsid w:val="00A24247"/>
    <w:rsid w:val="00A34A24"/>
    <w:rsid w:val="00A352F0"/>
    <w:rsid w:val="00A41EE3"/>
    <w:rsid w:val="00A76039"/>
    <w:rsid w:val="00A805B9"/>
    <w:rsid w:val="00A80DF8"/>
    <w:rsid w:val="00A85170"/>
    <w:rsid w:val="00A86777"/>
    <w:rsid w:val="00A912B4"/>
    <w:rsid w:val="00A93DEE"/>
    <w:rsid w:val="00A95A78"/>
    <w:rsid w:val="00AA2ADC"/>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68F"/>
    <w:rsid w:val="00BF6DEF"/>
    <w:rsid w:val="00C128FB"/>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1630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EF7927"/>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036CC7FD-6C9C-49D1-97E8-58DB68B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Yan Zhou</cp:lastModifiedBy>
  <cp:revision>3</cp:revision>
  <dcterms:created xsi:type="dcterms:W3CDTF">2020-05-25T18:57:00Z</dcterms:created>
  <dcterms:modified xsi:type="dcterms:W3CDTF">2020-05-25T23:04:00Z</dcterms:modified>
</cp:coreProperties>
</file>