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1"/>
      </w:pPr>
      <w:r>
        <w:t xml:space="preserve">Details </w:t>
      </w:r>
      <w:r w:rsidR="00417799">
        <w:t>for TPs</w:t>
      </w:r>
    </w:p>
    <w:p w14:paraId="079F4811" w14:textId="5190B4E1" w:rsidR="00186AA2" w:rsidRPr="003F4FF0" w:rsidRDefault="00186AA2" w:rsidP="003F4FF0">
      <w:pPr>
        <w:pStyle w:val="2"/>
      </w:pPr>
      <w:r>
        <w:t xml:space="preserve">Editorial Corrections </w:t>
      </w:r>
    </w:p>
    <w:p w14:paraId="14AB46FC" w14:textId="52B93CE7" w:rsidR="00186AA2" w:rsidRDefault="003F4FF0" w:rsidP="00186AA2">
      <w:pPr>
        <w:pStyle w:val="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宋体"/>
          <w:b/>
          <w:sz w:val="20"/>
          <w:szCs w:val="20"/>
          <w:u w:val="single"/>
        </w:rPr>
      </w:pPr>
    </w:p>
    <w:p w14:paraId="17478AB9" w14:textId="342B894F" w:rsidR="003F4FF0" w:rsidRPr="003F4FF0" w:rsidRDefault="005B1982" w:rsidP="003F4FF0">
      <w:pPr>
        <w:spacing w:beforeLines="50" w:before="120" w:after="120"/>
        <w:rPr>
          <w:rFonts w:eastAsia="宋体"/>
          <w:i/>
          <w:sz w:val="20"/>
          <w:szCs w:val="20"/>
        </w:rPr>
      </w:pPr>
      <w:r>
        <w:rPr>
          <w:rFonts w:eastAsia="宋体"/>
          <w:b/>
          <w:i/>
          <w:sz w:val="20"/>
          <w:szCs w:val="20"/>
        </w:rPr>
        <w:t>TP</w:t>
      </w:r>
      <w:r w:rsidR="00186AA2" w:rsidRPr="00810B2F">
        <w:rPr>
          <w:rFonts w:eastAsia="宋体"/>
          <w:b/>
          <w:i/>
          <w:sz w:val="20"/>
          <w:szCs w:val="20"/>
        </w:rPr>
        <w:t xml:space="preserve"> </w:t>
      </w:r>
      <w:r w:rsidR="00706D43">
        <w:rPr>
          <w:rFonts w:eastAsia="宋体"/>
          <w:b/>
          <w:i/>
          <w:sz w:val="20"/>
          <w:szCs w:val="20"/>
        </w:rPr>
        <w:t>2</w:t>
      </w:r>
      <w:r w:rsidR="00186AA2" w:rsidRPr="00810B2F">
        <w:rPr>
          <w:rFonts w:eastAsia="宋体"/>
          <w:b/>
          <w:i/>
          <w:sz w:val="20"/>
          <w:szCs w:val="20"/>
        </w:rPr>
        <w:t>.1</w:t>
      </w:r>
      <w:r w:rsidR="00186AA2">
        <w:rPr>
          <w:rFonts w:eastAsia="宋体"/>
          <w:b/>
          <w:i/>
          <w:sz w:val="20"/>
          <w:szCs w:val="20"/>
        </w:rPr>
        <w:t>.</w:t>
      </w:r>
      <w:r w:rsidR="003F4FF0">
        <w:rPr>
          <w:rFonts w:eastAsia="宋体"/>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af1"/>
              <w:snapToGrid w:val="0"/>
              <w:spacing w:beforeLines="50" w:before="120"/>
              <w:rPr>
                <w:rFonts w:eastAsia="宋体"/>
                <w:b/>
                <w:sz w:val="20"/>
                <w:szCs w:val="20"/>
              </w:rPr>
            </w:pPr>
            <w:r w:rsidRPr="008A18B0">
              <w:rPr>
                <w:rFonts w:eastAsia="宋体" w:hint="eastAsia"/>
                <w:b/>
                <w:sz w:val="20"/>
                <w:szCs w:val="20"/>
              </w:rPr>
              <w:t>TS 38.214</w:t>
            </w:r>
          </w:p>
          <w:p w14:paraId="078C9A02" w14:textId="77777777" w:rsidR="003F4FF0" w:rsidRPr="008A18B0" w:rsidRDefault="003F4FF0" w:rsidP="003F4FF0">
            <w:pPr>
              <w:pStyle w:val="2"/>
              <w:numPr>
                <w:ilvl w:val="0"/>
                <w:numId w:val="0"/>
              </w:numPr>
              <w:ind w:left="576" w:hanging="576"/>
              <w:jc w:val="both"/>
              <w:rPr>
                <w:rFonts w:eastAsia="宋体"/>
                <w:sz w:val="20"/>
                <w:szCs w:val="20"/>
              </w:rPr>
            </w:pPr>
            <w:r w:rsidRPr="008A18B0">
              <w:rPr>
                <w:rFonts w:eastAsia="宋体"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宋体"/>
                <w:color w:val="FF0000"/>
                <w:sz w:val="20"/>
                <w:szCs w:val="20"/>
              </w:rPr>
            </w:pPr>
            <w:r w:rsidRPr="008A18B0">
              <w:rPr>
                <w:rFonts w:eastAsia="宋体"/>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CSI-ReportConfig</w:t>
            </w:r>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 xml:space="preserve">set to 'cri-SINR' or 'ssb-Index-SINR',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r w:rsidRPr="008A18B0">
              <w:rPr>
                <w:i/>
              </w:rPr>
              <w:t xml:space="preserve">groupBasedBeamReporting </w:t>
            </w:r>
            <w:r w:rsidRPr="008A18B0">
              <w:t xml:space="preserve">set to 'disabled', </w:t>
            </w:r>
            <w:r w:rsidRPr="008A18B0">
              <w:rPr>
                <w:iCs/>
                <w:color w:val="000000"/>
              </w:rPr>
              <w:t>the UE shall report in a single report</w:t>
            </w:r>
            <w:r w:rsidRPr="008A18B0">
              <w:t xml:space="preserve"> </w:t>
            </w:r>
            <w:r w:rsidRPr="008A18B0">
              <w:rPr>
                <w:i/>
                <w:iCs/>
                <w:color w:val="000000"/>
              </w:rPr>
              <w:t>nrofReportedRSForSINR</w:t>
            </w:r>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宋体"/>
                <w:color w:val="000000"/>
                <w:lang w:eastAsia="zh-CN"/>
              </w:rPr>
            </w:pPr>
            <w:r w:rsidRPr="008A18B0">
              <w:t>-</w:t>
            </w:r>
            <w:r w:rsidRPr="008A18B0">
              <w:tab/>
              <w:t xml:space="preserve">if the UE is configured with the higher layer parameter </w:t>
            </w:r>
            <w:r w:rsidRPr="008A18B0">
              <w:rPr>
                <w:i/>
              </w:rPr>
              <w:t xml:space="preserve">groupBasedBeamReporting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af1"/>
              <w:jc w:val="center"/>
              <w:rPr>
                <w:rFonts w:eastAsia="宋体"/>
              </w:rPr>
            </w:pPr>
            <w:r w:rsidRPr="008A18B0">
              <w:rPr>
                <w:rFonts w:eastAsia="宋体"/>
                <w:color w:val="FF0000"/>
                <w:sz w:val="20"/>
                <w:szCs w:val="20"/>
              </w:rPr>
              <w:t>&lt; Unchanged parts are omitted &gt;</w:t>
            </w:r>
          </w:p>
        </w:tc>
      </w:tr>
    </w:tbl>
    <w:p w14:paraId="7E425AA8" w14:textId="753F0F5F" w:rsidR="007A2A0A" w:rsidRDefault="007A2A0A" w:rsidP="00186AA2">
      <w:pPr>
        <w:spacing w:beforeLines="50" w:before="120" w:after="120"/>
        <w:rPr>
          <w:rFonts w:eastAsia="宋体"/>
          <w:i/>
          <w:sz w:val="20"/>
          <w:szCs w:val="20"/>
        </w:rPr>
      </w:pPr>
    </w:p>
    <w:p w14:paraId="0F3D9FD5" w14:textId="0D5EE5C4" w:rsidR="00254DD3" w:rsidRPr="00254DD3" w:rsidRDefault="00254DD3" w:rsidP="00186AA2">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宋体"/>
                <w:iCs/>
                <w:sz w:val="20"/>
                <w:szCs w:val="20"/>
              </w:rPr>
            </w:pPr>
            <w:r w:rsidRPr="00254DD3">
              <w:rPr>
                <w:rFonts w:eastAsia="宋体"/>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宋体"/>
                <w:iCs/>
                <w:sz w:val="20"/>
                <w:szCs w:val="20"/>
              </w:rPr>
            </w:pPr>
            <w:r>
              <w:rPr>
                <w:rFonts w:eastAsia="宋体"/>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宋体"/>
                <w:iCs/>
                <w:sz w:val="20"/>
                <w:szCs w:val="20"/>
              </w:rPr>
            </w:pPr>
            <w:r>
              <w:rPr>
                <w:rFonts w:eastAsia="宋体"/>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宋体"/>
                <w:iCs/>
                <w:sz w:val="20"/>
                <w:szCs w:val="20"/>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Malgun Gothic" w:hint="eastAsia"/>
                <w:iCs/>
                <w:sz w:val="20"/>
                <w:szCs w:val="20"/>
                <w:lang w:eastAsia="ko-KR"/>
              </w:rPr>
              <w:t>S</w:t>
            </w:r>
            <w:r>
              <w:rPr>
                <w:rFonts w:eastAsia="Malgun Gothic"/>
                <w:iCs/>
                <w:sz w:val="20"/>
                <w:szCs w:val="20"/>
                <w:lang w:eastAsia="ko-KR"/>
              </w:rPr>
              <w:t xml:space="preserve">upport. The TP exactly follows Rel-15 definition of group based reporting where L1-RSRP is replaced by L1-SINR. And it is essential </w:t>
            </w:r>
            <w:r>
              <w:rPr>
                <w:rFonts w:eastAsia="Malgun Gothic" w:hint="eastAsia"/>
                <w:iCs/>
                <w:sz w:val="20"/>
                <w:szCs w:val="20"/>
                <w:lang w:eastAsia="ko-KR"/>
              </w:rPr>
              <w:t>f</w:t>
            </w:r>
            <w:r>
              <w:rPr>
                <w:rFonts w:eastAsia="Malgun Gothic"/>
                <w:iCs/>
                <w:sz w:val="20"/>
                <w:szCs w:val="20"/>
                <w:lang w:eastAsia="ko-KR"/>
              </w:rPr>
              <w:t>or gNB to understand how UE measured CRI or SSBRI</w:t>
            </w:r>
          </w:p>
        </w:tc>
      </w:tr>
      <w:tr w:rsidR="007F022F" w14:paraId="6E0EA35A"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064E25F" w14:textId="3561E371" w:rsidR="007F022F" w:rsidRDefault="007F022F" w:rsidP="00341C20">
            <w:pPr>
              <w:spacing w:beforeLines="50" w:before="120" w:after="120"/>
              <w:rPr>
                <w:rFonts w:eastAsia="Malgun Gothic"/>
                <w:iCs/>
                <w:sz w:val="20"/>
                <w:szCs w:val="20"/>
                <w:lang w:eastAsia="ko-KR"/>
              </w:rPr>
            </w:pPr>
            <w:r>
              <w:rPr>
                <w:rFonts w:eastAsia="Malgun Gothic"/>
                <w:iCs/>
                <w:sz w:val="20"/>
                <w:szCs w:val="20"/>
                <w:lang w:eastAsia="ko-KR"/>
              </w:rPr>
              <w:t>Apple</w:t>
            </w:r>
          </w:p>
        </w:tc>
        <w:tc>
          <w:tcPr>
            <w:tcW w:w="6038" w:type="dxa"/>
          </w:tcPr>
          <w:p w14:paraId="094D1AED" w14:textId="075F4284" w:rsidR="007F022F" w:rsidRDefault="007F022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5A31AB" w14:paraId="4F46DFBE"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B168B0" w14:textId="6D026B24" w:rsidR="005A31AB" w:rsidRDefault="005A31AB" w:rsidP="00341C20">
            <w:pPr>
              <w:spacing w:beforeLines="50" w:before="120" w:after="120"/>
              <w:rPr>
                <w:rFonts w:eastAsia="Malgun Gothic"/>
                <w:iCs/>
                <w:sz w:val="20"/>
                <w:szCs w:val="20"/>
                <w:lang w:eastAsia="ko-KR"/>
              </w:rPr>
            </w:pPr>
            <w:r>
              <w:rPr>
                <w:rFonts w:eastAsia="Malgun Gothic"/>
                <w:iCs/>
                <w:sz w:val="20"/>
                <w:szCs w:val="20"/>
                <w:lang w:eastAsia="ko-KR"/>
              </w:rPr>
              <w:t>MediaTek</w:t>
            </w:r>
          </w:p>
        </w:tc>
        <w:tc>
          <w:tcPr>
            <w:tcW w:w="6038" w:type="dxa"/>
          </w:tcPr>
          <w:p w14:paraId="2309EFF2" w14:textId="10D52C3B" w:rsidR="005A31AB" w:rsidRDefault="005A31AB"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D90EA7" w14:paraId="1CA9B9E9"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16A5550" w14:textId="5D4781BA" w:rsidR="00D90EA7" w:rsidRDefault="00D90EA7" w:rsidP="00341C20">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1B48AF70"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Technically speaking we believe the wording of “simultaneously received” is vague and does not rise to of standard of 3GPP specification language. It is more of a philosophical wish, without a clear definition. In our view a radio signal arriving at a branch is “receivable” however weak the signal is. Even without group-based reporting turned ON, the Rx filter can be considered capable of “receiving” both beams. </w:t>
            </w:r>
          </w:p>
          <w:p w14:paraId="4E7F209F"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Just to be clear, we understand the intention of the proposal, just so that it’s poorly formulated. The same view applies to the Rel.15 language. </w:t>
            </w:r>
          </w:p>
          <w:p w14:paraId="1757C192" w14:textId="77777777" w:rsidR="00D90EA7" w:rsidRDefault="00D90EA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p>
        </w:tc>
      </w:tr>
      <w:tr w:rsidR="00DF18DF" w14:paraId="1C1F4999"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C35757" w14:textId="4CFA0F3E" w:rsidR="00DF18DF" w:rsidRDefault="00DF18DF" w:rsidP="00341C20">
            <w:pPr>
              <w:spacing w:beforeLines="50" w:before="120" w:after="120"/>
              <w:rPr>
                <w:rFonts w:eastAsia="Malgun Gothic"/>
                <w:iCs/>
                <w:sz w:val="20"/>
                <w:szCs w:val="20"/>
                <w:lang w:eastAsia="ko-KR"/>
              </w:rPr>
            </w:pPr>
            <w:r>
              <w:rPr>
                <w:rFonts w:eastAsia="Malgun Gothic"/>
                <w:iCs/>
                <w:sz w:val="20"/>
                <w:szCs w:val="20"/>
                <w:lang w:eastAsia="ko-KR"/>
              </w:rPr>
              <w:t>Intel</w:t>
            </w:r>
          </w:p>
        </w:tc>
        <w:tc>
          <w:tcPr>
            <w:tcW w:w="6038" w:type="dxa"/>
          </w:tcPr>
          <w:p w14:paraId="63FA8077" w14:textId="7A98D46F" w:rsidR="00DF18DF" w:rsidRDefault="00DF18DF"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F16CB7" w14:paraId="393938F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5EE2922" w14:textId="167A5E3C" w:rsidR="00F16CB7" w:rsidRDefault="00F16CB7" w:rsidP="00341C20">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6CACB8C4" w14:textId="0D44FCA6" w:rsidR="00F16CB7" w:rsidRDefault="00F16CB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A9407B" w14:paraId="485E3FE7"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25BAEAB" w14:textId="10D1FFB3" w:rsidR="00A9407B" w:rsidRDefault="00A9407B" w:rsidP="00341C20">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248A7E8" w14:textId="54DA732A" w:rsidR="00A9407B" w:rsidRDefault="00A9407B"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87036B" w:rsidRPr="00A10E86" w14:paraId="3E330366"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7B5B3C98" w14:textId="77777777" w:rsidR="0087036B" w:rsidRPr="00A10E86" w:rsidRDefault="0087036B" w:rsidP="00FC5086">
            <w:pPr>
              <w:spacing w:beforeLines="50" w:before="120" w:after="120"/>
              <w:rPr>
                <w:rFonts w:eastAsiaTheme="minorEastAsia" w:hint="eastAsia"/>
                <w:iCs/>
                <w:sz w:val="20"/>
                <w:szCs w:val="20"/>
              </w:rPr>
            </w:pPr>
            <w:r>
              <w:rPr>
                <w:rFonts w:eastAsiaTheme="minorEastAsia" w:hint="eastAsia"/>
                <w:iCs/>
                <w:sz w:val="20"/>
                <w:szCs w:val="20"/>
              </w:rPr>
              <w:t>CMCC</w:t>
            </w:r>
          </w:p>
        </w:tc>
        <w:tc>
          <w:tcPr>
            <w:tcW w:w="6038" w:type="dxa"/>
          </w:tcPr>
          <w:p w14:paraId="76308389"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hint="eastAsia"/>
                <w:iCs/>
                <w:sz w:val="20"/>
                <w:szCs w:val="20"/>
              </w:rPr>
            </w:pPr>
            <w:r>
              <w:rPr>
                <w:rFonts w:eastAsiaTheme="minorEastAsia" w:hint="eastAsia"/>
                <w:iCs/>
                <w:sz w:val="20"/>
                <w:szCs w:val="20"/>
              </w:rPr>
              <w:t>Support</w:t>
            </w:r>
          </w:p>
        </w:tc>
      </w:tr>
    </w:tbl>
    <w:p w14:paraId="0CA147BA" w14:textId="77777777" w:rsidR="00254DD3" w:rsidRDefault="00254DD3" w:rsidP="00186AA2">
      <w:pPr>
        <w:spacing w:beforeLines="50" w:before="120" w:after="120"/>
        <w:rPr>
          <w:rFonts w:eastAsia="宋体"/>
          <w:i/>
          <w:sz w:val="20"/>
          <w:szCs w:val="20"/>
        </w:rPr>
      </w:pPr>
    </w:p>
    <w:p w14:paraId="0EE459DF" w14:textId="4B36A59B" w:rsidR="008A18B0" w:rsidRDefault="008A18B0" w:rsidP="008A18B0">
      <w:pPr>
        <w:pStyle w:val="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a3"/>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宋体"/>
          <w:b/>
          <w:i/>
          <w:sz w:val="20"/>
          <w:szCs w:val="20"/>
        </w:rPr>
      </w:pPr>
      <w:r w:rsidRPr="005B1982">
        <w:rPr>
          <w:rFonts w:eastAsia="宋体"/>
          <w:b/>
          <w:i/>
          <w:sz w:val="20"/>
          <w:szCs w:val="20"/>
        </w:rPr>
        <w:t xml:space="preserve">TP </w:t>
      </w:r>
      <w:r w:rsidR="00706D43">
        <w:rPr>
          <w:rFonts w:eastAsia="宋体"/>
          <w:b/>
          <w:i/>
          <w:sz w:val="20"/>
          <w:szCs w:val="20"/>
        </w:rPr>
        <w:t>2</w:t>
      </w:r>
      <w:r w:rsidRPr="005B1982">
        <w:rPr>
          <w:rFonts w:eastAsia="宋体"/>
          <w:b/>
          <w:i/>
          <w:sz w:val="20"/>
          <w:szCs w:val="20"/>
        </w:rPr>
        <w:t>.1.2 for 38.214</w:t>
      </w:r>
    </w:p>
    <w:tbl>
      <w:tblPr>
        <w:tblStyle w:val="a3"/>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r w:rsidRPr="008A18B0">
              <w:rPr>
                <w:i/>
                <w:sz w:val="20"/>
                <w:szCs w:val="20"/>
                <w:lang w:val="x-none"/>
              </w:rPr>
              <w:t>resourcesForChannelMeasurement</w:t>
            </w:r>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r w:rsidRPr="008A18B0">
              <w:rPr>
                <w:rFonts w:eastAsiaTheme="minorHAnsi"/>
                <w:i/>
                <w:iCs/>
                <w:lang w:val="en-US"/>
              </w:rPr>
              <w:t>resourcesForChannelMeasurement</w:t>
            </w:r>
            <w:r w:rsidRPr="008A18B0">
              <w:rPr>
                <w:rFonts w:eastAsiaTheme="minorHAnsi"/>
                <w:lang w:val="en-US"/>
              </w:rPr>
              <w:t xml:space="preserve">) is for channel measurement on SSB or NZP CSI-RS and the second one (given by either higher layer parameter </w:t>
            </w:r>
            <w:r w:rsidRPr="008A18B0">
              <w:rPr>
                <w:rFonts w:eastAsiaTheme="minorHAnsi"/>
                <w:i/>
                <w:iCs/>
                <w:lang w:val="en-US"/>
              </w:rPr>
              <w:t xml:space="preserve">csi-IM-ResourcesForInterference </w:t>
            </w:r>
            <w:r w:rsidRPr="008A18B0">
              <w:rPr>
                <w:rFonts w:eastAsiaTheme="minorHAnsi"/>
                <w:lang w:val="en-US"/>
              </w:rPr>
              <w:t xml:space="preserve">or higher layer parameter </w:t>
            </w:r>
            <w:r w:rsidRPr="008A18B0">
              <w:rPr>
                <w:rFonts w:eastAsiaTheme="minorHAnsi"/>
                <w:i/>
                <w:iCs/>
                <w:lang w:val="en-US"/>
              </w:rPr>
              <w:t>nzp-CSI-RS-ResourcesForInterference</w:t>
            </w:r>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宋体"/>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宋体"/>
          <w:i/>
          <w:sz w:val="20"/>
          <w:szCs w:val="20"/>
        </w:rPr>
      </w:pPr>
    </w:p>
    <w:p w14:paraId="242E504A"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宋体"/>
                <w:iCs/>
                <w:sz w:val="20"/>
                <w:szCs w:val="20"/>
                <w:lang w:val="sv-SE"/>
              </w:rPr>
            </w:pPr>
            <w:r>
              <w:rPr>
                <w:rFonts w:eastAsia="宋体"/>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7B5F2D" w14:paraId="30F6F32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4CFA871" w14:textId="0CDAF676" w:rsidR="007B5F2D" w:rsidRDefault="007B5F2D" w:rsidP="002E2384">
            <w:pPr>
              <w:spacing w:beforeLines="50" w:before="120" w:after="120"/>
              <w:rPr>
                <w:rFonts w:eastAsia="宋体"/>
                <w:iCs/>
                <w:sz w:val="20"/>
                <w:szCs w:val="20"/>
                <w:lang w:val="sv-SE"/>
              </w:rPr>
            </w:pPr>
            <w:r>
              <w:rPr>
                <w:rFonts w:eastAsia="宋体"/>
                <w:iCs/>
                <w:sz w:val="20"/>
                <w:szCs w:val="20"/>
                <w:lang w:val="sv-SE"/>
              </w:rPr>
              <w:t>Apple</w:t>
            </w:r>
          </w:p>
        </w:tc>
        <w:tc>
          <w:tcPr>
            <w:tcW w:w="6038" w:type="dxa"/>
          </w:tcPr>
          <w:p w14:paraId="0D7DDF94" w14:textId="472DD7CC" w:rsidR="007B5F2D" w:rsidRDefault="007B5F2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5A31AB" w14:paraId="06E8D56F"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E413B4" w14:textId="2D50C783" w:rsidR="005A31AB" w:rsidRDefault="005A31AB" w:rsidP="002E2384">
            <w:pPr>
              <w:spacing w:beforeLines="50" w:before="120" w:after="120"/>
              <w:rPr>
                <w:rFonts w:eastAsia="宋体"/>
                <w:iCs/>
                <w:sz w:val="20"/>
                <w:szCs w:val="20"/>
                <w:lang w:val="sv-SE"/>
              </w:rPr>
            </w:pPr>
            <w:r>
              <w:rPr>
                <w:rFonts w:eastAsia="宋体"/>
                <w:iCs/>
                <w:sz w:val="20"/>
                <w:szCs w:val="20"/>
                <w:lang w:val="sv-SE"/>
              </w:rPr>
              <w:t>MediaTek</w:t>
            </w:r>
          </w:p>
        </w:tc>
        <w:tc>
          <w:tcPr>
            <w:tcW w:w="6038" w:type="dxa"/>
          </w:tcPr>
          <w:p w14:paraId="50D49870" w14:textId="0F02AB4F" w:rsidR="005A31AB" w:rsidRDefault="005A31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D90EA7" w14:paraId="35BEBC1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456AB" w14:textId="71428755" w:rsidR="00D90EA7" w:rsidRDefault="00D90EA7" w:rsidP="002E2384">
            <w:pPr>
              <w:spacing w:beforeLines="50" w:before="120" w:after="120"/>
              <w:rPr>
                <w:rFonts w:eastAsia="宋体"/>
                <w:iCs/>
                <w:sz w:val="20"/>
                <w:szCs w:val="20"/>
                <w:lang w:val="sv-SE"/>
              </w:rPr>
            </w:pPr>
            <w:r>
              <w:rPr>
                <w:rFonts w:eastAsia="宋体"/>
                <w:iCs/>
                <w:sz w:val="20"/>
                <w:szCs w:val="20"/>
                <w:lang w:val="sv-SE"/>
              </w:rPr>
              <w:t>CATT</w:t>
            </w:r>
          </w:p>
        </w:tc>
        <w:tc>
          <w:tcPr>
            <w:tcW w:w="6038" w:type="dxa"/>
          </w:tcPr>
          <w:p w14:paraId="47CD9AF6" w14:textId="204EC4F0" w:rsidR="00D90EA7" w:rsidRDefault="00D90EA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DF18DF" w14:paraId="1C503A1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A4555F" w14:textId="53D13379" w:rsidR="00DF18DF" w:rsidRDefault="00DF18DF" w:rsidP="002E2384">
            <w:pPr>
              <w:spacing w:beforeLines="50" w:before="120" w:after="120"/>
              <w:rPr>
                <w:rFonts w:eastAsia="宋体"/>
                <w:iCs/>
                <w:sz w:val="20"/>
                <w:szCs w:val="20"/>
                <w:lang w:val="sv-SE"/>
              </w:rPr>
            </w:pPr>
            <w:r>
              <w:rPr>
                <w:rFonts w:eastAsia="宋体"/>
                <w:iCs/>
                <w:sz w:val="20"/>
                <w:szCs w:val="20"/>
                <w:lang w:val="sv-SE"/>
              </w:rPr>
              <w:t>Intel</w:t>
            </w:r>
          </w:p>
        </w:tc>
        <w:tc>
          <w:tcPr>
            <w:tcW w:w="6038" w:type="dxa"/>
          </w:tcPr>
          <w:p w14:paraId="7A6C0030" w14:textId="617C10E7" w:rsidR="00DF18DF" w:rsidRDefault="00DF18D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OK</w:t>
            </w:r>
          </w:p>
        </w:tc>
      </w:tr>
      <w:tr w:rsidR="00CB452C" w14:paraId="466E04C4"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3E237E0" w14:textId="395FCB51" w:rsidR="00CB452C" w:rsidRDefault="00CB452C" w:rsidP="002E2384">
            <w:pPr>
              <w:spacing w:beforeLines="50" w:before="120" w:after="120"/>
              <w:rPr>
                <w:rFonts w:eastAsia="宋体"/>
                <w:iCs/>
                <w:sz w:val="20"/>
                <w:szCs w:val="20"/>
                <w:lang w:val="sv-SE"/>
              </w:rPr>
            </w:pPr>
            <w:r>
              <w:rPr>
                <w:rFonts w:eastAsia="宋体"/>
                <w:iCs/>
                <w:sz w:val="20"/>
                <w:szCs w:val="20"/>
                <w:lang w:val="sv-SE"/>
              </w:rPr>
              <w:t>Qualcomm</w:t>
            </w:r>
          </w:p>
        </w:tc>
        <w:tc>
          <w:tcPr>
            <w:tcW w:w="6038" w:type="dxa"/>
          </w:tcPr>
          <w:p w14:paraId="28866218" w14:textId="049A8B96" w:rsidR="00CB452C" w:rsidRDefault="00CB452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A9407B" w14:paraId="6E1F9CC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FF2753E" w14:textId="24CCEB89" w:rsidR="00A9407B" w:rsidRDefault="00A9407B" w:rsidP="002E2384">
            <w:pPr>
              <w:spacing w:beforeLines="50" w:before="120" w:after="120"/>
              <w:rPr>
                <w:rFonts w:eastAsia="宋体"/>
                <w:iCs/>
                <w:sz w:val="20"/>
                <w:szCs w:val="20"/>
                <w:lang w:val="sv-SE"/>
              </w:rPr>
            </w:pPr>
            <w:r>
              <w:rPr>
                <w:rFonts w:eastAsia="宋体"/>
                <w:iCs/>
                <w:sz w:val="20"/>
                <w:szCs w:val="20"/>
                <w:lang w:val="sv-SE"/>
              </w:rPr>
              <w:t>OPPO</w:t>
            </w:r>
          </w:p>
        </w:tc>
        <w:tc>
          <w:tcPr>
            <w:tcW w:w="6038" w:type="dxa"/>
          </w:tcPr>
          <w:p w14:paraId="4388B1F3" w14:textId="6D4D5B02" w:rsidR="00A9407B" w:rsidRDefault="00A9407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Ok</w:t>
            </w:r>
          </w:p>
        </w:tc>
      </w:tr>
      <w:tr w:rsidR="0087036B" w:rsidRPr="00A10E86" w14:paraId="612D7DBC"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461637CC" w14:textId="77777777" w:rsidR="0087036B" w:rsidRPr="00A10E86" w:rsidRDefault="0087036B" w:rsidP="00FC5086">
            <w:pPr>
              <w:spacing w:beforeLines="50" w:before="120" w:after="120"/>
              <w:rPr>
                <w:rFonts w:eastAsiaTheme="minorEastAsia" w:hint="eastAsia"/>
                <w:iCs/>
                <w:sz w:val="20"/>
                <w:szCs w:val="20"/>
              </w:rPr>
            </w:pPr>
            <w:r>
              <w:rPr>
                <w:rFonts w:eastAsiaTheme="minorEastAsia" w:hint="eastAsia"/>
                <w:iCs/>
                <w:sz w:val="20"/>
                <w:szCs w:val="20"/>
              </w:rPr>
              <w:t>CMCC</w:t>
            </w:r>
          </w:p>
        </w:tc>
        <w:tc>
          <w:tcPr>
            <w:tcW w:w="6038" w:type="dxa"/>
          </w:tcPr>
          <w:p w14:paraId="5D675B7C"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hint="eastAsia"/>
                <w:iCs/>
                <w:sz w:val="20"/>
                <w:szCs w:val="20"/>
              </w:rPr>
            </w:pPr>
            <w:r>
              <w:rPr>
                <w:rFonts w:eastAsiaTheme="minorEastAsia" w:hint="eastAsia"/>
                <w:iCs/>
                <w:sz w:val="20"/>
                <w:szCs w:val="20"/>
              </w:rPr>
              <w:t>Support</w:t>
            </w:r>
          </w:p>
        </w:tc>
      </w:tr>
    </w:tbl>
    <w:p w14:paraId="535CA4E2" w14:textId="77777777" w:rsidR="00254DD3" w:rsidRPr="008A18B0" w:rsidRDefault="00254DD3" w:rsidP="00186AA2">
      <w:pPr>
        <w:spacing w:beforeLines="50" w:before="120" w:after="120"/>
        <w:rPr>
          <w:rFonts w:eastAsia="宋体"/>
          <w:i/>
          <w:sz w:val="20"/>
          <w:szCs w:val="20"/>
        </w:rPr>
      </w:pPr>
    </w:p>
    <w:p w14:paraId="36C00A4C" w14:textId="4F5503FD" w:rsidR="005B1982" w:rsidRDefault="00872A8E" w:rsidP="00872A8E">
      <w:pPr>
        <w:pStyle w:val="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lastRenderedPageBreak/>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宋体"/>
          <w:i/>
          <w:sz w:val="20"/>
          <w:szCs w:val="20"/>
        </w:rPr>
      </w:pPr>
    </w:p>
    <w:p w14:paraId="5F5503E5" w14:textId="5F87F344" w:rsidR="00872A8E" w:rsidRPr="00872A8E" w:rsidRDefault="00872A8E" w:rsidP="00872A8E">
      <w:pPr>
        <w:spacing w:beforeLines="50" w:before="120" w:after="120"/>
        <w:rPr>
          <w:rFonts w:eastAsia="宋体"/>
          <w:b/>
          <w:i/>
          <w:sz w:val="20"/>
          <w:szCs w:val="20"/>
        </w:rPr>
      </w:pPr>
      <w:r w:rsidRPr="005B1982">
        <w:rPr>
          <w:rFonts w:eastAsia="宋体"/>
          <w:b/>
          <w:i/>
          <w:sz w:val="20"/>
          <w:szCs w:val="20"/>
        </w:rPr>
        <w:t xml:space="preserve">TP </w:t>
      </w:r>
      <w:r w:rsidR="00706D43">
        <w:rPr>
          <w:rFonts w:eastAsia="宋体"/>
          <w:b/>
          <w:i/>
          <w:sz w:val="20"/>
          <w:szCs w:val="20"/>
        </w:rPr>
        <w:t>2</w:t>
      </w:r>
      <w:r w:rsidRPr="005B1982">
        <w:rPr>
          <w:rFonts w:eastAsia="宋体"/>
          <w:b/>
          <w:i/>
          <w:sz w:val="20"/>
          <w:szCs w:val="20"/>
        </w:rPr>
        <w:t>.1.</w:t>
      </w:r>
      <w:r w:rsidR="00706D43">
        <w:rPr>
          <w:rFonts w:eastAsia="宋体"/>
          <w:b/>
          <w:i/>
          <w:sz w:val="20"/>
          <w:szCs w:val="20"/>
        </w:rPr>
        <w:t>3</w:t>
      </w:r>
      <w:r w:rsidRPr="005B1982">
        <w:rPr>
          <w:rFonts w:eastAsia="宋体"/>
          <w:b/>
          <w:i/>
          <w:sz w:val="20"/>
          <w:szCs w:val="20"/>
        </w:rPr>
        <w:t xml:space="preserve"> for 38.21</w:t>
      </w:r>
      <w:r>
        <w:rPr>
          <w:rFonts w:eastAsia="宋体"/>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When the higher layer parameter reportQuantity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 xml:space="preserve">'ssb-Index-RSRP’, </w:t>
            </w:r>
            <w:r w:rsidRPr="00872A8E">
              <w:rPr>
                <w:rFonts w:eastAsia="+mn-ea"/>
                <w:color w:val="FF0000"/>
                <w:kern w:val="24"/>
                <w:sz w:val="20"/>
                <w:szCs w:val="20"/>
              </w:rPr>
              <w:t xml:space="preserve">‘cri-SINR’, or ‘ssb-Index-SINR’,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宋体"/>
          <w:i/>
          <w:sz w:val="20"/>
          <w:szCs w:val="20"/>
        </w:rPr>
      </w:pPr>
    </w:p>
    <w:p w14:paraId="2E38F4B7"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宋体"/>
                <w:iCs/>
                <w:sz w:val="20"/>
                <w:szCs w:val="20"/>
                <w:lang w:val="sv-SE"/>
              </w:rPr>
            </w:pPr>
            <w:r>
              <w:rPr>
                <w:rFonts w:eastAsia="宋体"/>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hint="eastAsia"/>
                <w:iCs/>
                <w:sz w:val="20"/>
                <w:szCs w:val="20"/>
                <w:lang w:val="sv-SE"/>
              </w:rPr>
              <w:t>S</w:t>
            </w:r>
            <w:r>
              <w:rPr>
                <w:rFonts w:eastAsia="宋体"/>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DD6D06" w14:paraId="0EDEA23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E1AAEE" w14:textId="0E02011C" w:rsidR="00DD6D06" w:rsidRDefault="00DD6D06" w:rsidP="002E2384">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2C673811" w14:textId="7DF13C93" w:rsidR="00DD6D06" w:rsidRDefault="00DD6D0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5A31AB" w14:paraId="27191E7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701A26C" w14:textId="09B2CB52" w:rsidR="005A31AB" w:rsidRDefault="005A31AB" w:rsidP="002E2384">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74C0E4DE" w14:textId="2B2EC795" w:rsidR="005A31AB" w:rsidRDefault="005A31A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90EA7" w14:paraId="5FD971B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DB3CD2" w14:textId="33ED178F" w:rsidR="00D90EA7" w:rsidRDefault="00D90EA7" w:rsidP="002E2384">
            <w:pPr>
              <w:spacing w:beforeLines="50" w:before="120" w:after="120"/>
              <w:rPr>
                <w:rFonts w:eastAsia="Malgun Gothic"/>
                <w:iCs/>
                <w:sz w:val="20"/>
                <w:szCs w:val="20"/>
                <w:lang w:val="sv-SE" w:eastAsia="ko-KR"/>
              </w:rPr>
            </w:pPr>
            <w:r>
              <w:rPr>
                <w:rFonts w:eastAsia="Malgun Gothic"/>
                <w:iCs/>
                <w:sz w:val="20"/>
                <w:szCs w:val="20"/>
                <w:lang w:val="sv-SE" w:eastAsia="ko-KR"/>
              </w:rPr>
              <w:t>CATT</w:t>
            </w:r>
          </w:p>
        </w:tc>
        <w:tc>
          <w:tcPr>
            <w:tcW w:w="6038" w:type="dxa"/>
          </w:tcPr>
          <w:p w14:paraId="49B92BFD" w14:textId="29AD8FC2" w:rsidR="00D90EA7" w:rsidRDefault="00D90EA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F18DF" w14:paraId="11B86DA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B93185D" w14:textId="2EF0F011" w:rsidR="00DF18DF" w:rsidRDefault="00DF18DF" w:rsidP="002E2384">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51A6C44" w14:textId="04541292" w:rsidR="00DF18DF" w:rsidRDefault="00DF18D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CB452C" w14:paraId="5A483CB7"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7C510" w14:textId="7E868B4D" w:rsidR="00CB452C" w:rsidRDefault="00CB452C" w:rsidP="002E2384">
            <w:pPr>
              <w:spacing w:beforeLines="50" w:before="120" w:after="120"/>
              <w:rPr>
                <w:rFonts w:eastAsia="Malgun Gothic"/>
                <w:iCs/>
                <w:sz w:val="20"/>
                <w:szCs w:val="20"/>
                <w:lang w:val="sv-SE" w:eastAsia="ko-KR"/>
              </w:rPr>
            </w:pPr>
            <w:r>
              <w:rPr>
                <w:rFonts w:eastAsia="Malgun Gothic"/>
                <w:iCs/>
                <w:sz w:val="20"/>
                <w:szCs w:val="20"/>
                <w:lang w:val="sv-SE" w:eastAsia="ko-KR"/>
              </w:rPr>
              <w:t>Qualcomm</w:t>
            </w:r>
          </w:p>
        </w:tc>
        <w:tc>
          <w:tcPr>
            <w:tcW w:w="6038" w:type="dxa"/>
          </w:tcPr>
          <w:p w14:paraId="085FB24F" w14:textId="086DB431" w:rsidR="00CB452C" w:rsidRDefault="00CB452C"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A9407B" w14:paraId="08EEED8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291B413" w14:textId="17A96D42" w:rsidR="00A9407B" w:rsidRDefault="00A9407B" w:rsidP="002E2384">
            <w:pPr>
              <w:spacing w:beforeLines="50" w:before="120" w:after="120"/>
              <w:rPr>
                <w:rFonts w:eastAsia="Malgun Gothic"/>
                <w:iCs/>
                <w:sz w:val="20"/>
                <w:szCs w:val="20"/>
                <w:lang w:val="sv-SE" w:eastAsia="ko-KR"/>
              </w:rPr>
            </w:pPr>
            <w:r>
              <w:rPr>
                <w:rFonts w:eastAsia="Malgun Gothic"/>
                <w:iCs/>
                <w:sz w:val="20"/>
                <w:szCs w:val="20"/>
                <w:lang w:val="sv-SE" w:eastAsia="ko-KR"/>
              </w:rPr>
              <w:t>OPPO</w:t>
            </w:r>
          </w:p>
        </w:tc>
        <w:tc>
          <w:tcPr>
            <w:tcW w:w="6038" w:type="dxa"/>
          </w:tcPr>
          <w:p w14:paraId="0AB6267B" w14:textId="4BC086D8" w:rsidR="00A9407B" w:rsidRDefault="00A9407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87036B" w:rsidRPr="00A10E86" w14:paraId="25EA68A1"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93D7F66" w14:textId="77777777" w:rsidR="0087036B" w:rsidRPr="00A10E86" w:rsidRDefault="0087036B" w:rsidP="00FC5086">
            <w:pPr>
              <w:spacing w:beforeLines="50" w:before="120" w:after="120"/>
              <w:rPr>
                <w:rFonts w:eastAsiaTheme="minorEastAsia" w:hint="eastAsia"/>
                <w:iCs/>
                <w:sz w:val="20"/>
                <w:szCs w:val="20"/>
              </w:rPr>
            </w:pPr>
            <w:r>
              <w:rPr>
                <w:rFonts w:eastAsiaTheme="minorEastAsia" w:hint="eastAsia"/>
                <w:iCs/>
                <w:sz w:val="20"/>
                <w:szCs w:val="20"/>
              </w:rPr>
              <w:t>CMCC</w:t>
            </w:r>
          </w:p>
        </w:tc>
        <w:tc>
          <w:tcPr>
            <w:tcW w:w="6038" w:type="dxa"/>
          </w:tcPr>
          <w:p w14:paraId="374D2753" w14:textId="77777777" w:rsidR="0087036B" w:rsidRPr="00A10E86" w:rsidRDefault="0087036B" w:rsidP="00FC5086">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hint="eastAsia"/>
                <w:iCs/>
                <w:sz w:val="20"/>
                <w:szCs w:val="20"/>
              </w:rPr>
            </w:pPr>
            <w:r>
              <w:rPr>
                <w:rFonts w:eastAsiaTheme="minorEastAsia" w:hint="eastAsia"/>
                <w:iCs/>
                <w:sz w:val="20"/>
                <w:szCs w:val="20"/>
              </w:rPr>
              <w:t>Support</w:t>
            </w:r>
          </w:p>
        </w:tc>
      </w:tr>
    </w:tbl>
    <w:p w14:paraId="34C1CBA2" w14:textId="77777777" w:rsidR="00186AA2" w:rsidRPr="00186AA2" w:rsidRDefault="00186AA2" w:rsidP="00186AA2"/>
    <w:p w14:paraId="5367CDD2" w14:textId="27AFF342" w:rsidR="00D86908" w:rsidRPr="00D86908" w:rsidRDefault="00D86908" w:rsidP="00D86908">
      <w:pPr>
        <w:pStyle w:val="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QCL-TypeD indications. To address this concern, we propose to add a restrictions that all CMR should be QCLed w.r.t ‘QCL-TypeD’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‘QCL-TypeD’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If NZP + ZP IMRs are configured for L1-SINR report, support CMRs are QCLed with respect to ‘QCL-TypeD’.</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a3"/>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lastRenderedPageBreak/>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r w:rsidRPr="00B834A2">
              <w:rPr>
                <w:i/>
              </w:rPr>
              <w:t>parameterresourcesForChannelMeasurement</w:t>
            </w:r>
            <w:r w:rsidRPr="00B834A2">
              <w:t>) is for channel measurement on SSB or NZP CSI-RS. The second one (given by either higher layer parameter</w:t>
            </w:r>
            <w:r w:rsidRPr="00B834A2">
              <w:rPr>
                <w:i/>
              </w:rPr>
              <w:t xml:space="preserve"> csi-IM-ResourcesForInterference</w:t>
            </w:r>
            <w:r w:rsidRPr="00B834A2">
              <w:t xml:space="preserve">) is for interference measurement performed on CSI-IM, where each NZP CSI-RS resource set for channel measurement is associated with one CSI-IM resource for interference measurement. The Third one (given by higher layer parameter </w:t>
            </w:r>
            <w:r w:rsidRPr="00B834A2">
              <w:rPr>
                <w:i/>
              </w:rPr>
              <w:t>nzp-CSI-RS-ResourcesForInterference</w:t>
            </w:r>
            <w:r w:rsidRPr="00B834A2">
              <w:t>) is for interference measurement performed on 1 port NZP CSI-RS with density 3 REs/RB.</w:t>
            </w:r>
            <w:del w:id="2" w:author="Huawei" w:date="2020-02-13T18:59:00Z">
              <w:r w:rsidRPr="00B834A2" w:rsidDel="00B834A2">
                <w:delText>]</w:delText>
              </w:r>
            </w:del>
          </w:p>
          <w:p w14:paraId="74C32ADF" w14:textId="77777777" w:rsidR="00D86908" w:rsidRPr="002F6FCF" w:rsidRDefault="00D86908" w:rsidP="00F041A8">
            <w:pPr>
              <w:pStyle w:val="B2"/>
              <w:ind w:left="594"/>
              <w:rPr>
                <w:ins w:id="3" w:author="Huawei" w:date="2020-04-08T14:40:00Z"/>
                <w:szCs w:val="22"/>
              </w:rPr>
            </w:pPr>
            <w:ins w:id="4"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‘QCL-TypeD’.</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Seems like a large restriction. The issue would exist also for ZP-only interference measurement.</w:t>
            </w:r>
            <w:r w:rsidR="00A91FA6">
              <w:rPr>
                <w:rFonts w:eastAsia="宋体"/>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宋体"/>
                <w:iCs/>
                <w:sz w:val="20"/>
                <w:szCs w:val="20"/>
                <w:lang w:val="sv-SE"/>
              </w:rPr>
            </w:pPr>
            <w:r>
              <w:rPr>
                <w:rFonts w:eastAsia="宋体" w:hint="eastAsia"/>
                <w:iCs/>
                <w:sz w:val="20"/>
                <w:szCs w:val="20"/>
                <w:lang w:val="sv-SE"/>
              </w:rPr>
              <w:t>Z</w:t>
            </w:r>
            <w:r>
              <w:rPr>
                <w:rFonts w:eastAsia="宋体"/>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hint="eastAsia"/>
                <w:iCs/>
                <w:sz w:val="20"/>
                <w:szCs w:val="20"/>
              </w:rPr>
              <w:t>S</w:t>
            </w:r>
            <w:r>
              <w:rPr>
                <w:rFonts w:eastAsia="宋体"/>
                <w:iCs/>
                <w:sz w:val="20"/>
                <w:szCs w:val="20"/>
              </w:rPr>
              <w:t>upport.</w:t>
            </w:r>
            <w:r>
              <w:rPr>
                <w:rFonts w:eastAsia="宋体"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iCs/>
                <w:sz w:val="20"/>
                <w:szCs w:val="20"/>
              </w:rPr>
              <w:t>In the case of CMR+ZP-IMR+NZP-IMR</w:t>
            </w:r>
            <w:r w:rsidR="00ED230C">
              <w:rPr>
                <w:rFonts w:eastAsia="宋体"/>
                <w:iCs/>
                <w:sz w:val="20"/>
                <w:szCs w:val="20"/>
              </w:rPr>
              <w:t xml:space="preserve">, </w:t>
            </w:r>
            <w:r>
              <w:rPr>
                <w:rFonts w:eastAsia="宋体"/>
                <w:iCs/>
                <w:sz w:val="20"/>
                <w:szCs w:val="20"/>
              </w:rPr>
              <w:t xml:space="preserve">only </w:t>
            </w:r>
            <w:r w:rsidR="00ED230C">
              <w:rPr>
                <w:rFonts w:eastAsia="宋体" w:hint="eastAsia"/>
                <w:iCs/>
                <w:sz w:val="20"/>
                <w:szCs w:val="20"/>
              </w:rPr>
              <w:t>up</w:t>
            </w:r>
            <w:r w:rsidR="00ED230C">
              <w:rPr>
                <w:rFonts w:eastAsia="宋体"/>
                <w:iCs/>
                <w:sz w:val="20"/>
                <w:szCs w:val="20"/>
              </w:rPr>
              <w:t xml:space="preserve"> to one </w:t>
            </w:r>
            <w:r>
              <w:rPr>
                <w:rFonts w:eastAsia="宋体"/>
                <w:iCs/>
                <w:sz w:val="20"/>
                <w:szCs w:val="20"/>
              </w:rPr>
              <w:t xml:space="preserve">ZP-IMR resource </w:t>
            </w:r>
            <w:r w:rsidR="00ED230C">
              <w:rPr>
                <w:rFonts w:eastAsia="宋体"/>
                <w:iCs/>
                <w:sz w:val="20"/>
                <w:szCs w:val="20"/>
              </w:rPr>
              <w:t>was</w:t>
            </w:r>
            <w:r>
              <w:rPr>
                <w:rFonts w:eastAsia="宋体"/>
                <w:iCs/>
                <w:sz w:val="20"/>
                <w:szCs w:val="20"/>
              </w:rPr>
              <w:t xml:space="preserve"> agreed</w:t>
            </w:r>
            <w:r w:rsidR="00ED230C">
              <w:rPr>
                <w:rFonts w:eastAsia="宋体"/>
                <w:iCs/>
                <w:sz w:val="20"/>
                <w:szCs w:val="20"/>
              </w:rPr>
              <w:t xml:space="preserve"> to be configured in WA</w:t>
            </w:r>
            <w:r>
              <w:rPr>
                <w:rFonts w:eastAsia="宋体"/>
                <w:iCs/>
                <w:sz w:val="20"/>
                <w:szCs w:val="20"/>
              </w:rPr>
              <w:t xml:space="preserve">. That means that the one ZP-IMR should be associated with multiple NZP-IMR(s) and CMR(s), and, in order to guarantee that the multiple NZP-IMR(s) </w:t>
            </w:r>
            <w:r w:rsidR="00ED230C">
              <w:rPr>
                <w:rFonts w:eastAsia="宋体"/>
                <w:iCs/>
                <w:sz w:val="20"/>
                <w:szCs w:val="20"/>
              </w:rPr>
              <w:t>and CMR(s) can be received by a</w:t>
            </w:r>
            <w:r>
              <w:rPr>
                <w:rFonts w:eastAsia="宋体"/>
                <w:iCs/>
                <w:sz w:val="20"/>
                <w:szCs w:val="20"/>
              </w:rPr>
              <w:t xml:space="preserve"> unified UE Rx beam</w:t>
            </w:r>
            <w:r w:rsidR="000F2B1D">
              <w:rPr>
                <w:rFonts w:eastAsia="宋体"/>
                <w:iCs/>
                <w:sz w:val="20"/>
                <w:szCs w:val="20"/>
              </w:rPr>
              <w:t xml:space="preserve"> corresponding to the one ZP-IMR</w:t>
            </w:r>
            <w:r>
              <w:rPr>
                <w:rFonts w:eastAsia="宋体"/>
                <w:iCs/>
                <w:sz w:val="20"/>
                <w:szCs w:val="20"/>
              </w:rPr>
              <w:t xml:space="preserve">, e.g., </w:t>
            </w:r>
            <w:r w:rsidR="00ED230C">
              <w:rPr>
                <w:rFonts w:eastAsia="宋体"/>
                <w:iCs/>
                <w:sz w:val="20"/>
                <w:szCs w:val="20"/>
              </w:rPr>
              <w:t xml:space="preserve">all of the CMR(s) should be </w:t>
            </w:r>
            <w:r>
              <w:rPr>
                <w:rFonts w:eastAsia="宋体"/>
                <w:iCs/>
                <w:sz w:val="20"/>
                <w:szCs w:val="20"/>
              </w:rPr>
              <w:t xml:space="preserve">QCLed. </w:t>
            </w:r>
            <w:r w:rsidR="00E64B6C">
              <w:rPr>
                <w:rFonts w:eastAsia="宋体"/>
                <w:iCs/>
                <w:sz w:val="20"/>
                <w:szCs w:val="20"/>
              </w:rPr>
              <w:t>In our views, t</w:t>
            </w:r>
            <w:r>
              <w:rPr>
                <w:rFonts w:eastAsia="宋体"/>
                <w:iCs/>
                <w:sz w:val="20"/>
                <w:szCs w:val="20"/>
              </w:rPr>
              <w:t xml:space="preserve">his TP is </w:t>
            </w:r>
            <w:r w:rsidR="000F2B1D">
              <w:rPr>
                <w:rFonts w:eastAsia="宋体"/>
                <w:iCs/>
                <w:sz w:val="20"/>
                <w:szCs w:val="20"/>
              </w:rPr>
              <w:t xml:space="preserve">well </w:t>
            </w:r>
            <w:r>
              <w:rPr>
                <w:rFonts w:eastAsia="宋体"/>
                <w:iCs/>
                <w:sz w:val="20"/>
                <w:szCs w:val="20"/>
              </w:rPr>
              <w:t xml:space="preserve">aligned with the previous offline agreement. </w:t>
            </w:r>
          </w:p>
        </w:tc>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宋体"/>
                <w:iCs/>
                <w:sz w:val="20"/>
                <w:szCs w:val="20"/>
                <w:lang w:val="sv-SE"/>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Malgun Gothic" w:hint="eastAsia"/>
                <w:iCs/>
                <w:sz w:val="20"/>
                <w:szCs w:val="20"/>
                <w:lang w:eastAsia="ko-KR"/>
              </w:rPr>
              <w:t>W</w:t>
            </w:r>
            <w:r>
              <w:rPr>
                <w:rFonts w:eastAsia="Malgun Gothic"/>
                <w:iCs/>
                <w:sz w:val="20"/>
                <w:szCs w:val="20"/>
                <w:lang w:eastAsia="ko-KR"/>
              </w:rPr>
              <w:t xml:space="preserve">e do not want to bring additional restriction only to support ZP+NZP IMR. </w:t>
            </w:r>
          </w:p>
        </w:tc>
      </w:tr>
      <w:tr w:rsidR="0092041F" w14:paraId="2145683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E9D2D17" w14:textId="7EBB975C" w:rsidR="0092041F" w:rsidRDefault="0092041F" w:rsidP="00341C20">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7DAAAA04" w14:textId="77777777" w:rsidR="0092041F" w:rsidRDefault="0092041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w:t>
            </w:r>
          </w:p>
          <w:p w14:paraId="64521D0E" w14:textId="77777777" w:rsidR="0092041F" w:rsidRDefault="00B7246D"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appears to us that CMR + ZP-IM + NZP-IMR is broken in the specification due to the limitation of maximum one ZP-IMR can be configured. </w:t>
            </w:r>
          </w:p>
          <w:p w14:paraId="7221CF44" w14:textId="77777777" w:rsidR="007F0937" w:rsidRDefault="007F093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With this restriction, what is the point for us to report CRI </w:t>
            </w:r>
            <w:r w:rsidR="003017A3">
              <w:rPr>
                <w:rFonts w:eastAsia="Malgun Gothic"/>
                <w:iCs/>
                <w:sz w:val="20"/>
                <w:szCs w:val="20"/>
                <w:lang w:eastAsia="ko-KR"/>
              </w:rPr>
              <w:t>as</w:t>
            </w:r>
            <w:r>
              <w:rPr>
                <w:rFonts w:eastAsia="Malgun Gothic"/>
                <w:iCs/>
                <w:sz w:val="20"/>
                <w:szCs w:val="20"/>
                <w:lang w:eastAsia="ko-KR"/>
              </w:rPr>
              <w:t xml:space="preserve"> part of SINR report? </w:t>
            </w:r>
          </w:p>
          <w:p w14:paraId="2ED7A0ED" w14:textId="5434F612" w:rsidR="00616C99" w:rsidRDefault="00616C99"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But we prefer to discuss whether CMR + ZP-IM + NZP-IMR is even a useful feature</w:t>
            </w:r>
          </w:p>
        </w:tc>
      </w:tr>
      <w:tr w:rsidR="005A31AB" w14:paraId="186BA6F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3B578B" w14:textId="74F1C1F3" w:rsidR="005A31AB" w:rsidRDefault="005A31AB" w:rsidP="00341C20">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229A66EF" w14:textId="5953B10B" w:rsidR="005A31AB" w:rsidRDefault="005A31AB" w:rsidP="005A31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 ‘ZP-IMR+NZP-IMR’. Suggest to remove the entire paragraph</w:t>
            </w:r>
            <w:r w:rsidR="00573981">
              <w:rPr>
                <w:rFonts w:eastAsia="Malgun Gothic"/>
                <w:iCs/>
                <w:sz w:val="20"/>
                <w:szCs w:val="20"/>
                <w:lang w:eastAsia="ko-KR"/>
              </w:rPr>
              <w:t xml:space="preserve"> in the bracket</w:t>
            </w:r>
            <w:r>
              <w:rPr>
                <w:rFonts w:eastAsia="Malgun Gothic"/>
                <w:iCs/>
                <w:sz w:val="20"/>
                <w:szCs w:val="20"/>
                <w:lang w:eastAsia="ko-KR"/>
              </w:rPr>
              <w:t>.</w:t>
            </w:r>
          </w:p>
        </w:tc>
      </w:tr>
      <w:tr w:rsidR="00DF18DF" w14:paraId="24D7DA9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C2963EC" w14:textId="5EEC5922" w:rsidR="00DF18DF" w:rsidRDefault="00DF18DF" w:rsidP="00DF18DF">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AEB02D0" w14:textId="2EAD5835" w:rsidR="00DF18DF" w:rsidRDefault="00DF18DF" w:rsidP="00DF18DF">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would be good if RAN1 will re-discuss the use case of this configuration in conjunction with RAN4 agreements on interference measurements. Based on the outcome of this discussion we could make more informative decision regarding this part of the specification, i.e. (1) remove the configuration or (2) remove brackets and include additional clarifications as proposed in the TP. Our current preference is (1), but we are open to discus further. </w:t>
            </w:r>
          </w:p>
        </w:tc>
      </w:tr>
      <w:tr w:rsidR="00CB452C" w14:paraId="670278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56F9346" w14:textId="79BCCFC2" w:rsidR="00CB452C" w:rsidRDefault="00CB452C" w:rsidP="00DF18DF">
            <w:pPr>
              <w:spacing w:beforeLines="50" w:before="120" w:after="120"/>
              <w:rPr>
                <w:rFonts w:eastAsia="Malgun Gothic"/>
                <w:iCs/>
                <w:sz w:val="20"/>
                <w:szCs w:val="20"/>
                <w:lang w:val="sv-SE" w:eastAsia="ko-KR"/>
              </w:rPr>
            </w:pPr>
            <w:r>
              <w:rPr>
                <w:rFonts w:eastAsia="Malgun Gothic"/>
                <w:iCs/>
                <w:sz w:val="20"/>
                <w:szCs w:val="20"/>
                <w:lang w:val="sv-SE" w:eastAsia="ko-KR"/>
              </w:rPr>
              <w:lastRenderedPageBreak/>
              <w:t>Qualcomm</w:t>
            </w:r>
          </w:p>
        </w:tc>
        <w:tc>
          <w:tcPr>
            <w:tcW w:w="6038" w:type="dxa"/>
          </w:tcPr>
          <w:p w14:paraId="1471A638" w14:textId="5C47F736" w:rsidR="00CB452C" w:rsidRDefault="00CB452C" w:rsidP="00DF18DF">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Not support. The complexity cannot justify the additional benefit. </w:t>
            </w:r>
          </w:p>
        </w:tc>
      </w:tr>
      <w:tr w:rsidR="0087036B" w14:paraId="7E0FACBD"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452431A" w14:textId="57A401B7" w:rsidR="0087036B" w:rsidRDefault="0087036B" w:rsidP="0087036B">
            <w:pPr>
              <w:spacing w:beforeLines="50" w:before="120" w:after="120"/>
              <w:rPr>
                <w:rFonts w:eastAsia="Malgun Gothic"/>
                <w:iCs/>
                <w:sz w:val="20"/>
                <w:szCs w:val="20"/>
                <w:lang w:val="sv-SE" w:eastAsia="ko-KR"/>
              </w:rPr>
            </w:pPr>
            <w:bookmarkStart w:id="5" w:name="_GoBack" w:colFirst="0" w:colLast="1"/>
            <w:r>
              <w:rPr>
                <w:rFonts w:eastAsiaTheme="minorEastAsia" w:hint="eastAsia"/>
                <w:iCs/>
                <w:sz w:val="20"/>
                <w:szCs w:val="20"/>
                <w:lang w:val="sv-SE"/>
              </w:rPr>
              <w:t>CMCC</w:t>
            </w:r>
          </w:p>
        </w:tc>
        <w:tc>
          <w:tcPr>
            <w:tcW w:w="6038" w:type="dxa"/>
          </w:tcPr>
          <w:p w14:paraId="49E2AC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r>
              <w:rPr>
                <w:rFonts w:eastAsiaTheme="minorEastAsia"/>
                <w:iCs/>
                <w:sz w:val="20"/>
                <w:szCs w:val="20"/>
              </w:rPr>
              <w:t>.</w:t>
            </w:r>
          </w:p>
          <w:p w14:paraId="181041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Theme="minorEastAsia" w:hint="eastAsia"/>
                <w:iCs/>
                <w:sz w:val="20"/>
                <w:szCs w:val="20"/>
              </w:rPr>
              <w:t xml:space="preserve">The use case of </w:t>
            </w:r>
            <w:r>
              <w:rPr>
                <w:rFonts w:eastAsia="宋体"/>
                <w:iCs/>
                <w:sz w:val="20"/>
                <w:szCs w:val="20"/>
              </w:rPr>
              <w:t>CMR+ZP-IMR+NZP-IMR configuration is to measure the intra-cell MU-MIMO interference by NZP-IMR and inter-cell interference by ZP-IMR.</w:t>
            </w:r>
          </w:p>
          <w:p w14:paraId="42BD4443"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DC39E1">
              <w:rPr>
                <w:rFonts w:eastAsiaTheme="minorEastAsia"/>
                <w:iCs/>
                <w:sz w:val="20"/>
                <w:szCs w:val="20"/>
              </w:rPr>
              <w:t xml:space="preserve">When taking both ZP-IMR and NZP-IMR for interference measurement, </w:t>
            </w:r>
            <w:r>
              <w:rPr>
                <w:rFonts w:eastAsiaTheme="minorEastAsia"/>
                <w:iCs/>
                <w:sz w:val="20"/>
                <w:szCs w:val="20"/>
              </w:rPr>
              <w:t>t</w:t>
            </w:r>
            <w:r>
              <w:rPr>
                <w:rFonts w:eastAsiaTheme="minorEastAsia" w:hint="eastAsia"/>
                <w:iCs/>
                <w:sz w:val="20"/>
                <w:szCs w:val="20"/>
              </w:rPr>
              <w:t xml:space="preserve">he working assumption made in RAN1#97 meeting restricted </w:t>
            </w:r>
            <w:r>
              <w:rPr>
                <w:rFonts w:eastAsiaTheme="minorEastAsia"/>
                <w:iCs/>
                <w:sz w:val="20"/>
                <w:szCs w:val="20"/>
              </w:rPr>
              <w:t>that</w:t>
            </w:r>
            <w:r>
              <w:rPr>
                <w:rFonts w:eastAsiaTheme="minorEastAsia" w:hint="eastAsia"/>
                <w:iCs/>
                <w:sz w:val="20"/>
                <w:szCs w:val="20"/>
              </w:rPr>
              <w:t xml:space="preserve"> </w:t>
            </w:r>
            <w:r w:rsidRPr="00DC39E1">
              <w:rPr>
                <w:rFonts w:eastAsiaTheme="minorEastAsia"/>
                <w:iCs/>
                <w:sz w:val="20"/>
                <w:szCs w:val="20"/>
              </w:rPr>
              <w:t>the maximum number of ZP-IMR is 1.</w:t>
            </w:r>
            <w:r>
              <w:rPr>
                <w:rFonts w:eastAsiaTheme="minorEastAsia"/>
                <w:iCs/>
                <w:sz w:val="20"/>
                <w:szCs w:val="20"/>
              </w:rPr>
              <w:t xml:space="preserve"> </w:t>
            </w:r>
            <w:r w:rsidRPr="00A1466C">
              <w:rPr>
                <w:rFonts w:eastAsiaTheme="minorEastAsia"/>
                <w:iCs/>
                <w:sz w:val="20"/>
                <w:szCs w:val="20"/>
              </w:rPr>
              <w:t xml:space="preserve">In this case, the 'QCL-TypeD' assumption for all CMR, NZP-IMR and ZP-IMR are totally same. Then, the interference measurement on </w:t>
            </w:r>
            <w:r>
              <w:rPr>
                <w:rFonts w:eastAsiaTheme="minorEastAsia"/>
                <w:iCs/>
                <w:sz w:val="20"/>
                <w:szCs w:val="20"/>
              </w:rPr>
              <w:t xml:space="preserve">one </w:t>
            </w:r>
            <w:r w:rsidRPr="00A1466C">
              <w:rPr>
                <w:rFonts w:eastAsiaTheme="minorEastAsia"/>
                <w:iCs/>
                <w:sz w:val="20"/>
                <w:szCs w:val="20"/>
              </w:rPr>
              <w:t>ZP-IMR can be reused for all of the L1-SINR calculation</w:t>
            </w:r>
            <w:r>
              <w:rPr>
                <w:rFonts w:eastAsiaTheme="minorEastAsia"/>
                <w:iCs/>
                <w:sz w:val="20"/>
                <w:szCs w:val="20"/>
              </w:rPr>
              <w:t xml:space="preserve">. </w:t>
            </w:r>
          </w:p>
          <w:p w14:paraId="12E5342F" w14:textId="71F0962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Theme="minorEastAsia"/>
                <w:iCs/>
                <w:sz w:val="20"/>
                <w:szCs w:val="20"/>
              </w:rPr>
              <w:t>The CRI reported together with L1-SINR is used to select gNB transmission beam for CMR and NZP-IMR.</w:t>
            </w:r>
          </w:p>
        </w:tc>
      </w:tr>
      <w:bookmarkEnd w:id="5"/>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2D4E9" w14:textId="77777777" w:rsidR="00A10B4D" w:rsidRDefault="00A10B4D" w:rsidP="00291348">
      <w:r>
        <w:separator/>
      </w:r>
    </w:p>
  </w:endnote>
  <w:endnote w:type="continuationSeparator" w:id="0">
    <w:p w14:paraId="660AEE88" w14:textId="77777777" w:rsidR="00A10B4D" w:rsidRDefault="00A10B4D"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1E129" w14:textId="77777777" w:rsidR="00A10B4D" w:rsidRDefault="00A10B4D" w:rsidP="00291348">
      <w:r>
        <w:separator/>
      </w:r>
    </w:p>
  </w:footnote>
  <w:footnote w:type="continuationSeparator" w:id="0">
    <w:p w14:paraId="184F0F3A" w14:textId="77777777" w:rsidR="00A10B4D" w:rsidRDefault="00A10B4D" w:rsidP="0029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0148"/>
    <w:rsid w:val="00031D27"/>
    <w:rsid w:val="00031E68"/>
    <w:rsid w:val="00037E22"/>
    <w:rsid w:val="00041988"/>
    <w:rsid w:val="00044CC2"/>
    <w:rsid w:val="00046585"/>
    <w:rsid w:val="000531E2"/>
    <w:rsid w:val="00055F76"/>
    <w:rsid w:val="0005612B"/>
    <w:rsid w:val="000605BB"/>
    <w:rsid w:val="0006765A"/>
    <w:rsid w:val="000A1890"/>
    <w:rsid w:val="000A1A2D"/>
    <w:rsid w:val="000A41C3"/>
    <w:rsid w:val="000A4FB1"/>
    <w:rsid w:val="000D0179"/>
    <w:rsid w:val="000D0F78"/>
    <w:rsid w:val="000D2660"/>
    <w:rsid w:val="000E3F96"/>
    <w:rsid w:val="000E76D8"/>
    <w:rsid w:val="000F2B1D"/>
    <w:rsid w:val="000F2C70"/>
    <w:rsid w:val="0010269A"/>
    <w:rsid w:val="001203DA"/>
    <w:rsid w:val="00127219"/>
    <w:rsid w:val="0013108B"/>
    <w:rsid w:val="001379D6"/>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2E5444"/>
    <w:rsid w:val="003017A3"/>
    <w:rsid w:val="0030554A"/>
    <w:rsid w:val="003105DC"/>
    <w:rsid w:val="003262D0"/>
    <w:rsid w:val="00341C20"/>
    <w:rsid w:val="0034417B"/>
    <w:rsid w:val="00344AE3"/>
    <w:rsid w:val="00351207"/>
    <w:rsid w:val="00361704"/>
    <w:rsid w:val="00361D33"/>
    <w:rsid w:val="00366F52"/>
    <w:rsid w:val="00367DFA"/>
    <w:rsid w:val="003802E1"/>
    <w:rsid w:val="00387A38"/>
    <w:rsid w:val="0039576B"/>
    <w:rsid w:val="003A0A4B"/>
    <w:rsid w:val="003B1B89"/>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3FCD"/>
    <w:rsid w:val="004A41EF"/>
    <w:rsid w:val="004B3124"/>
    <w:rsid w:val="004B4332"/>
    <w:rsid w:val="004B67D4"/>
    <w:rsid w:val="004B74CC"/>
    <w:rsid w:val="004C4A14"/>
    <w:rsid w:val="00505476"/>
    <w:rsid w:val="005062CA"/>
    <w:rsid w:val="00517ADD"/>
    <w:rsid w:val="0053782C"/>
    <w:rsid w:val="00556671"/>
    <w:rsid w:val="005660BE"/>
    <w:rsid w:val="00573981"/>
    <w:rsid w:val="0057794A"/>
    <w:rsid w:val="0059417B"/>
    <w:rsid w:val="00596063"/>
    <w:rsid w:val="005A2D41"/>
    <w:rsid w:val="005A31AB"/>
    <w:rsid w:val="005B1982"/>
    <w:rsid w:val="005B1AD1"/>
    <w:rsid w:val="005B6997"/>
    <w:rsid w:val="005D044D"/>
    <w:rsid w:val="005D45F7"/>
    <w:rsid w:val="005F7A0E"/>
    <w:rsid w:val="00604C3D"/>
    <w:rsid w:val="00616C99"/>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B5F2D"/>
    <w:rsid w:val="007E3054"/>
    <w:rsid w:val="007E554B"/>
    <w:rsid w:val="007E6FF6"/>
    <w:rsid w:val="007F022F"/>
    <w:rsid w:val="007F0937"/>
    <w:rsid w:val="007F128C"/>
    <w:rsid w:val="007F4737"/>
    <w:rsid w:val="00810B2F"/>
    <w:rsid w:val="00820D52"/>
    <w:rsid w:val="00837442"/>
    <w:rsid w:val="00841DDE"/>
    <w:rsid w:val="0087036B"/>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041F"/>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10B4D"/>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407B"/>
    <w:rsid w:val="00A95A78"/>
    <w:rsid w:val="00AB062C"/>
    <w:rsid w:val="00AB26E1"/>
    <w:rsid w:val="00AD1997"/>
    <w:rsid w:val="00AF13FC"/>
    <w:rsid w:val="00B0669A"/>
    <w:rsid w:val="00B132FF"/>
    <w:rsid w:val="00B23EB7"/>
    <w:rsid w:val="00B2525C"/>
    <w:rsid w:val="00B315D1"/>
    <w:rsid w:val="00B4058C"/>
    <w:rsid w:val="00B6028C"/>
    <w:rsid w:val="00B658E6"/>
    <w:rsid w:val="00B72388"/>
    <w:rsid w:val="00B7246D"/>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452C"/>
    <w:rsid w:val="00CB5D21"/>
    <w:rsid w:val="00CC6158"/>
    <w:rsid w:val="00CC6381"/>
    <w:rsid w:val="00CE171E"/>
    <w:rsid w:val="00CE2EA5"/>
    <w:rsid w:val="00CE7503"/>
    <w:rsid w:val="00D1218B"/>
    <w:rsid w:val="00D177E7"/>
    <w:rsid w:val="00D22343"/>
    <w:rsid w:val="00D263F1"/>
    <w:rsid w:val="00D313A3"/>
    <w:rsid w:val="00D366CB"/>
    <w:rsid w:val="00D402CA"/>
    <w:rsid w:val="00D45E02"/>
    <w:rsid w:val="00D56326"/>
    <w:rsid w:val="00D61E47"/>
    <w:rsid w:val="00D623A6"/>
    <w:rsid w:val="00D71D08"/>
    <w:rsid w:val="00D86908"/>
    <w:rsid w:val="00D9083F"/>
    <w:rsid w:val="00D90EA7"/>
    <w:rsid w:val="00DB1A36"/>
    <w:rsid w:val="00DB481F"/>
    <w:rsid w:val="00DD6D06"/>
    <w:rsid w:val="00DE33B6"/>
    <w:rsid w:val="00DF0066"/>
    <w:rsid w:val="00DF18DF"/>
    <w:rsid w:val="00DF7F91"/>
    <w:rsid w:val="00E00694"/>
    <w:rsid w:val="00E10633"/>
    <w:rsid w:val="00E11B95"/>
    <w:rsid w:val="00E23636"/>
    <w:rsid w:val="00E43487"/>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EF7CD7"/>
    <w:rsid w:val="00F01BD8"/>
    <w:rsid w:val="00F041A8"/>
    <w:rsid w:val="00F05BCC"/>
    <w:rsid w:val="00F12DB9"/>
    <w:rsid w:val="00F16CB7"/>
    <w:rsid w:val="00F17D02"/>
    <w:rsid w:val="00F26D4E"/>
    <w:rsid w:val="00F37734"/>
    <w:rsid w:val="00F419A6"/>
    <w:rsid w:val="00F43CD1"/>
    <w:rsid w:val="00F5374E"/>
    <w:rsid w:val="00F64850"/>
    <w:rsid w:val="00F66251"/>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4A"/>
    <w:rPr>
      <w:rFonts w:ascii="Times New Roman" w:eastAsia="Times New Roman" w:hAnsi="Times New Roman" w:cs="Times New Roman"/>
    </w:rPr>
  </w:style>
  <w:style w:type="paragraph" w:styleId="1">
    <w:name w:val="heading 1"/>
    <w:aliases w:val="H1,h1,app heading 1,l1,Memo Heading 1,h11,h12,h13,h14,h15,h16,Heading 1_a,heading 1,h17,h111,h121,h131,h141,h151,h161,h18,h112,h122,h132,h142,h152,h162,h19,h113,h123,h133,h143,h153,h163,NMP Heading 1,제목 1(no line)"/>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aliases w:val="Head2A,2,H2,UNDERRUBRIK 1-2,DO NOT USE_h2,h2,h21,H2 Char,h2 Char"/>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B23EB7"/>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B23EB7"/>
    <w:rPr>
      <w:rFonts w:ascii="Times New Roman" w:eastAsia="Malgun Gothic" w:hAnsi="Times New Roman" w:cs="Times New Roman"/>
      <w:sz w:val="36"/>
      <w:szCs w:val="36"/>
    </w:rPr>
  </w:style>
  <w:style w:type="character" w:customStyle="1" w:styleId="20">
    <w:name w:val="标题 2 字符"/>
    <w:aliases w:val="Head2A 字符,2 字符,H2 字符,UNDERRUBRIK 1-2 字符,DO NOT USE_h2 字符,h2 字符,h21 字符,H2 Char 字符,h2 Char 字符"/>
    <w:basedOn w:val="a0"/>
    <w:link w:val="2"/>
    <w:rsid w:val="00B23EB7"/>
    <w:rPr>
      <w:rFonts w:ascii="Times New Roman" w:eastAsia="Malgun Gothic" w:hAnsi="Times New Roman" w:cs="Times New Roman"/>
      <w:sz w:val="32"/>
      <w:szCs w:val="3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B23EB7"/>
    <w:rPr>
      <w:rFonts w:ascii="Times New Roman" w:eastAsia="Malgun Gothic" w:hAnsi="Times New Roman" w:cs="Times New Roman"/>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목록단락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批注框文本 字符"/>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af0">
    <w:name w:val="Normal (Web)"/>
    <w:basedOn w:val="a"/>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a"/>
    <w:rsid w:val="00A005B7"/>
    <w:pPr>
      <w:keepLines/>
      <w:ind w:left="1702" w:hanging="1418"/>
    </w:pPr>
    <w:rPr>
      <w:rFonts w:eastAsia="等线"/>
      <w:sz w:val="20"/>
      <w:szCs w:val="20"/>
      <w:lang w:val="en-GB" w:eastAsia="en-US"/>
    </w:rPr>
  </w:style>
  <w:style w:type="paragraph" w:customStyle="1" w:styleId="00Text">
    <w:name w:val="00_Text"/>
    <w:basedOn w:val="af1"/>
    <w:link w:val="00TextChar"/>
    <w:qFormat/>
    <w:rsid w:val="00791B84"/>
    <w:pPr>
      <w:spacing w:line="264" w:lineRule="auto"/>
      <w:jc w:val="both"/>
    </w:pPr>
    <w:rPr>
      <w:rFonts w:eastAsia="宋体"/>
      <w:sz w:val="20"/>
      <w:lang w:eastAsia="en-US"/>
    </w:rPr>
  </w:style>
  <w:style w:type="character" w:customStyle="1" w:styleId="00TextChar">
    <w:name w:val="00_Text Char"/>
    <w:basedOn w:val="a0"/>
    <w:link w:val="00Text"/>
    <w:qForma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af1">
    <w:name w:val="Body Text"/>
    <w:basedOn w:val="a"/>
    <w:link w:val="af2"/>
    <w:uiPriority w:val="99"/>
    <w:semiHidden/>
    <w:unhideWhenUsed/>
    <w:rsid w:val="00791B84"/>
    <w:pPr>
      <w:spacing w:after="120"/>
    </w:pPr>
  </w:style>
  <w:style w:type="character" w:customStyle="1" w:styleId="af2">
    <w:name w:val="正文文本 字符"/>
    <w:basedOn w:val="a0"/>
    <w:link w:val="af1"/>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GridTable4-Accent21">
    <w:name w:val="Grid Table 4 - Accent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3">
    <w:name w:val="footer"/>
    <w:basedOn w:val="a"/>
    <w:link w:val="af4"/>
    <w:uiPriority w:val="99"/>
    <w:unhideWhenUsed/>
    <w:rsid w:val="0087036B"/>
    <w:pPr>
      <w:tabs>
        <w:tab w:val="center" w:pos="4153"/>
        <w:tab w:val="right" w:pos="8306"/>
      </w:tabs>
      <w:snapToGrid w:val="0"/>
    </w:pPr>
    <w:rPr>
      <w:sz w:val="18"/>
      <w:szCs w:val="18"/>
    </w:rPr>
  </w:style>
  <w:style w:type="character" w:customStyle="1" w:styleId="af4">
    <w:name w:val="页脚 字符"/>
    <w:basedOn w:val="a0"/>
    <w:link w:val="af3"/>
    <w:uiPriority w:val="99"/>
    <w:rsid w:val="0087036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89BF1-9640-456E-AD8B-725DA89E8475}">
  <ds:schemaRefs>
    <ds:schemaRef ds:uri="http://schemas.microsoft.com/sharepoint/v3/contenttype/forms"/>
  </ds:schemaRefs>
</ds:datastoreItem>
</file>

<file path=customXml/itemProps2.xml><?xml version="1.0" encoding="utf-8"?>
<ds:datastoreItem xmlns:ds="http://schemas.openxmlformats.org/officeDocument/2006/customXml" ds:itemID="{2A95ADE3-849E-4D57-9A33-FB9B8FD9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AB0B9-F78F-4E70-90B3-550731DEB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cmcc</cp:lastModifiedBy>
  <cp:revision>3</cp:revision>
  <dcterms:created xsi:type="dcterms:W3CDTF">2020-05-26T02:36:00Z</dcterms:created>
  <dcterms:modified xsi:type="dcterms:W3CDTF">2020-05-26T02:39:00Z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7c0794d7-e098-4238-907f-9b4f19447ffc</vt:lpwstr>
  </property>
  <property fmtid="{D5CDD505-2E9C-101B-9397-08002B2CF9AE}" pid="3" name="CTP_TimeStamp">
    <vt:lpwstr>2020-05-25 19:00:20Z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