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lastRenderedPageBreak/>
        <w:t>&lt;Nokia, [4]&gt;</w:t>
      </w:r>
    </w:p>
    <w:p w14:paraId="7623E5F6" w14:textId="77777777" w:rsidR="00A44B87" w:rsidRPr="00A775C3" w:rsidRDefault="00A44B87" w:rsidP="00A44B87">
      <w:pPr>
        <w:rPr>
          <w:b/>
          <w:bCs/>
          <w:lang w:eastAsia="zh-CN"/>
        </w:rPr>
      </w:pPr>
      <w:r w:rsidRPr="00A775C3">
        <w:rPr>
          <w:b/>
          <w:bCs/>
        </w:rPr>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854"/>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6A6AF2"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lastRenderedPageBreak/>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5"/>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w:t>
      </w:r>
      <w:r>
        <w:lastRenderedPageBreak/>
        <w:t xml:space="preserve">One is to modify current pseudo code for multiple SPS PDSCH occasion. The other is to use pseudo code for multiple 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lastRenderedPageBreak/>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854"/>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6A6AF2"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lastRenderedPageBreak/>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5"/>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bookmarkStart w:id="14" w:name="_GoBack"/>
      <w:bookmarkEnd w:id="14"/>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3"/>
        <w:gridCol w:w="1017"/>
        <w:gridCol w:w="7394"/>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Gulim" w:hAnsi="Times New Roman" w:cs="Times New Roman"/>
                <w:sz w:val="20"/>
                <w:szCs w:val="20"/>
              </w:rPr>
            </w:pPr>
            <w:r>
              <w:rPr>
                <w:rFonts w:ascii="Times New Roman" w:eastAsia="Gulim"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Gulim" w:hAnsi="Times New Roman" w:cs="Times New Roman"/>
                <w:sz w:val="20"/>
                <w:szCs w:val="20"/>
              </w:rPr>
            </w:pPr>
            <w:r w:rsidRPr="006809C6">
              <w:rPr>
                <w:rFonts w:ascii="Times New Roman" w:eastAsia="Gulim" w:hAnsi="Times New Roman" w:cs="Times New Roman"/>
                <w:sz w:val="20"/>
                <w:szCs w:val="20"/>
              </w:rPr>
              <w:t xml:space="preserve">We </w:t>
            </w:r>
            <w:r>
              <w:rPr>
                <w:rFonts w:ascii="Times New Roman" w:eastAsia="Gulim"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s CATT and Nokia pointed that this discussion point is related to the last meeting agreement and the tentative TP based on the agreement will be discussed in email thread#1.I suggest we can come back to this issue discussion after the outcome of that TP in email thread#1. Note: </w:t>
            </w:r>
            <w:r>
              <w:rPr>
                <w:rFonts w:ascii="Times New Roman" w:hAnsi="Times New Roman" w:cs="Times New Roman"/>
                <w:sz w:val="20"/>
                <w:szCs w:val="20"/>
                <w:lang w:eastAsia="zh-CN"/>
              </w:rPr>
              <w:t>the tentative TP</w:t>
            </w:r>
            <w:r>
              <w:rPr>
                <w:rFonts w:ascii="Times New Roman" w:hAnsi="Times New Roman" w:cs="Times New Roman"/>
                <w:sz w:val="20"/>
                <w:szCs w:val="20"/>
                <w:lang w:eastAsia="zh-CN"/>
              </w:rPr>
              <w:t xml:space="preserve"> of proposals in </w:t>
            </w:r>
            <w:r>
              <w:rPr>
                <w:rFonts w:ascii="Times New Roman" w:hAnsi="Times New Roman" w:cs="Times New Roman"/>
                <w:sz w:val="20"/>
                <w:szCs w:val="20"/>
                <w:lang w:eastAsia="zh-CN"/>
              </w:rPr>
              <w:t>email thread#1</w:t>
            </w:r>
            <w:r>
              <w:rPr>
                <w:rFonts w:ascii="Times New Roman" w:hAnsi="Times New Roman" w:cs="Times New Roman"/>
                <w:sz w:val="20"/>
                <w:szCs w:val="20"/>
                <w:lang w:eastAsia="zh-CN"/>
              </w:rPr>
              <w:t xml:space="preserve"> is new and little different with the summary version at end of last meeting, the new TP could cover the one SPS PDSCH case.</w:t>
            </w: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21" o:title=""/>
          </v:shape>
          <o:OLEObject Type="Embed" ProgID="Equation.3" ShapeID="_x0000_i1025" DrawAspect="Content" ObjectID="_1652188688"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lastRenderedPageBreak/>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5"/>
            <w:bookmarkEnd w:id="16"/>
            <w:bookmarkEnd w:id="17"/>
            <w:bookmarkEnd w:id="18"/>
            <w:bookmarkEnd w:id="19"/>
            <w:bookmarkEnd w:id="20"/>
            <w:bookmarkEnd w:id="21"/>
            <w:bookmarkEnd w:id="22"/>
            <w:bookmarkEnd w:id="23"/>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w:t>
      </w:r>
      <w:r w:rsidRPr="00A775C3">
        <w:rPr>
          <w:b/>
          <w:bCs/>
        </w:rPr>
        <w:lastRenderedPageBreak/>
        <w:t xml:space="preserve">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4" w:name="_Ref497329097"/>
            <w:bookmarkStart w:id="25" w:name="_Toc12021469"/>
            <w:bookmarkStart w:id="26" w:name="_Toc20311581"/>
            <w:bookmarkStart w:id="27" w:name="_Toc26719406"/>
            <w:bookmarkStart w:id="28" w:name="_Toc29894839"/>
            <w:bookmarkStart w:id="29" w:name="_Toc29899138"/>
            <w:bookmarkStart w:id="30" w:name="_Toc29899556"/>
            <w:bookmarkStart w:id="31" w:name="_Toc29917293"/>
            <w:bookmarkStart w:id="32"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4"/>
            <w:bookmarkEnd w:id="25"/>
            <w:bookmarkEnd w:id="26"/>
            <w:bookmarkEnd w:id="27"/>
            <w:bookmarkEnd w:id="28"/>
            <w:bookmarkEnd w:id="29"/>
            <w:bookmarkEnd w:id="30"/>
            <w:bookmarkEnd w:id="31"/>
            <w:bookmarkEnd w:id="32"/>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6A6AF2"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6A6AF2"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lastRenderedPageBreak/>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3" w:name="_Hlk508697304"/>
            <w:r w:rsidRPr="003A00B6">
              <w:rPr>
                <w:i/>
              </w:rPr>
              <w:t>dl-DataToUL-ACK</w:t>
            </w:r>
            <w:bookmarkEnd w:id="33"/>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lastRenderedPageBreak/>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lastRenderedPageBreak/>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6A6AF2"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66"/>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w:t>
      </w:r>
      <w:r w:rsidRPr="00BC58DE">
        <w:rPr>
          <w:b/>
        </w:rPr>
        <w:lastRenderedPageBreak/>
        <w:t>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w:t>
      </w:r>
      <w:r w:rsidR="004C72B5">
        <w:rPr>
          <w:rFonts w:eastAsia="Malgun Gothic"/>
        </w:rPr>
        <w:lastRenderedPageBreak/>
        <w:t xml:space="preserve">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w:t>
            </w:r>
            <w:r>
              <w:rPr>
                <w:rFonts w:ascii="Gulim" w:eastAsia="Gulim" w:hAnsi="Gulim" w:hint="eastAsia"/>
                <w:kern w:val="2"/>
                <w:sz w:val="20"/>
                <w:szCs w:val="20"/>
              </w:rPr>
              <w:lastRenderedPageBreak/>
              <w:t xml:space="preserve">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53AAA5A4" w:rsidR="00503172" w:rsidRDefault="00BB55C9">
            <w:pPr>
              <w:pStyle w:val="xmsonormal"/>
              <w:spacing w:line="240" w:lineRule="atLeast"/>
              <w:jc w:val="both"/>
              <w:rPr>
                <w:rFonts w:ascii="Times New Roman" w:eastAsia="Gulim" w:hAnsi="Times New Roman" w:cs="Times New Roman"/>
                <w:kern w:val="2"/>
                <w:sz w:val="20"/>
                <w:szCs w:val="20"/>
              </w:rPr>
            </w:pPr>
            <w:r>
              <w:rPr>
                <w:noProof/>
                <w:kern w:val="2"/>
                <w:lang w:eastAsia="zh-CN"/>
              </w:rPr>
              <w:pict w14:anchorId="7A3903C3">
                <v:shape id="_x0000_i1026" type="#_x0000_t75" style="width:281.25pt;height:88.5pt;visibility:visible;mso-wrap-style:square">
                  <v:imagedata r:id="rId61" o:title=""/>
                </v:shape>
              </w:pict>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lastRenderedPageBreak/>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lastRenderedPageBreak/>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165A70">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Gulim" w:hAnsi="Times New Roman" w:cs="Times New Roman"/>
                <w:sz w:val="20"/>
                <w:szCs w:val="20"/>
                <w:vertAlign w:val="subscript"/>
              </w:rPr>
              <w:t>A,C</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8518"/>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lastRenderedPageBreak/>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165A70">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165A70">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DE222" w14:textId="77777777" w:rsidR="006A6AF2" w:rsidRDefault="006A6AF2" w:rsidP="00EB01D8">
      <w:pPr>
        <w:spacing w:line="240" w:lineRule="auto"/>
      </w:pPr>
      <w:r>
        <w:separator/>
      </w:r>
    </w:p>
  </w:endnote>
  <w:endnote w:type="continuationSeparator" w:id="0">
    <w:p w14:paraId="3EB43A06" w14:textId="77777777" w:rsidR="006A6AF2" w:rsidRDefault="006A6AF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DD2B2" w14:textId="77777777" w:rsidR="006A6AF2" w:rsidRDefault="006A6AF2" w:rsidP="00EB01D8">
      <w:pPr>
        <w:spacing w:line="240" w:lineRule="auto"/>
      </w:pPr>
      <w:r>
        <w:separator/>
      </w:r>
    </w:p>
  </w:footnote>
  <w:footnote w:type="continuationSeparator" w:id="0">
    <w:p w14:paraId="2CA78083" w14:textId="77777777" w:rsidR="006A6AF2" w:rsidRDefault="006A6AF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A44B87"/>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批注框文本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6544</Words>
  <Characters>37303</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ZTE</cp:lastModifiedBy>
  <cp:revision>2</cp:revision>
  <dcterms:created xsi:type="dcterms:W3CDTF">2020-05-28T08:32:00Z</dcterms:created>
  <dcterms:modified xsi:type="dcterms:W3CDTF">2020-05-28T08:32:00Z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