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lastRenderedPageBreak/>
        <w:t>&lt;Nokia, [4]&gt;</w:t>
      </w:r>
    </w:p>
    <w:p w14:paraId="7623E5F6" w14:textId="77777777" w:rsidR="00A44B87" w:rsidRPr="00A775C3" w:rsidRDefault="00A44B87" w:rsidP="00A44B87">
      <w:pPr>
        <w:rPr>
          <w:b/>
          <w:bCs/>
          <w:lang w:eastAsia="zh-CN"/>
        </w:rPr>
      </w:pPr>
      <w:r w:rsidRPr="00A775C3">
        <w:rPr>
          <w:b/>
          <w:bCs/>
        </w:rPr>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854"/>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152189"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lastRenderedPageBreak/>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BodyText"/>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Heading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w:t>
      </w:r>
      <w:r>
        <w:lastRenderedPageBreak/>
        <w:t xml:space="preserve">One is to modify current pseudo code for multiple SPS PDSCH occasion. The other is to use pseudo code for multiple 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lastRenderedPageBreak/>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854"/>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152189"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lastRenderedPageBreak/>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BodyText"/>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3"/>
        <w:gridCol w:w="1017"/>
        <w:gridCol w:w="7394"/>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Gulim" w:hAnsi="Gulim"/>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ListParagraph"/>
              <w:widowControl/>
              <w:numPr>
                <w:ilvl w:val="0"/>
                <w:numId w:val="38"/>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ListParagraph"/>
              <w:widowControl/>
              <w:numPr>
                <w:ilvl w:val="0"/>
                <w:numId w:val="38"/>
              </w:numPr>
              <w:autoSpaceDE/>
              <w:spacing w:line="240" w:lineRule="auto"/>
              <w:ind w:leftChars="0" w:right="147"/>
              <w:jc w:val="left"/>
              <w:rPr>
                <w:rFonts w:cs="Times New Roman"/>
                <w:szCs w:val="20"/>
                <w:lang w:eastAsia="zh-CN"/>
              </w:rPr>
            </w:pPr>
            <w:r>
              <w:rPr>
                <w:rFonts w:eastAsia="Batang"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Gulim"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Gulim" w:hAnsi="Times New Roman" w:cs="Times New Roman"/>
                <w:sz w:val="20"/>
                <w:szCs w:val="20"/>
              </w:rPr>
              <w:t>TP#3</w:t>
            </w:r>
            <w:r>
              <w:rPr>
                <w:rFonts w:ascii="Times New Roman" w:eastAsia="Gulim"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r w:rsidRPr="0037262F">
              <w:rPr>
                <w:rFonts w:ascii="Times New Roman" w:eastAsia="Gulim" w:hAnsi="Times New Roman" w:cs="Times New Roman"/>
                <w:b/>
                <w:bCs/>
                <w:sz w:val="20"/>
                <w:szCs w:val="20"/>
              </w:rPr>
              <w:t>TP#1 does not keep Rel-15 compatibility</w:t>
            </w:r>
            <w:r w:rsidRPr="00046B41">
              <w:rPr>
                <w:rFonts w:ascii="Times New Roman" w:eastAsia="Gulim"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Gulim" w:hAnsi="Times New Roman" w:cs="Times New Roman"/>
                <w:color w:val="000000" w:themeColor="text1"/>
                <w:sz w:val="20"/>
                <w:szCs w:val="20"/>
              </w:rPr>
            </w:pPr>
            <w:r w:rsidRPr="00046B41">
              <w:rPr>
                <w:rFonts w:ascii="Times New Roman" w:eastAsia="Gulim" w:hAnsi="Times New Roman" w:cs="Times New Roman"/>
                <w:sz w:val="20"/>
                <w:szCs w:val="20"/>
              </w:rPr>
              <w:t xml:space="preserve">For TP#2, </w:t>
            </w:r>
            <w:r>
              <w:rPr>
                <w:rFonts w:ascii="Times New Roman" w:eastAsia="Gulim" w:hAnsi="Times New Roman" w:cs="Times New Roman"/>
                <w:sz w:val="20"/>
                <w:szCs w:val="20"/>
              </w:rPr>
              <w:t>“</w:t>
            </w:r>
            <w:r w:rsidRPr="00046B41">
              <w:rPr>
                <w:rFonts w:ascii="Times New Roman" w:eastAsia="Gulim" w:hAnsi="Times New Roman" w:cs="Times New Roman"/>
                <w:color w:val="FF0000"/>
                <w:sz w:val="20"/>
                <w:szCs w:val="20"/>
                <w:u w:val="single"/>
              </w:rPr>
              <w:t>or there is more than one DL slot for SPS PDSCH receptions on a serving cell</w:t>
            </w:r>
            <w:r w:rsidRPr="00046B41">
              <w:rPr>
                <w:rFonts w:ascii="Times New Roman" w:eastAsia="Gulim" w:hAnsi="Times New Roman" w:cs="Times New Roman"/>
                <w:color w:val="000000" w:themeColor="text1"/>
                <w:sz w:val="20"/>
                <w:szCs w:val="20"/>
              </w:rPr>
              <w:t>”</w:t>
            </w:r>
            <w:r>
              <w:rPr>
                <w:rFonts w:ascii="Times New Roman" w:eastAsia="Gulim"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Gulim" w:hAnsi="Times New Roman" w:cs="Times New Roman"/>
                <w:sz w:val="20"/>
                <w:szCs w:val="20"/>
              </w:rPr>
            </w:pPr>
            <w:r>
              <w:rPr>
                <w:rFonts w:ascii="Times New Roman" w:eastAsia="Gulim"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Gulim" w:hAnsi="Times New Roman" w:cs="Times New Roman"/>
                <w:sz w:val="20"/>
                <w:szCs w:val="20"/>
              </w:rPr>
            </w:pPr>
            <w:r w:rsidRPr="006809C6">
              <w:rPr>
                <w:rFonts w:ascii="Times New Roman" w:eastAsia="Gulim" w:hAnsi="Times New Roman" w:cs="Times New Roman"/>
                <w:sz w:val="20"/>
                <w:szCs w:val="20"/>
              </w:rPr>
              <w:t xml:space="preserve">We </w:t>
            </w:r>
            <w:r>
              <w:rPr>
                <w:rFonts w:ascii="Times New Roman" w:eastAsia="Gulim" w:hAnsi="Times New Roman" w:cs="Times New Roman"/>
                <w:sz w:val="20"/>
                <w:szCs w:val="20"/>
              </w:rPr>
              <w:t>prefer to maintain the pseudo code to clearly define the HARQ-ACK bit order.</w:t>
            </w: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lastRenderedPageBreak/>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r w:rsidRPr="004E082B">
        <w:rPr>
          <w:rFonts w:eastAsia="Malgun Gothic"/>
          <w:i/>
        </w:rPr>
        <w:t>pdsch-AggregationFactor</w:t>
      </w:r>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r w:rsidRPr="004E082B">
        <w:rPr>
          <w:rFonts w:eastAsia="Malgun Gothic"/>
          <w:i/>
        </w:rPr>
        <w:t>pdsch-AggregationFactor</w:t>
      </w:r>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6.85pt" o:ole="">
            <v:imagedata r:id="rId21" o:title=""/>
          </v:shape>
          <o:OLEObject Type="Embed" ProgID="Equation.3" ShapeID="_x0000_i1025" DrawAspect="Content" ObjectID="_1652136678"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w:t>
            </w:r>
            <w:r w:rsidRPr="00A775C3">
              <w:lastRenderedPageBreak/>
              <w:t xml:space="preserve">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lang w:eastAsia="zh-CN"/>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lastRenderedPageBreak/>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152189"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152189"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w:t>
            </w:r>
            <w:r w:rsidRPr="003A00B6">
              <w:lastRenderedPageBreak/>
              <w:t>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w:t>
            </w:r>
            <w:r w:rsidRPr="003A00B6">
              <w:rPr>
                <w:lang w:val="en-US"/>
              </w:rPr>
              <w:lastRenderedPageBreak/>
              <w:t xml:space="preserve">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152189"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66"/>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 xml:space="preserve">When constructing HARQ-ACK codebook, pdsch-AggregationFactor is the maximum value among the values of pdsch-AggregationFactor from PDSCH-config and SPS-config which SPS PDSCH reception </w:t>
      </w:r>
      <w:r w:rsidRPr="00BC58DE">
        <w:rPr>
          <w:b/>
        </w:rPr>
        <w:lastRenderedPageBreak/>
        <w:t>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460A73">
      <w:pPr>
        <w:pStyle w:val="Heading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 xml:space="preserve">preference between actual and configured </w:t>
      </w:r>
      <w:r>
        <w:rPr>
          <w:rFonts w:eastAsia="Batang" w:cs="Times New Roman"/>
          <w:kern w:val="0"/>
          <w:szCs w:val="20"/>
          <w:lang w:val="en-GB"/>
        </w:rPr>
        <w:lastRenderedPageBreak/>
        <w:t>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t>v</w:t>
            </w:r>
            <w:r w:rsidRPr="00131B28">
              <w:rPr>
                <w:rFonts w:ascii="Times New Roman" w:eastAsia="Batang"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Gulim" w:hAnsi="Times New Roman" w:cs="Times New Roman"/>
                <w:kern w:val="2"/>
                <w:sz w:val="20"/>
                <w:szCs w:val="20"/>
              </w:rPr>
            </w:pPr>
            <w:r>
              <w:rPr>
                <w:rFonts w:ascii="Times New Roman" w:eastAsia="Gulim"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Gulim"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Gulim"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53AAA5A4" w:rsidR="00503172" w:rsidRDefault="006809C6">
            <w:pPr>
              <w:pStyle w:val="xmsonormal"/>
              <w:spacing w:line="240" w:lineRule="atLeast"/>
              <w:jc w:val="both"/>
              <w:rPr>
                <w:rFonts w:ascii="Times New Roman" w:eastAsia="Gulim" w:hAnsi="Times New Roman" w:cs="Times New Roman"/>
                <w:kern w:val="2"/>
                <w:sz w:val="20"/>
                <w:szCs w:val="20"/>
              </w:rPr>
            </w:pPr>
            <w:r>
              <w:rPr>
                <w:noProof/>
                <w:kern w:val="2"/>
                <w:lang w:eastAsia="zh-CN"/>
              </w:rPr>
              <w:pict w14:anchorId="7A3903C3">
                <v:shape id="_x0000_i1030" type="#_x0000_t75" style="width:281.15pt;height:88.4pt;visibility:visible;mso-wrap-style:square">
                  <v:imagedata r:id="rId61" o:title=""/>
                </v:shape>
              </w:pict>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Gulim" w:hAnsi="Gulim"/>
                <w:sz w:val="20"/>
                <w:szCs w:val="20"/>
                <w:lang w:eastAsia="zh-CN"/>
              </w:rPr>
            </w:pPr>
            <w:r>
              <w:rPr>
                <w:rFonts w:ascii="Times New Roman" w:eastAsia="Gulim"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Gulim" w:hAnsi="Gulim"/>
                <w:sz w:val="20"/>
                <w:szCs w:val="20"/>
                <w:lang w:eastAsia="zh-CN"/>
              </w:rPr>
            </w:pPr>
            <w:r>
              <w:rPr>
                <w:rFonts w:ascii="Times New Roman" w:eastAsia="Gulim"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Gulim"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Gulim" w:hAnsi="Times New Roman" w:cs="Times New Roman"/>
                <w:kern w:val="2"/>
                <w:sz w:val="20"/>
                <w:szCs w:val="20"/>
              </w:rPr>
            </w:pPr>
            <w:r>
              <w:rPr>
                <w:rFonts w:ascii="Gulim" w:eastAsia="Gulim" w:hAnsi="Gulim" w:hint="eastAsia"/>
                <w:kern w:val="2"/>
                <w:sz w:val="20"/>
                <w:szCs w:val="20"/>
              </w:rPr>
              <w:lastRenderedPageBreak/>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Gulim" w:hAnsi="Times New Roman" w:cs="Times New Roman"/>
                <w:kern w:val="2"/>
                <w:sz w:val="20"/>
                <w:szCs w:val="20"/>
              </w:rPr>
            </w:pPr>
            <w:r>
              <w:rPr>
                <w:rFonts w:ascii="Gulim" w:eastAsia="Gulim" w:hAnsi="Gulim"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respect to the comment from Vivo, it is problematic to operate with </w:t>
            </w:r>
            <m:oMath>
              <m:sSubSup>
                <m:sSubSupPr>
                  <m:ctrlPr>
                    <w:rPr>
                      <w:rFonts w:ascii="Cambria Math" w:eastAsia="Gulim" w:hAnsi="Cambria Math" w:cs="Times New Roman"/>
                      <w:kern w:val="2"/>
                    </w:rPr>
                  </m:ctrlPr>
                </m:sSubSupPr>
                <m:e>
                  <m:r>
                    <w:rPr>
                      <w:rFonts w:ascii="Cambria Math" w:eastAsia="Gulim" w:hAnsi="Cambria Math" w:cs="Times New Roman"/>
                      <w:kern w:val="2"/>
                      <w:sz w:val="20"/>
                      <w:szCs w:val="20"/>
                    </w:rPr>
                    <m:t>N</m:t>
                  </m:r>
                </m:e>
                <m:sub>
                  <m:r>
                    <m:rPr>
                      <m:sty m:val="p"/>
                    </m:rPr>
                    <w:rPr>
                      <w:rFonts w:ascii="Cambria Math" w:eastAsia="Gulim" w:hAnsi="Cambria Math" w:cs="Times New Roman"/>
                      <w:kern w:val="2"/>
                      <w:sz w:val="20"/>
                      <w:szCs w:val="20"/>
                    </w:rPr>
                    <m:t>PDSCH</m:t>
                  </m:r>
                </m:sub>
                <m:sup>
                  <m:r>
                    <m:rPr>
                      <m:sty m:val="p"/>
                    </m:rPr>
                    <w:rPr>
                      <w:rFonts w:ascii="Cambria Math" w:eastAsia="Gulim" w:hAnsi="Cambria Math" w:cs="Times New Roman"/>
                      <w:kern w:val="2"/>
                      <w:sz w:val="20"/>
                      <w:szCs w:val="20"/>
                    </w:rPr>
                    <m:t>repeat</m:t>
                  </m:r>
                </m:sup>
              </m:sSubSup>
              <m:r>
                <w:rPr>
                  <w:rFonts w:ascii="Cambria Math" w:eastAsia="Gulim" w:hAnsi="Cambria Math" w:cs="Times New Roman"/>
                  <w:kern w:val="2"/>
                  <w:sz w:val="20"/>
                  <w:szCs w:val="20"/>
                </w:rPr>
                <m:t>=1</m:t>
              </m:r>
            </m:oMath>
            <w:r>
              <w:rPr>
                <w:rFonts w:ascii="Times New Roman" w:eastAsia="Gulim"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165A70">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Gulim" w:hAnsi="Times New Roman" w:cs="Times New Roman"/>
                <w:sz w:val="20"/>
                <w:szCs w:val="20"/>
                <w:vertAlign w:val="subscript"/>
              </w:rPr>
              <w:t>A,C</w:t>
            </w: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Gulim" w:hAnsi="Gulim"/>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Gulim" w:hAnsi="Gulim"/>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w:t>
            </w:r>
            <w:r>
              <w:rPr>
                <w:rFonts w:ascii="Times New Roman" w:hAnsi="Times New Roman" w:cs="Times New Roman"/>
                <w:kern w:val="2"/>
                <w:sz w:val="20"/>
                <w:szCs w:val="20"/>
                <w:lang w:eastAsia="zh-CN"/>
              </w:rPr>
              <w:lastRenderedPageBreak/>
              <w:t>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lastRenderedPageBreak/>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Gulim" w:hAnsi="Times New Roman" w:cs="Times New Roman"/>
                <w:sz w:val="20"/>
                <w:szCs w:val="20"/>
              </w:rPr>
            </w:pPr>
            <w:r w:rsidRPr="0077564A">
              <w:rPr>
                <w:rFonts w:ascii="Times New Roman" w:eastAsia="Gulim"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Gulim"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Gulim"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Gulim" w:hAnsi="Times New Roman" w:cs="Times New Roman"/>
                <w:sz w:val="20"/>
                <w:szCs w:val="20"/>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165A70">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165A70">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bookmarkStart w:id="33" w:name="_GoBack"/>
            <w:bookmarkEnd w:id="33"/>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Heading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27A0" w14:textId="77777777" w:rsidR="00064329" w:rsidRDefault="00064329" w:rsidP="00EB01D8">
      <w:pPr>
        <w:spacing w:line="240" w:lineRule="auto"/>
      </w:pPr>
      <w:r>
        <w:separator/>
      </w:r>
    </w:p>
  </w:endnote>
  <w:endnote w:type="continuationSeparator" w:id="0">
    <w:p w14:paraId="418BDE22" w14:textId="77777777" w:rsidR="00064329" w:rsidRDefault="0006432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4FEA" w14:textId="77777777" w:rsidR="00064329" w:rsidRDefault="00064329" w:rsidP="00EB01D8">
      <w:pPr>
        <w:spacing w:line="240" w:lineRule="auto"/>
      </w:pPr>
      <w:r>
        <w:separator/>
      </w:r>
    </w:p>
  </w:footnote>
  <w:footnote w:type="continuationSeparator" w:id="0">
    <w:p w14:paraId="299BA905" w14:textId="77777777" w:rsidR="00064329" w:rsidRDefault="00064329"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205"/>
    <w:rsid w:val="009047CF"/>
    <w:rsid w:val="00913449"/>
    <w:rsid w:val="00916A47"/>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3A49"/>
    <w:rsid w:val="00B748D2"/>
    <w:rsid w:val="00B77988"/>
    <w:rsid w:val="00B869FD"/>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BalloonText">
    <w:name w:val="Balloon Text"/>
    <w:basedOn w:val="Normal"/>
    <w:link w:val="BalloonTextChar"/>
    <w:uiPriority w:val="99"/>
    <w:semiHidden/>
    <w:unhideWhenUsed/>
    <w:rsid w:val="000C7623"/>
    <w:pPr>
      <w:spacing w:line="240" w:lineRule="auto"/>
    </w:pPr>
    <w:rPr>
      <w:sz w:val="18"/>
      <w:szCs w:val="18"/>
    </w:rPr>
  </w:style>
  <w:style w:type="character" w:customStyle="1" w:styleId="BalloonTextChar">
    <w:name w:val="Balloon Text Char"/>
    <w:basedOn w:val="DefaultParagraphFont"/>
    <w:link w:val="BalloonText"/>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2.xml><?xml version="1.0" encoding="utf-8"?>
<ds:datastoreItem xmlns:ds="http://schemas.openxmlformats.org/officeDocument/2006/customXml" ds:itemID="{6722CDBC-D1BC-4818-A517-9BD6079816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6475</Words>
  <Characters>36911</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Yufei Blankenship</cp:lastModifiedBy>
  <cp:revision>8</cp:revision>
  <dcterms:created xsi:type="dcterms:W3CDTF">2020-05-27T11:03:00Z</dcterms:created>
  <dcterms:modified xsi:type="dcterms:W3CDTF">2020-05-28T06:54:00Z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