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Heading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Heading1"/>
      </w:pPr>
      <w:r>
        <w:t xml:space="preserve">Email discussions </w:t>
      </w:r>
    </w:p>
    <w:p w14:paraId="1D5427D9" w14:textId="77777777" w:rsidR="00A44B87" w:rsidRDefault="00A44B87" w:rsidP="00A44B87">
      <w:pPr>
        <w:pStyle w:val="Heading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TableGrid"/>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TableGrid"/>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Caption"/>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Heading2"/>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7EAA1BAA" w14:textId="77777777" w:rsidR="00A44B87" w:rsidRPr="00A775C3" w:rsidRDefault="00A44B87" w:rsidP="00A44B87">
            <w:pPr>
              <w:pStyle w:val="Heading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ED2513"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BodyText"/>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TableGrid"/>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BodyText"/>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BodyText"/>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Heading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TableGrid"/>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TableGrid"/>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lastRenderedPageBreak/>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Heading2"/>
              <w:keepNext w:val="0"/>
              <w:tabs>
                <w:tab w:val="left" w:pos="8352"/>
              </w:tabs>
              <w:rPr>
                <w:rStyle w:val="Strong"/>
                <w:rFonts w:ascii="Times New Roman" w:hAnsi="Times New Roman"/>
                <w:color w:val="0070C0"/>
                <w:sz w:val="22"/>
              </w:rPr>
            </w:pPr>
            <w:r w:rsidRPr="00A775C3">
              <w:rPr>
                <w:rStyle w:val="Strong"/>
                <w:rFonts w:ascii="Times New Roman" w:hAnsi="Times New Roman"/>
                <w:color w:val="0070C0"/>
                <w:szCs w:val="12"/>
              </w:rPr>
              <w:t>Text proposal to Section 9.1.3.1 in TS 38.213:</w:t>
            </w:r>
          </w:p>
          <w:p w14:paraId="2CBF373A" w14:textId="77777777" w:rsidR="000913A5" w:rsidRPr="00A775C3" w:rsidRDefault="000913A5" w:rsidP="00913449">
            <w:pPr>
              <w:pStyle w:val="Heading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ED2513"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Strong"/>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TableGrid"/>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BodyText"/>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BodyText"/>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bookmarkStart w:id="14" w:name="_GoBack" w:colFirst="0" w:colLast="2"/>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bookmarkEnd w:id="14"/>
      <w:tr w:rsidR="000913A5"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48C49091" w14:textId="77777777" w:rsidR="000913A5" w:rsidRPr="00475E1E" w:rsidRDefault="000913A5" w:rsidP="000A35E7">
            <w:pPr>
              <w:pStyle w:val="xmsonormal"/>
              <w:spacing w:line="240" w:lineRule="atLeast"/>
              <w:jc w:val="both"/>
              <w:rPr>
                <w:rFonts w:ascii="Gulim" w:eastAsia="Gulim" w:hAnsi="Gulim"/>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77777777" w:rsidR="000913A5" w:rsidRPr="00475E1E" w:rsidRDefault="000913A5" w:rsidP="000A35E7">
            <w:pPr>
              <w:pStyle w:val="xmsonormal"/>
              <w:spacing w:line="240" w:lineRule="atLeast"/>
              <w:jc w:val="both"/>
              <w:rPr>
                <w:rFonts w:ascii="Gulim" w:eastAsia="Gulim" w:hAnsi="Gulim"/>
                <w:sz w:val="20"/>
                <w:szCs w:val="20"/>
              </w:rPr>
            </w:pP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77777777" w:rsidR="000913A5" w:rsidRPr="00475E1E" w:rsidRDefault="000913A5" w:rsidP="000A35E7">
            <w:pPr>
              <w:pStyle w:val="xmsonormal"/>
              <w:spacing w:line="240" w:lineRule="atLeast"/>
              <w:jc w:val="both"/>
              <w:rPr>
                <w:rFonts w:ascii="Gulim" w:eastAsia="Gulim" w:hAnsi="Gulim"/>
                <w:sz w:val="20"/>
                <w:szCs w:val="20"/>
              </w:rPr>
            </w:pPr>
          </w:p>
        </w:tc>
        <w:tc>
          <w:tcPr>
            <w:tcW w:w="516" w:type="pct"/>
            <w:tcBorders>
              <w:top w:val="single" w:sz="8" w:space="0" w:color="auto"/>
              <w:left w:val="nil"/>
              <w:bottom w:val="single" w:sz="8" w:space="0" w:color="auto"/>
              <w:right w:val="single" w:sz="4" w:space="0" w:color="auto"/>
            </w:tcBorders>
          </w:tcPr>
          <w:p w14:paraId="45923EC0" w14:textId="77777777" w:rsidR="000913A5" w:rsidRPr="00475E1E" w:rsidRDefault="000913A5" w:rsidP="000A35E7">
            <w:pPr>
              <w:pStyle w:val="xa"/>
              <w:spacing w:after="120"/>
              <w:ind w:left="840" w:hanging="420"/>
              <w:jc w:val="both"/>
              <w:rPr>
                <w:rFonts w:ascii="MS Mincho" w:eastAsia="MS Mincho"/>
                <w:sz w:val="20"/>
                <w:szCs w:val="20"/>
              </w:rPr>
            </w:pP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77777777" w:rsidR="000913A5" w:rsidRPr="00475E1E" w:rsidRDefault="000913A5" w:rsidP="000A35E7">
            <w:pPr>
              <w:pStyle w:val="xa"/>
              <w:spacing w:after="120"/>
              <w:ind w:left="840" w:hanging="420"/>
              <w:jc w:val="both"/>
              <w:rPr>
                <w:rFonts w:ascii="MS Mincho" w:eastAsia="MS Mincho"/>
                <w:sz w:val="20"/>
                <w:szCs w:val="20"/>
              </w:rPr>
            </w:pP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Heading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ListParagraph"/>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ListParagraph"/>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7pt" o:ole="">
            <v:imagedata r:id="rId21" o:title=""/>
          </v:shape>
          <o:OLEObject Type="Embed" ProgID="Equation.3" ShapeID="_x0000_i1025" DrawAspect="Content" ObjectID="_1652081386"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TableGrid"/>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lastRenderedPageBreak/>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ListParagraph"/>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ListParagraph"/>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TableGrid"/>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5"/>
            <w:bookmarkEnd w:id="16"/>
            <w:bookmarkEnd w:id="17"/>
            <w:bookmarkEnd w:id="18"/>
            <w:bookmarkEnd w:id="19"/>
            <w:bookmarkEnd w:id="20"/>
            <w:bookmarkEnd w:id="21"/>
            <w:bookmarkEnd w:id="22"/>
            <w:bookmarkEnd w:id="23"/>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TableGrid"/>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4" w:name="_Ref497329097"/>
            <w:bookmarkStart w:id="25" w:name="_Toc12021469"/>
            <w:bookmarkStart w:id="26" w:name="_Toc20311581"/>
            <w:bookmarkStart w:id="27" w:name="_Toc26719406"/>
            <w:bookmarkStart w:id="28" w:name="_Toc29894839"/>
            <w:bookmarkStart w:id="29" w:name="_Toc29899138"/>
            <w:bookmarkStart w:id="30" w:name="_Toc29899556"/>
            <w:bookmarkStart w:id="31" w:name="_Toc29917293"/>
            <w:bookmarkStart w:id="32"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4"/>
            <w:bookmarkEnd w:id="25"/>
            <w:bookmarkEnd w:id="26"/>
            <w:bookmarkEnd w:id="27"/>
            <w:bookmarkEnd w:id="28"/>
            <w:bookmarkEnd w:id="29"/>
            <w:bookmarkEnd w:id="30"/>
            <w:bookmarkEnd w:id="31"/>
            <w:bookmarkEnd w:id="32"/>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ED2513"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lastRenderedPageBreak/>
              <w:t>end if</w:t>
            </w:r>
          </w:p>
          <w:p w14:paraId="39608A25" w14:textId="77777777" w:rsidR="00A44B87" w:rsidRDefault="00ED2513"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TableGrid"/>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Heading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3" w:name="_Hlk508697304"/>
            <w:r w:rsidRPr="003A00B6">
              <w:rPr>
                <w:i/>
              </w:rPr>
              <w:t>dl-DataToUL-ACK</w:t>
            </w:r>
            <w:bookmarkEnd w:id="33"/>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lastRenderedPageBreak/>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ED2513"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TableGrid"/>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Heading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ListParagraph"/>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Heading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ListParagraph"/>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ListParagraph"/>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ListParagraph"/>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ListParagraph"/>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3E0B0C"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FD16CD0"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77777777" w:rsidR="003E0B0C" w:rsidRPr="00475E1E" w:rsidRDefault="003E0B0C" w:rsidP="000A35E7">
            <w:pPr>
              <w:pStyle w:val="xa"/>
              <w:spacing w:after="120"/>
              <w:ind w:left="840" w:hanging="420"/>
              <w:jc w:val="both"/>
              <w:rPr>
                <w:rFonts w:ascii="MS Mincho" w:eastAsia="MS Mincho"/>
                <w:sz w:val="20"/>
                <w:szCs w:val="20"/>
              </w:rPr>
            </w:pP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3E0B0C"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77777777" w:rsidR="003E0B0C" w:rsidRPr="00475E1E" w:rsidRDefault="003E0B0C" w:rsidP="000A35E7">
            <w:pPr>
              <w:pStyle w:val="xa"/>
              <w:spacing w:after="120"/>
              <w:ind w:left="840" w:hanging="420"/>
              <w:jc w:val="both"/>
              <w:rPr>
                <w:rFonts w:ascii="MS Mincho" w:eastAsia="MS Mincho"/>
                <w:sz w:val="20"/>
                <w:szCs w:val="20"/>
              </w:rPr>
            </w:pP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ListParagraph"/>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ListParagraph"/>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3E0B0C"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7777777" w:rsidR="003E0B0C" w:rsidRPr="00475E1E" w:rsidRDefault="003E0B0C" w:rsidP="000A35E7">
            <w:pPr>
              <w:pStyle w:val="xmsonormal"/>
              <w:spacing w:line="240" w:lineRule="atLeast"/>
              <w:jc w:val="both"/>
              <w:rPr>
                <w:rFonts w:ascii="Gulim" w:eastAsia="Gulim" w:hAnsi="Gulim"/>
                <w:sz w:val="20"/>
                <w:szCs w:val="20"/>
              </w:rPr>
            </w:pPr>
          </w:p>
        </w:tc>
      </w:tr>
      <w:tr w:rsidR="003E0B0C"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77777777" w:rsidR="003E0B0C" w:rsidRPr="00475E1E" w:rsidRDefault="003E0B0C" w:rsidP="000A35E7">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77777777" w:rsidR="003E0B0C" w:rsidRPr="00475E1E" w:rsidRDefault="003E0B0C" w:rsidP="000A35E7">
            <w:pPr>
              <w:pStyle w:val="xa"/>
              <w:spacing w:after="120"/>
              <w:ind w:left="840" w:hanging="420"/>
              <w:jc w:val="both"/>
              <w:rPr>
                <w:rFonts w:ascii="MS Mincho" w:eastAsia="MS Mincho"/>
                <w:sz w:val="20"/>
                <w:szCs w:val="20"/>
              </w:rPr>
            </w:pP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Heading1"/>
      </w:pPr>
      <w:r>
        <w:lastRenderedPageBreak/>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Heading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927F" w14:textId="77777777" w:rsidR="00ED2513" w:rsidRDefault="00ED2513" w:rsidP="00EB01D8">
      <w:pPr>
        <w:spacing w:line="240" w:lineRule="auto"/>
      </w:pPr>
      <w:r>
        <w:separator/>
      </w:r>
    </w:p>
  </w:endnote>
  <w:endnote w:type="continuationSeparator" w:id="0">
    <w:p w14:paraId="53113C97" w14:textId="77777777" w:rsidR="00ED2513" w:rsidRDefault="00ED251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8A7A" w14:textId="77777777" w:rsidR="00ED2513" w:rsidRDefault="00ED2513" w:rsidP="00EB01D8">
      <w:pPr>
        <w:spacing w:line="240" w:lineRule="auto"/>
      </w:pPr>
      <w:r>
        <w:separator/>
      </w:r>
    </w:p>
  </w:footnote>
  <w:footnote w:type="continuationSeparator" w:id="0">
    <w:p w14:paraId="473FBB60" w14:textId="77777777" w:rsidR="00ED2513" w:rsidRDefault="00ED2513"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E2AF6"/>
    <w:rsid w:val="000F1550"/>
    <w:rsid w:val="000F29AE"/>
    <w:rsid w:val="000F7196"/>
    <w:rsid w:val="001022FF"/>
    <w:rsid w:val="0010702C"/>
    <w:rsid w:val="001118AC"/>
    <w:rsid w:val="0011237C"/>
    <w:rsid w:val="001171EE"/>
    <w:rsid w:val="001205A7"/>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8CE"/>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A44B87"/>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A44B87"/>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Strong">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5176</Words>
  <Characters>29505</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sa zhang/Communication Standard Research Lab /SRC-Beijing/Staff Engineer/Samsung Electronics</cp:lastModifiedBy>
  <cp:revision>6</cp:revision>
  <dcterms:created xsi:type="dcterms:W3CDTF">2020-05-26T01:57:00Z</dcterms:created>
  <dcterms:modified xsi:type="dcterms:W3CDTF">2020-05-27T02:11:00Z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