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142B9" w14:textId="77777777" w:rsidR="00B72BB3" w:rsidRDefault="005E6101">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Heading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Heading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TableGrid"/>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ListParagraph"/>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p>
        </w:tc>
      </w:tr>
      <w:tr w:rsidR="00B72BB3" w14:paraId="64860C22" w14:textId="77777777">
        <w:tc>
          <w:tcPr>
            <w:tcW w:w="2875" w:type="dxa"/>
          </w:tcPr>
          <w:p w14:paraId="523DB45F" w14:textId="0028229B" w:rsidR="00B72BB3" w:rsidRDefault="007A25FC">
            <w:pPr>
              <w:rPr>
                <w:lang w:eastAsia="zh-CN"/>
              </w:rPr>
            </w:pPr>
            <w:r>
              <w:rPr>
                <w:lang w:eastAsia="zh-CN"/>
              </w:rPr>
              <w:t>MediaTek</w:t>
            </w:r>
          </w:p>
        </w:tc>
        <w:tc>
          <w:tcPr>
            <w:tcW w:w="6432" w:type="dxa"/>
          </w:tcPr>
          <w:p w14:paraId="156DFB57" w14:textId="77777777" w:rsidR="00B76933" w:rsidRDefault="00491C0E">
            <w:pPr>
              <w:rPr>
                <w:lang w:eastAsia="zh-CN"/>
              </w:rPr>
            </w:pPr>
            <w:r>
              <w:rPr>
                <w:lang w:eastAsia="zh-CN"/>
              </w:rPr>
              <w:t xml:space="preserve">We support Alt 1. We share a similar view with Samsung that Alt 2 only benefits under very limited scenarios. </w:t>
            </w:r>
            <w:bookmarkStart w:id="2" w:name="_GoBack"/>
            <w:bookmarkEnd w:id="2"/>
          </w:p>
          <w:p w14:paraId="243D7389" w14:textId="12095D52" w:rsidR="00B72BB3" w:rsidRDefault="00491C0E">
            <w:pPr>
              <w:rPr>
                <w:lang w:eastAsia="zh-CN"/>
              </w:rPr>
            </w:pPr>
            <w:r>
              <w:rPr>
                <w:lang w:eastAsia="zh-CN"/>
              </w:rPr>
              <w:t>Instead of applying Alt 2 to optimize very limited PRACH configuration</w:t>
            </w:r>
            <w:r w:rsidR="00B76933">
              <w:rPr>
                <w:lang w:eastAsia="zh-CN"/>
              </w:rPr>
              <w:t>s</w:t>
            </w:r>
            <w:r>
              <w:rPr>
                <w:lang w:eastAsia="zh-CN"/>
              </w:rPr>
              <w:t xml:space="preserve">, we think applying a Cat-2 LBT for MsgA PUSCH when the MsgA PUSCH is within the same COT acquired by the UE for MsgA PRACH transmission would be a more general and better solution. </w:t>
            </w:r>
          </w:p>
        </w:tc>
      </w:tr>
      <w:tr w:rsidR="00B72BB3" w14:paraId="7FD2D998" w14:textId="77777777">
        <w:tc>
          <w:tcPr>
            <w:tcW w:w="2875" w:type="dxa"/>
          </w:tcPr>
          <w:p w14:paraId="058C6B7E" w14:textId="77777777" w:rsidR="00B72BB3" w:rsidRDefault="00B72BB3">
            <w:pPr>
              <w:rPr>
                <w:lang w:eastAsia="zh-CN"/>
              </w:rPr>
            </w:pPr>
          </w:p>
        </w:tc>
        <w:tc>
          <w:tcPr>
            <w:tcW w:w="6432" w:type="dxa"/>
          </w:tcPr>
          <w:p w14:paraId="77046CE7" w14:textId="77777777" w:rsidR="00B72BB3" w:rsidRDefault="00B72BB3">
            <w:pPr>
              <w:rPr>
                <w:lang w:eastAsia="zh-CN"/>
              </w:rPr>
            </w:pPr>
          </w:p>
        </w:tc>
      </w:tr>
      <w:tr w:rsidR="00B72BB3" w14:paraId="342D64A8" w14:textId="77777777">
        <w:tc>
          <w:tcPr>
            <w:tcW w:w="2875" w:type="dxa"/>
          </w:tcPr>
          <w:p w14:paraId="56F289D6" w14:textId="77777777" w:rsidR="00B72BB3" w:rsidRDefault="00B72BB3">
            <w:pPr>
              <w:rPr>
                <w:lang w:eastAsia="zh-CN"/>
              </w:rPr>
            </w:pPr>
          </w:p>
        </w:tc>
        <w:tc>
          <w:tcPr>
            <w:tcW w:w="6432" w:type="dxa"/>
          </w:tcPr>
          <w:p w14:paraId="319ECD0E" w14:textId="77777777" w:rsidR="00B72BB3" w:rsidRDefault="00B72BB3">
            <w:pPr>
              <w:rPr>
                <w:lang w:eastAsia="zh-CN"/>
              </w:rPr>
            </w:pPr>
          </w:p>
        </w:tc>
      </w:tr>
      <w:tr w:rsidR="00B72BB3" w14:paraId="27CE1B90" w14:textId="77777777">
        <w:tc>
          <w:tcPr>
            <w:tcW w:w="2875" w:type="dxa"/>
          </w:tcPr>
          <w:p w14:paraId="4C7B6150" w14:textId="77777777" w:rsidR="00B72BB3" w:rsidRDefault="00B72BB3">
            <w:pPr>
              <w:rPr>
                <w:lang w:eastAsia="zh-CN"/>
              </w:rPr>
            </w:pPr>
          </w:p>
        </w:tc>
        <w:tc>
          <w:tcPr>
            <w:tcW w:w="6432" w:type="dxa"/>
          </w:tcPr>
          <w:p w14:paraId="34512390" w14:textId="77777777" w:rsidR="00B72BB3" w:rsidRDefault="00B72BB3">
            <w:pPr>
              <w:rPr>
                <w:lang w:eastAsia="zh-CN"/>
              </w:rPr>
            </w:pPr>
          </w:p>
        </w:tc>
      </w:tr>
      <w:tr w:rsidR="00B72BB3" w14:paraId="77375368" w14:textId="77777777">
        <w:tc>
          <w:tcPr>
            <w:tcW w:w="2875" w:type="dxa"/>
          </w:tcPr>
          <w:p w14:paraId="29042B65" w14:textId="77777777" w:rsidR="00B72BB3" w:rsidRDefault="00B72BB3">
            <w:pPr>
              <w:rPr>
                <w:lang w:eastAsia="zh-CN"/>
              </w:rPr>
            </w:pPr>
          </w:p>
        </w:tc>
        <w:tc>
          <w:tcPr>
            <w:tcW w:w="6432" w:type="dxa"/>
          </w:tcPr>
          <w:p w14:paraId="2001917E" w14:textId="77777777" w:rsidR="00B72BB3" w:rsidRDefault="00B72BB3">
            <w:pPr>
              <w:rPr>
                <w:lang w:eastAsia="zh-CN"/>
              </w:rPr>
            </w:pP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Heading1"/>
        <w:numPr>
          <w:ilvl w:val="0"/>
          <w:numId w:val="0"/>
        </w:numPr>
        <w:spacing w:before="0" w:after="0"/>
        <w:ind w:left="432" w:hanging="432"/>
      </w:pPr>
      <w:r>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lastRenderedPageBreak/>
        <w:t>R1-2004001</w:t>
      </w:r>
      <w:r>
        <w:rPr>
          <w:sz w:val="22"/>
          <w:lang w:eastAsia="zh-CN"/>
        </w:rPr>
        <w:tab/>
        <w:t>Remaining issues on initial access procedure</w:t>
      </w:r>
      <w:r>
        <w:rPr>
          <w:sz w:val="22"/>
          <w:lang w:eastAsia="zh-CN"/>
        </w:rPr>
        <w:tab/>
        <w:t>Spreadtrum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77BDF" w14:textId="77777777" w:rsidR="00224D41" w:rsidRDefault="00224D41" w:rsidP="00E75AB3">
      <w:pPr>
        <w:spacing w:after="0" w:line="240" w:lineRule="auto"/>
      </w:pPr>
      <w:r>
        <w:separator/>
      </w:r>
    </w:p>
  </w:endnote>
  <w:endnote w:type="continuationSeparator" w:id="0">
    <w:p w14:paraId="4433E3E2" w14:textId="77777777" w:rsidR="00224D41" w:rsidRDefault="00224D41"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D8F42" w14:textId="77777777" w:rsidR="00224D41" w:rsidRDefault="00224D41" w:rsidP="00E75AB3">
      <w:pPr>
        <w:spacing w:after="0" w:line="240" w:lineRule="auto"/>
      </w:pPr>
      <w:r>
        <w:separator/>
      </w:r>
    </w:p>
  </w:footnote>
  <w:footnote w:type="continuationSeparator" w:id="0">
    <w:p w14:paraId="2114297F" w14:textId="77777777" w:rsidR="00224D41" w:rsidRDefault="00224D41" w:rsidP="00E75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41"/>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0E"/>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5FC"/>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9B5"/>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933"/>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96A08-DC21-4150-9C5A-D6E6499A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CW Tsai (蔡秋薇)</cp:lastModifiedBy>
  <cp:revision>5</cp:revision>
  <cp:lastPrinted>2007-06-18T22:08:00Z</cp:lastPrinted>
  <dcterms:created xsi:type="dcterms:W3CDTF">2020-05-28T03:52:00Z</dcterms:created>
  <dcterms:modified xsi:type="dcterms:W3CDTF">2020-05-28T03:58:00Z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