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A224" w14:textId="2C8CDC5B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2A2ADA">
        <w:rPr>
          <w:b/>
          <w:bCs/>
          <w:lang w:eastAsia="zh-CN"/>
        </w:rPr>
        <w:t>3GPP TSG RAN WG1 Meeting #101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2330A630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</w:t>
      </w:r>
      <w:r w:rsidR="002A2ADA">
        <w:rPr>
          <w:b/>
          <w:bCs/>
          <w:lang w:eastAsia="zh-CN"/>
        </w:rPr>
        <w:t>-</w:t>
      </w:r>
      <w:r>
        <w:rPr>
          <w:b/>
          <w:bCs/>
          <w:lang w:eastAsia="zh-CN"/>
        </w:rPr>
        <w:t xml:space="preserve">Meeting, </w:t>
      </w:r>
      <w:r w:rsidR="002A2ADA" w:rsidRPr="002A2ADA">
        <w:rPr>
          <w:b/>
          <w:bCs/>
          <w:lang w:eastAsia="zh-CN"/>
        </w:rPr>
        <w:t>May 25 – June 5,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060EAE09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384D37">
        <w:rPr>
          <w:b/>
          <w:kern w:val="2"/>
          <w:lang w:eastAsia="zh-CN"/>
        </w:rPr>
        <w:t>Charter Communications</w:t>
      </w:r>
    </w:p>
    <w:p w14:paraId="79EA35D0" w14:textId="66D10857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2A2ADA">
        <w:rPr>
          <w:b/>
          <w:kern w:val="2"/>
          <w:lang w:eastAsia="zh-CN"/>
        </w:rPr>
        <w:t>101</w:t>
      </w:r>
      <w:r w:rsidR="000858AC">
        <w:rPr>
          <w:b/>
          <w:kern w:val="2"/>
          <w:lang w:eastAsia="zh-CN"/>
        </w:rPr>
        <w:t>-</w:t>
      </w:r>
      <w:r w:rsidR="00C442BA" w:rsidRPr="00C442BA">
        <w:rPr>
          <w:b/>
          <w:kern w:val="2"/>
          <w:lang w:eastAsia="zh-CN"/>
        </w:rPr>
        <w:t>e-NR-unlic-NRU-InitAccessProc-0</w:t>
      </w:r>
      <w:r w:rsidR="003A64D9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7771A0FF" w14:textId="0843DEBF" w:rsidR="00EB2331" w:rsidRDefault="002A2AD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Four</w:t>
      </w:r>
      <w:r w:rsidR="00C442BA">
        <w:rPr>
          <w:rFonts w:eastAsiaTheme="minorEastAsia"/>
          <w:lang w:eastAsia="zh-CN"/>
        </w:rPr>
        <w:t xml:space="preserve"> email discussions have been sanctioned in</w:t>
      </w:r>
      <w:r>
        <w:rPr>
          <w:rFonts w:eastAsiaTheme="minorEastAsia"/>
          <w:lang w:eastAsia="zh-CN"/>
        </w:rPr>
        <w:t xml:space="preserve"> RAN1#101</w:t>
      </w:r>
      <w:r w:rsidR="000858AC">
        <w:rPr>
          <w:rFonts w:eastAsiaTheme="minorEastAsia"/>
          <w:lang w:eastAsia="zh-CN"/>
        </w:rPr>
        <w:t>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</w:t>
      </w:r>
      <w:r>
        <w:rPr>
          <w:rFonts w:eastAsiaTheme="minorEastAsia"/>
          <w:lang w:eastAsia="zh-CN"/>
        </w:rPr>
        <w:t xml:space="preserve"> based on contributions submitted to this meeting 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_Ref41211462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[1]</w:t>
      </w:r>
      <w:r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REF _Ref41211466 \r \h </w:instrText>
      </w:r>
      <w:r>
        <w:rPr>
          <w:rFonts w:eastAsiaTheme="minorEastAsia"/>
          <w:lang w:eastAsia="zh-CN"/>
        </w:rPr>
      </w:r>
      <w:r>
        <w:rPr>
          <w:rFonts w:eastAsiaTheme="minorEastAsia"/>
          <w:lang w:eastAsia="zh-CN"/>
        </w:rPr>
        <w:fldChar w:fldCharType="separate"/>
      </w:r>
      <w:r>
        <w:rPr>
          <w:rFonts w:eastAsiaTheme="minorEastAsia"/>
          <w:lang w:eastAsia="zh-CN"/>
        </w:rPr>
        <w:t>[13]</w:t>
      </w:r>
      <w:r>
        <w:rPr>
          <w:rFonts w:eastAsiaTheme="minorEastAsia"/>
          <w:lang w:eastAsia="zh-CN"/>
        </w:rPr>
        <w:fldChar w:fldCharType="end"/>
      </w:r>
      <w:r w:rsidR="00163F8D">
        <w:rPr>
          <w:rFonts w:eastAsiaTheme="minorEastAsia"/>
          <w:lang w:eastAsia="zh-CN"/>
        </w:rPr>
        <w:t>. This second</w:t>
      </w:r>
      <w:r w:rsidR="007B613F">
        <w:rPr>
          <w:rFonts w:eastAsiaTheme="minorEastAsia"/>
          <w:lang w:eastAsia="zh-CN"/>
        </w:rPr>
        <w:t xml:space="preserve"> </w:t>
      </w:r>
      <w:r w:rsidR="00C442BA">
        <w:rPr>
          <w:rFonts w:eastAsiaTheme="minorEastAsia"/>
          <w:lang w:eastAsia="zh-CN"/>
        </w:rPr>
        <w:t xml:space="preserve">discussion that aims to converge by </w:t>
      </w:r>
      <w:r>
        <w:rPr>
          <w:rFonts w:eastAsiaTheme="minorEastAsia"/>
          <w:lang w:eastAsia="zh-CN"/>
        </w:rPr>
        <w:t>5/29</w:t>
      </w:r>
      <w:r w:rsidR="00C442BA"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BA291DE" w14:textId="77777777" w:rsidR="00163F8D" w:rsidRPr="00163F8D" w:rsidRDefault="00163F8D" w:rsidP="00163F8D">
      <w:pPr>
        <w:autoSpaceDE/>
        <w:autoSpaceDN/>
        <w:adjustRightInd/>
        <w:snapToGrid/>
        <w:spacing w:before="100" w:beforeAutospacing="1" w:after="100" w:afterAutospacing="1" w:line="252" w:lineRule="auto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highlight w:val="cyan"/>
        </w:rPr>
        <w:t>[101-e-NR-unlic-NRU-InitAccessProc-02] Email discussion/approval on the following issues from R1-2003306 until 5/29; if necessary endorse associated TPs by 6/4 – Amitav (Charter)</w:t>
      </w:r>
    </w:p>
    <w:p w14:paraId="06C2D861" w14:textId="77777777" w:rsidR="00163F8D" w:rsidRPr="00163F8D" w:rsidRDefault="00163F8D" w:rsidP="00163F8D">
      <w:pPr>
        <w:numPr>
          <w:ilvl w:val="0"/>
          <w:numId w:val="7"/>
        </w:numPr>
        <w:autoSpaceDE/>
        <w:autoSpaceDN/>
        <w:adjustRightInd/>
        <w:snapToGrid/>
        <w:spacing w:after="0" w:line="252" w:lineRule="auto"/>
        <w:ind w:left="36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(#3.2) For the minimum value N of the MsgA PRACH-PUSCH gap in NR-U, select one of the alternatives in RAN1 #101-e: </w:t>
      </w:r>
    </w:p>
    <w:p w14:paraId="7BF3B5D6" w14:textId="77777777" w:rsidR="00163F8D" w:rsidRPr="00163F8D" w:rsidRDefault="00163F8D" w:rsidP="00163F8D">
      <w:pPr>
        <w:numPr>
          <w:ilvl w:val="1"/>
          <w:numId w:val="7"/>
        </w:numPr>
        <w:autoSpaceDE/>
        <w:autoSpaceDN/>
        <w:adjustRightInd/>
        <w:snapToGrid/>
        <w:spacing w:after="0" w:line="252" w:lineRule="auto"/>
        <w:ind w:left="108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Alt 1: N=2 (same as licensed operation) </w:t>
      </w:r>
    </w:p>
    <w:p w14:paraId="4F93C036" w14:textId="77777777" w:rsidR="00163F8D" w:rsidRPr="00163F8D" w:rsidRDefault="00163F8D" w:rsidP="00163F8D">
      <w:pPr>
        <w:numPr>
          <w:ilvl w:val="1"/>
          <w:numId w:val="7"/>
        </w:numPr>
        <w:autoSpaceDE/>
        <w:autoSpaceDN/>
        <w:adjustRightInd/>
        <w:snapToGrid/>
        <w:spacing w:after="0" w:line="252" w:lineRule="auto"/>
        <w:ind w:left="108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>Alt 2: N can be smaller than 2 for identified cases, and N=2 for the rest</w:t>
      </w:r>
    </w:p>
    <w:p w14:paraId="7241BFFD" w14:textId="77777777" w:rsidR="00163F8D" w:rsidRPr="00163F8D" w:rsidRDefault="00163F8D" w:rsidP="00163F8D">
      <w:pPr>
        <w:numPr>
          <w:ilvl w:val="2"/>
          <w:numId w:val="7"/>
        </w:numPr>
        <w:autoSpaceDE/>
        <w:autoSpaceDN/>
        <w:adjustRightInd/>
        <w:snapToGrid/>
        <w:spacing w:after="0" w:line="252" w:lineRule="auto"/>
        <w:ind w:left="180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>For example, N = [0 or 1] when MsgA PUSCH has the same SCS and bandwith as MsgA PRACH</w:t>
      </w:r>
    </w:p>
    <w:p w14:paraId="5F6F4E16" w14:textId="77777777" w:rsidR="00163F8D" w:rsidRPr="00163F8D" w:rsidRDefault="00163F8D" w:rsidP="00163F8D">
      <w:pPr>
        <w:numPr>
          <w:ilvl w:val="2"/>
          <w:numId w:val="7"/>
        </w:numPr>
        <w:autoSpaceDE/>
        <w:autoSpaceDN/>
        <w:adjustRightInd/>
        <w:snapToGrid/>
        <w:spacing w:after="0" w:line="252" w:lineRule="auto"/>
        <w:ind w:left="1800"/>
        <w:jc w:val="left"/>
        <w:rPr>
          <w:rFonts w:ascii="Calibri" w:hAnsi="Calibri" w:cs="Calibri"/>
          <w:sz w:val="20"/>
          <w:szCs w:val="20"/>
          <w:lang w:eastAsia="zh-CN"/>
        </w:rPr>
      </w:pPr>
      <w:r w:rsidRPr="00163F8D">
        <w:rPr>
          <w:rFonts w:ascii="Calibri" w:hAnsi="Calibri" w:cs="Calibri"/>
          <w:sz w:val="20"/>
          <w:szCs w:val="20"/>
          <w:lang w:eastAsia="zh-CN"/>
        </w:rPr>
        <w:t xml:space="preserve">Note: it can be further discussed whether existing CP extension scheme can be applicable for the identified cases 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46F77C61" w:rsidR="00C442BA" w:rsidRDefault="00C442BA" w:rsidP="00C442B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1F6B7BAB" w14:textId="79740E35" w:rsidR="00AD0BC6" w:rsidRDefault="00AD0BC6" w:rsidP="00AD0BC6">
      <w:pPr>
        <w:rPr>
          <w:lang w:eastAsia="zh-CN"/>
        </w:rPr>
      </w:pPr>
    </w:p>
    <w:p w14:paraId="74520535" w14:textId="428A6D60" w:rsidR="00AD0BC6" w:rsidRPr="00AD0BC6" w:rsidRDefault="00AD0BC6" w:rsidP="00AD0BC6">
      <w:pPr>
        <w:rPr>
          <w:lang w:eastAsia="zh-CN"/>
        </w:rPr>
      </w:pPr>
      <w:r>
        <w:rPr>
          <w:lang w:eastAsia="zh-CN"/>
        </w:rPr>
        <w:t>It is proposed to first converge on either Alt. 1 or Alt. 2 before discussing TPs.</w:t>
      </w:r>
    </w:p>
    <w:p w14:paraId="22C73ECB" w14:textId="77777777" w:rsidR="000858AC" w:rsidRPr="000858AC" w:rsidRDefault="000858AC" w:rsidP="000858A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2078AAD8" w:rsidR="00B1467E" w:rsidRDefault="00792FE7" w:rsidP="00145B68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0B50DCCB" w14:textId="77777777" w:rsidR="00B1467E" w:rsidRPr="00845AE7" w:rsidRDefault="00845AE7" w:rsidP="00145B68">
            <w:pPr>
              <w:rPr>
                <w:lang w:eastAsia="zh-CN"/>
              </w:rPr>
            </w:pPr>
            <w:r w:rsidRPr="00845AE7">
              <w:rPr>
                <w:lang w:eastAsia="zh-CN"/>
              </w:rPr>
              <w:t>Support Alt. 1</w:t>
            </w:r>
          </w:p>
          <w:p w14:paraId="7D0D5751" w14:textId="44FC452A" w:rsidR="00845AE7" w:rsidRPr="00845AE7" w:rsidRDefault="00845AE7" w:rsidP="00145B68">
            <w:pPr>
              <w:rPr>
                <w:lang w:eastAsia="zh-CN"/>
              </w:rPr>
            </w:pPr>
            <w:r w:rsidRPr="00845AE7">
              <w:rPr>
                <w:lang w:eastAsia="zh-CN"/>
              </w:rPr>
              <w:t xml:space="preserve">Alt.2 can be beneficial </w:t>
            </w:r>
            <w:r>
              <w:rPr>
                <w:lang w:eastAsia="zh-CN"/>
              </w:rPr>
              <w:t xml:space="preserve">over Alt.1 </w:t>
            </w:r>
            <w:r w:rsidRPr="00845AE7">
              <w:rPr>
                <w:lang w:eastAsia="zh-CN"/>
              </w:rPr>
              <w:t>only when all the following conditions are satisfied:</w:t>
            </w:r>
          </w:p>
          <w:p w14:paraId="46E833E6" w14:textId="02650A16" w:rsidR="00845AE7" w:rsidRPr="00845AE7" w:rsidRDefault="00845AE7" w:rsidP="00845A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845AE7">
              <w:rPr>
                <w:rFonts w:ascii="Times New Roman" w:hAnsi="Times New Roman"/>
                <w:sz w:val="22"/>
                <w:szCs w:val="22"/>
                <w:lang w:eastAsia="zh-CN"/>
              </w:rPr>
              <w:t>Single beam operation or PRACH format B4 with particular RACH configuration (not more than 50%)</w:t>
            </w:r>
          </w:p>
          <w:p w14:paraId="794099F9" w14:textId="2B3E4B85" w:rsidR="00845AE7" w:rsidRPr="00845AE7" w:rsidRDefault="00845AE7" w:rsidP="00845A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845AE7">
              <w:rPr>
                <w:rFonts w:ascii="Times New Roman" w:hAnsi="Times New Roman"/>
                <w:sz w:val="22"/>
                <w:szCs w:val="22"/>
                <w:lang w:eastAsia="zh-CN"/>
              </w:rPr>
              <w:t>Same SCS and bandwidth of PRACH and PUSCH</w:t>
            </w:r>
          </w:p>
          <w:p w14:paraId="0FE3F720" w14:textId="08FA59D6" w:rsidR="00845AE7" w:rsidRPr="00845AE7" w:rsidRDefault="00845AE7" w:rsidP="00845AE7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845AE7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LBT for PRACH succeeds but LBT for PUSCH fails in Alt.1 </w:t>
            </w:r>
          </w:p>
          <w:p w14:paraId="789A0B3D" w14:textId="77777777" w:rsidR="00845AE7" w:rsidRDefault="00845AE7" w:rsidP="001841A0">
            <w:pPr>
              <w:rPr>
                <w:lang w:eastAsia="zh-CN"/>
              </w:rPr>
            </w:pPr>
            <w:r>
              <w:rPr>
                <w:lang w:eastAsia="zh-CN"/>
              </w:rPr>
              <w:t>From our perspective, the chance of all the above conditions being satisfied is very low, so Alt.2 is just an enhancement for a corner case, which is not essential at this stage. Also note that Alt.2 introduces bias of SSBs in the case of multiple ROs in a slot, and leads to different operation on licensed and unlicensed spectrum</w:t>
            </w:r>
            <w:r w:rsidR="001841A0">
              <w:rPr>
                <w:lang w:eastAsia="zh-CN"/>
              </w:rPr>
              <w:t xml:space="preserve"> (an implementation change comparing to licensed spectrum)</w:t>
            </w:r>
            <w:r>
              <w:rPr>
                <w:lang w:eastAsia="zh-CN"/>
              </w:rPr>
              <w:t xml:space="preserve">, with the only benefit of single LBT procedure. </w:t>
            </w:r>
          </w:p>
          <w:p w14:paraId="2CC6C390" w14:textId="05CCDCA9" w:rsidR="001841A0" w:rsidRPr="00845AE7" w:rsidRDefault="001841A0" w:rsidP="001841A0">
            <w:pPr>
              <w:rPr>
                <w:lang w:eastAsia="zh-CN"/>
              </w:rPr>
            </w:pPr>
            <w:r>
              <w:rPr>
                <w:lang w:eastAsia="zh-CN"/>
              </w:rPr>
              <w:t>More detailed reasoning can be found in our contribution R1-2003861.</w:t>
            </w:r>
            <w:bookmarkStart w:id="2" w:name="_GoBack"/>
            <w:bookmarkEnd w:id="2"/>
          </w:p>
        </w:tc>
      </w:tr>
      <w:tr w:rsidR="00B1467E" w14:paraId="3F0D556B" w14:textId="77777777" w:rsidTr="00A87E11">
        <w:tc>
          <w:tcPr>
            <w:tcW w:w="2875" w:type="dxa"/>
          </w:tcPr>
          <w:p w14:paraId="73B8745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653270A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5759AB3" w14:textId="77777777" w:rsidTr="00A87E11">
        <w:tc>
          <w:tcPr>
            <w:tcW w:w="2875" w:type="dxa"/>
          </w:tcPr>
          <w:p w14:paraId="7D92B8D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0CA218C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4C1037B" w14:textId="77777777" w:rsidTr="00A87E11">
        <w:tc>
          <w:tcPr>
            <w:tcW w:w="2875" w:type="dxa"/>
          </w:tcPr>
          <w:p w14:paraId="6BBCB0A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D0C92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556B8CF" w14:textId="77777777" w:rsidTr="00A87E11">
        <w:tc>
          <w:tcPr>
            <w:tcW w:w="2875" w:type="dxa"/>
          </w:tcPr>
          <w:p w14:paraId="1BAF4F4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D45F53B" w14:textId="77777777" w:rsidTr="00A87E11">
        <w:tc>
          <w:tcPr>
            <w:tcW w:w="2875" w:type="dxa"/>
          </w:tcPr>
          <w:p w14:paraId="1AFCCD3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BF3C8B7" w14:textId="77777777" w:rsidTr="00A87E11">
        <w:tc>
          <w:tcPr>
            <w:tcW w:w="2875" w:type="dxa"/>
          </w:tcPr>
          <w:p w14:paraId="5FDDC4D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12A389C" w14:textId="77777777" w:rsidTr="00A87E11">
        <w:tc>
          <w:tcPr>
            <w:tcW w:w="2875" w:type="dxa"/>
          </w:tcPr>
          <w:p w14:paraId="52681941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31C46F8E" w14:textId="77777777" w:rsidTr="00A87E11">
        <w:tc>
          <w:tcPr>
            <w:tcW w:w="2875" w:type="dxa"/>
          </w:tcPr>
          <w:p w14:paraId="4BCA7789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4C55A4FC" w14:textId="77777777" w:rsidTr="00A87E11">
        <w:tc>
          <w:tcPr>
            <w:tcW w:w="2875" w:type="dxa"/>
          </w:tcPr>
          <w:p w14:paraId="57F8736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BA48B1E" w14:textId="77777777" w:rsidTr="00A87E11">
        <w:tc>
          <w:tcPr>
            <w:tcW w:w="2875" w:type="dxa"/>
          </w:tcPr>
          <w:p w14:paraId="0CA746F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3" w:name="_Ref129681832"/>
      <w:bookmarkStart w:id="4" w:name="_Ref124589665"/>
      <w:bookmarkStart w:id="5" w:name="_Ref71620620"/>
      <w:bookmarkStart w:id="6" w:name="_Ref124671424"/>
    </w:p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3100904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7" w:name="_Ref41211462"/>
      <w:bookmarkStart w:id="8" w:name="_Ref38271291"/>
      <w:bookmarkEnd w:id="3"/>
      <w:bookmarkEnd w:id="4"/>
      <w:bookmarkEnd w:id="5"/>
      <w:bookmarkEnd w:id="6"/>
      <w:r w:rsidRPr="002A2ADA">
        <w:rPr>
          <w:sz w:val="22"/>
          <w:lang w:eastAsia="zh-CN"/>
        </w:rPr>
        <w:t>R1-2003371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vivo</w:t>
      </w:r>
      <w:bookmarkEnd w:id="7"/>
    </w:p>
    <w:p w14:paraId="7DABD74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R1-2003451</w:t>
      </w:r>
      <w:r w:rsidRPr="002A2ADA">
        <w:rPr>
          <w:sz w:val="22"/>
          <w:lang w:eastAsia="zh-CN"/>
        </w:rPr>
        <w:tab/>
        <w:t>Remaining issues on the initial access procedure for NR-U</w:t>
      </w:r>
      <w:r w:rsidRPr="002A2ADA">
        <w:rPr>
          <w:sz w:val="22"/>
          <w:lang w:eastAsia="zh-CN"/>
        </w:rPr>
        <w:tab/>
        <w:t>ZTE, Sanechips</w:t>
      </w:r>
    </w:p>
    <w:p w14:paraId="446F60D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R1-2003513</w:t>
      </w:r>
      <w:r w:rsidRPr="002A2ADA">
        <w:rPr>
          <w:sz w:val="22"/>
          <w:lang w:eastAsia="zh-CN"/>
        </w:rPr>
        <w:tab/>
        <w:t>Maintenance on the initial access procedures</w:t>
      </w:r>
      <w:r w:rsidRPr="002A2ADA">
        <w:rPr>
          <w:sz w:val="22"/>
          <w:lang w:eastAsia="zh-CN"/>
        </w:rPr>
        <w:tab/>
        <w:t>Huawei, HiSilicon</w:t>
      </w:r>
    </w:p>
    <w:p w14:paraId="7FE2F709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R1-2003657</w:t>
      </w:r>
      <w:r w:rsidRPr="002A2ADA">
        <w:rPr>
          <w:sz w:val="22"/>
          <w:lang w:eastAsia="zh-CN"/>
        </w:rPr>
        <w:tab/>
        <w:t>Remaining issues on initial access procedure for NR-U operation</w:t>
      </w:r>
      <w:r w:rsidRPr="002A2ADA">
        <w:rPr>
          <w:sz w:val="22"/>
          <w:lang w:eastAsia="zh-CN"/>
        </w:rPr>
        <w:tab/>
        <w:t>MediaTek Inc.</w:t>
      </w:r>
    </w:p>
    <w:p w14:paraId="412C19C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R1-2003729</w:t>
      </w:r>
      <w:r w:rsidRPr="002A2ADA">
        <w:rPr>
          <w:sz w:val="22"/>
          <w:lang w:eastAsia="zh-CN"/>
        </w:rPr>
        <w:tab/>
        <w:t>Enhancements to initial access and mobility for NR-unlicensed</w:t>
      </w:r>
      <w:r w:rsidRPr="002A2ADA">
        <w:rPr>
          <w:sz w:val="22"/>
          <w:lang w:eastAsia="zh-CN"/>
        </w:rPr>
        <w:tab/>
        <w:t>Intel Corporation</w:t>
      </w:r>
    </w:p>
    <w:p w14:paraId="53E64E9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R1-2003844</w:t>
      </w:r>
      <w:r w:rsidRPr="002A2ADA">
        <w:rPr>
          <w:sz w:val="22"/>
          <w:lang w:eastAsia="zh-CN"/>
        </w:rPr>
        <w:tab/>
        <w:t>Enhancements to initial access procedures</w:t>
      </w:r>
      <w:r w:rsidRPr="002A2ADA">
        <w:rPr>
          <w:sz w:val="22"/>
          <w:lang w:eastAsia="zh-CN"/>
        </w:rPr>
        <w:tab/>
        <w:t>Ericsson</w:t>
      </w:r>
    </w:p>
    <w:p w14:paraId="456212DB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R1-2003861</w:t>
      </w:r>
      <w:r w:rsidRPr="002A2ADA">
        <w:rPr>
          <w:sz w:val="22"/>
          <w:lang w:eastAsia="zh-CN"/>
        </w:rPr>
        <w:tab/>
        <w:t>Initial access procedures for NR-U</w:t>
      </w:r>
      <w:r w:rsidRPr="002A2ADA">
        <w:rPr>
          <w:sz w:val="22"/>
          <w:lang w:eastAsia="zh-CN"/>
        </w:rPr>
        <w:tab/>
        <w:t>Samsung</w:t>
      </w:r>
    </w:p>
    <w:p w14:paraId="5E7A3C2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R1-2003973</w:t>
      </w:r>
      <w:r w:rsidRPr="002A2ADA">
        <w:rPr>
          <w:sz w:val="22"/>
          <w:lang w:eastAsia="zh-CN"/>
        </w:rPr>
        <w:tab/>
        <w:t>Remaining issues on initial access procedure for NR-U</w:t>
      </w:r>
      <w:r w:rsidRPr="002A2ADA">
        <w:rPr>
          <w:sz w:val="22"/>
          <w:lang w:eastAsia="zh-CN"/>
        </w:rPr>
        <w:tab/>
        <w:t>ETRI</w:t>
      </w:r>
    </w:p>
    <w:p w14:paraId="12621017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R1-2004001</w:t>
      </w:r>
      <w:r w:rsidRPr="002A2ADA">
        <w:rPr>
          <w:sz w:val="22"/>
          <w:lang w:eastAsia="zh-CN"/>
        </w:rPr>
        <w:tab/>
        <w:t>Remaining issues on initial access procedure</w:t>
      </w:r>
      <w:r w:rsidRPr="002A2ADA">
        <w:rPr>
          <w:sz w:val="22"/>
          <w:lang w:eastAsia="zh-CN"/>
        </w:rPr>
        <w:tab/>
        <w:t>Spreadtrum Communications</w:t>
      </w:r>
    </w:p>
    <w:p w14:paraId="5710021E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R1-2004014</w:t>
      </w:r>
      <w:r w:rsidRPr="002A2ADA">
        <w:rPr>
          <w:sz w:val="22"/>
          <w:lang w:eastAsia="zh-CN"/>
        </w:rPr>
        <w:tab/>
        <w:t>Remaining issues of initial access and mobility for NR-U</w:t>
      </w:r>
      <w:r w:rsidRPr="002A2ADA">
        <w:rPr>
          <w:sz w:val="22"/>
          <w:lang w:eastAsia="zh-CN"/>
        </w:rPr>
        <w:tab/>
        <w:t>LG Electronics</w:t>
      </w:r>
    </w:p>
    <w:p w14:paraId="1C2E28D8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R1-2004086</w:t>
      </w:r>
      <w:r w:rsidRPr="002A2ADA">
        <w:rPr>
          <w:sz w:val="22"/>
          <w:lang w:eastAsia="zh-CN"/>
        </w:rPr>
        <w:tab/>
        <w:t>Discussion on the remaining issues of enhancements to initial access procedure</w:t>
      </w:r>
      <w:r w:rsidRPr="002A2ADA">
        <w:rPr>
          <w:sz w:val="22"/>
          <w:lang w:eastAsia="zh-CN"/>
        </w:rPr>
        <w:tab/>
        <w:t>OPPO</w:t>
      </w:r>
    </w:p>
    <w:p w14:paraId="31E1A82F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r w:rsidRPr="002A2ADA">
        <w:rPr>
          <w:sz w:val="22"/>
          <w:lang w:eastAsia="zh-CN"/>
        </w:rPr>
        <w:t>R1-2004444</w:t>
      </w:r>
      <w:r w:rsidRPr="002A2ADA">
        <w:rPr>
          <w:sz w:val="22"/>
          <w:lang w:eastAsia="zh-CN"/>
        </w:rPr>
        <w:tab/>
        <w:t>TP for Initial access and mobility procedures for NR-U</w:t>
      </w:r>
      <w:r w:rsidRPr="002A2ADA">
        <w:rPr>
          <w:sz w:val="22"/>
          <w:lang w:eastAsia="zh-CN"/>
        </w:rPr>
        <w:tab/>
        <w:t>Qualcomm Incorporated</w:t>
      </w:r>
    </w:p>
    <w:p w14:paraId="38FDD204" w14:textId="77777777" w:rsidR="002A2ADA" w:rsidRPr="002A2ADA" w:rsidRDefault="002A2ADA" w:rsidP="002A2ADA">
      <w:pPr>
        <w:pStyle w:val="References"/>
        <w:rPr>
          <w:sz w:val="22"/>
          <w:lang w:eastAsia="zh-CN"/>
        </w:rPr>
      </w:pPr>
      <w:bookmarkStart w:id="9" w:name="_Ref41211466"/>
      <w:r w:rsidRPr="002A2ADA">
        <w:rPr>
          <w:sz w:val="22"/>
          <w:lang w:eastAsia="zh-CN"/>
        </w:rPr>
        <w:t>R1-2004526</w:t>
      </w:r>
      <w:r w:rsidRPr="002A2ADA">
        <w:rPr>
          <w:sz w:val="22"/>
          <w:lang w:eastAsia="zh-CN"/>
        </w:rPr>
        <w:tab/>
        <w:t>On Enhancements to Initial Access Procedure for NR-U</w:t>
      </w:r>
      <w:r w:rsidRPr="002A2ADA">
        <w:rPr>
          <w:sz w:val="22"/>
          <w:lang w:eastAsia="zh-CN"/>
        </w:rPr>
        <w:tab/>
        <w:t>Nokia, Nokia Shanghai Bell</w:t>
      </w:r>
      <w:bookmarkEnd w:id="9"/>
    </w:p>
    <w:p w14:paraId="51601E57" w14:textId="18AEACF9" w:rsidR="00E959A5" w:rsidRPr="002A2ADA" w:rsidRDefault="002A2ADA" w:rsidP="002A2ADA">
      <w:pPr>
        <w:pStyle w:val="References"/>
        <w:rPr>
          <w:sz w:val="22"/>
          <w:szCs w:val="22"/>
          <w:lang w:eastAsia="zh-CN"/>
        </w:rPr>
      </w:pPr>
      <w:r w:rsidRPr="002A2ADA">
        <w:rPr>
          <w:sz w:val="22"/>
          <w:szCs w:val="22"/>
          <w:lang w:eastAsia="zh-CN"/>
        </w:rPr>
        <w:t>R1-2003306     Feature lead summary on for initial access procedures enhancements</w:t>
      </w:r>
      <w:r w:rsidR="000858AC" w:rsidRPr="002A2ADA">
        <w:rPr>
          <w:sz w:val="22"/>
          <w:szCs w:val="22"/>
          <w:lang w:eastAsia="zh-CN"/>
        </w:rPr>
        <w:tab/>
        <w:t>Charter Communications</w:t>
      </w:r>
      <w:bookmarkEnd w:id="8"/>
    </w:p>
    <w:sectPr w:rsidR="00E959A5" w:rsidRPr="002A2AD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830CE" w14:textId="77777777" w:rsidR="00B01EDB" w:rsidRDefault="00B01EDB">
      <w:r>
        <w:separator/>
      </w:r>
    </w:p>
  </w:endnote>
  <w:endnote w:type="continuationSeparator" w:id="0">
    <w:p w14:paraId="3F59FFF1" w14:textId="77777777" w:rsidR="00B01EDB" w:rsidRDefault="00B0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41C3" w14:textId="77777777" w:rsidR="00B01EDB" w:rsidRDefault="00B01EDB">
      <w:r>
        <w:separator/>
      </w:r>
    </w:p>
  </w:footnote>
  <w:footnote w:type="continuationSeparator" w:id="0">
    <w:p w14:paraId="3CDC388C" w14:textId="77777777" w:rsidR="00B01EDB" w:rsidRDefault="00B0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hybridMultilevel"/>
    <w:tmpl w:val="2AA4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9D2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3F8D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41A0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ADA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64D9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980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2FE7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AE7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0BC6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1EDB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48C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018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2EF8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Normal"/>
    <w:next w:val="Normal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qFormat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uiPriority w:val="9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EA1D9-242B-4298-B8C5-F11BA7C9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Hongbo Si</cp:lastModifiedBy>
  <cp:revision>8</cp:revision>
  <cp:lastPrinted>2007-06-18T22:08:00Z</cp:lastPrinted>
  <dcterms:created xsi:type="dcterms:W3CDTF">2020-05-24T18:23:00Z</dcterms:created>
  <dcterms:modified xsi:type="dcterms:W3CDTF">2020-05-25T18:47:00Z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