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2D065422" w:rsidR="0084067F" w:rsidRPr="0052548E" w:rsidRDefault="0084067F" w:rsidP="0084067F">
      <w:pPr>
        <w:tabs>
          <w:tab w:val="right" w:pos="9356"/>
          <w:tab w:val="right" w:pos="9639"/>
        </w:tabs>
        <w:ind w:right="2"/>
        <w:rPr>
          <w:rFonts w:ascii="Arial" w:hAnsi="Arial" w:cs="Arial"/>
          <w:b/>
          <w:bCs/>
          <w:sz w:val="28"/>
        </w:rPr>
      </w:pPr>
      <w:bookmarkStart w:id="0" w:name="_GoBack"/>
      <w:bookmarkEnd w:id="0"/>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0B00A1">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478DC656" w:rsidR="002F170A" w:rsidRPr="00DE0653" w:rsidRDefault="002F170A" w:rsidP="00044993">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0B00A1">
        <w:rPr>
          <w:rFonts w:cs="Arial"/>
          <w:sz w:val="22"/>
          <w:szCs w:val="22"/>
        </w:rPr>
        <w:t>Feature lead summary</w:t>
      </w:r>
      <w:r w:rsidR="00B15A49" w:rsidRPr="00B15A49">
        <w:rPr>
          <w:rFonts w:cs="Arial"/>
          <w:sz w:val="22"/>
          <w:szCs w:val="22"/>
        </w:rPr>
        <w:t xml:space="preserve"> on ULFPTx</w:t>
      </w:r>
      <w:r w:rsidR="000B00A1">
        <w:rPr>
          <w:rFonts w:cs="Arial"/>
          <w:sz w:val="22"/>
          <w:szCs w:val="22"/>
        </w:rPr>
        <w:t>-01</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0FF2E4F0" w:rsidR="002F170A" w:rsidRPr="00DE0653" w:rsidRDefault="00B100FC" w:rsidP="00DE0653">
      <w:pPr>
        <w:pStyle w:val="title1"/>
        <w:rPr>
          <w:lang w:val="en-US"/>
        </w:rPr>
      </w:pPr>
      <w:r>
        <w:rPr>
          <w:lang w:val="en-US"/>
        </w:rPr>
        <w:t>Introduction</w:t>
      </w:r>
    </w:p>
    <w:p w14:paraId="1DAE98F4" w14:textId="4FDE1A9F" w:rsidR="00693523" w:rsidRPr="00B100FC" w:rsidRDefault="00B100FC" w:rsidP="002478D2">
      <w:pPr>
        <w:rPr>
          <w:rFonts w:eastAsiaTheme="minorEastAsia"/>
          <w:sz w:val="21"/>
          <w:lang w:eastAsia="zh-CN"/>
        </w:rPr>
      </w:pPr>
      <w:bookmarkStart w:id="1" w:name="OLE_LINK13"/>
      <w:bookmarkStart w:id="2" w:name="OLE_LINK14"/>
      <w:r w:rsidRPr="00B100FC">
        <w:rPr>
          <w:rFonts w:eastAsiaTheme="minorEastAsia" w:hint="eastAsia"/>
          <w:sz w:val="21"/>
          <w:lang w:eastAsia="zh-CN"/>
        </w:rPr>
        <w:t xml:space="preserve">Following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7041AC02" w14:textId="77777777" w:rsidR="00B100FC" w:rsidRDefault="00B100FC" w:rsidP="00B100FC">
      <w:pPr>
        <w:rPr>
          <w:lang w:eastAsia="x-none"/>
        </w:rPr>
      </w:pPr>
      <w:r w:rsidRPr="00960F4C">
        <w:rPr>
          <w:highlight w:val="cyan"/>
          <w:lang w:eastAsia="x-none"/>
        </w:rPr>
        <w:t>[100b-e-NR-eMIMO-ULFPTx-01] Email discussion on Issue #2 in R1-2002746: For 4Tx and partial-coherent UE in Mode 2, when the SRS resource set is configured with 2 ports SRS and 4 ports SRS, and the codebook subset associated with 2 port SRS resource</w:t>
      </w:r>
      <w:r>
        <w:rPr>
          <w:highlight w:val="cyan"/>
          <w:lang w:eastAsia="x-none"/>
        </w:rPr>
        <w:t>.</w:t>
      </w:r>
      <w:r w:rsidRPr="00960F4C">
        <w:rPr>
          <w:highlight w:val="cyan"/>
          <w:lang w:eastAsia="x-none"/>
        </w:rPr>
        <w:t xml:space="preserve"> </w:t>
      </w:r>
      <w:r>
        <w:rPr>
          <w:highlight w:val="cyan"/>
          <w:lang w:eastAsia="x-none"/>
        </w:rPr>
        <w:t>B</w:t>
      </w:r>
      <w:r w:rsidRPr="00960F4C">
        <w:rPr>
          <w:highlight w:val="cyan"/>
          <w:lang w:eastAsia="x-none"/>
        </w:rPr>
        <w:t>y 4/24</w:t>
      </w:r>
      <w:r w:rsidRPr="00002D4E">
        <w:rPr>
          <w:highlight w:val="cyan"/>
          <w:lang w:eastAsia="x-none"/>
        </w:rPr>
        <w:t xml:space="preserve"> </w:t>
      </w:r>
      <w:r>
        <w:rPr>
          <w:highlight w:val="cyan"/>
          <w:lang w:eastAsia="x-none"/>
        </w:rPr>
        <w:t>and corresponding TP (if any) by 4/30</w:t>
      </w:r>
      <w:r w:rsidRPr="00960F4C">
        <w:rPr>
          <w:highlight w:val="cyan"/>
          <w:lang w:eastAsia="x-none"/>
        </w:rPr>
        <w:t xml:space="preserve"> – Rakesh (vivo)</w:t>
      </w:r>
    </w:p>
    <w:p w14:paraId="4AF222CE" w14:textId="77777777" w:rsidR="00B100FC" w:rsidRPr="00B100FC" w:rsidRDefault="00B100FC" w:rsidP="002478D2">
      <w:pPr>
        <w:rPr>
          <w:rFonts w:eastAsiaTheme="minorEastAsia"/>
          <w:lang w:eastAsia="zh-CN"/>
        </w:rPr>
      </w:pPr>
    </w:p>
    <w:p w14:paraId="462E10A7" w14:textId="77777777" w:rsidR="00B100FC" w:rsidRPr="00DB4310" w:rsidRDefault="00B100FC" w:rsidP="002478D2">
      <w:pPr>
        <w:rPr>
          <w:rFonts w:eastAsiaTheme="minorEastAsia"/>
          <w:lang w:eastAsia="zh-CN"/>
        </w:rPr>
      </w:pPr>
    </w:p>
    <w:p w14:paraId="35DAB243" w14:textId="390D2D2E" w:rsidR="00FA34AB" w:rsidRDefault="00B100FC" w:rsidP="00F130AE">
      <w:pPr>
        <w:pStyle w:val="title1"/>
      </w:pPr>
      <w:r>
        <w:t>D</w:t>
      </w:r>
      <w:r>
        <w:rPr>
          <w:rFonts w:hint="eastAsia"/>
        </w:rPr>
        <w:t xml:space="preserve">iscussion </w:t>
      </w:r>
      <w:r w:rsidR="00E10D2F">
        <w:t xml:space="preserve">on </w:t>
      </w:r>
      <w:r w:rsidR="00A412BD">
        <w:t>issue</w:t>
      </w:r>
      <w:r w:rsidR="00F53427">
        <w:t xml:space="preserve"> </w:t>
      </w:r>
      <w:r>
        <w:t>2[1]</w:t>
      </w:r>
    </w:p>
    <w:p w14:paraId="4C01A444" w14:textId="79AB1C61" w:rsidR="008543B8" w:rsidRPr="00651F60" w:rsidRDefault="00651F60" w:rsidP="00651F60">
      <w:pPr>
        <w:pStyle w:val="title2"/>
        <w:rPr>
          <w:sz w:val="24"/>
        </w:rPr>
      </w:pPr>
      <w:r>
        <w:rPr>
          <w:sz w:val="24"/>
        </w:rPr>
        <w:t xml:space="preserve">Issue 2: </w:t>
      </w:r>
      <w:r w:rsidR="008543B8" w:rsidRPr="00651F60">
        <w:rPr>
          <w:rFonts w:hint="eastAsia"/>
          <w:sz w:val="24"/>
        </w:rPr>
        <w:t>F</w:t>
      </w:r>
      <w:r w:rsidR="008543B8" w:rsidRPr="00651F60">
        <w:rPr>
          <w:sz w:val="24"/>
        </w:rPr>
        <w:t>or 4Tx and partial-coherent UE in Mode 2, when the SRS resource set is configured with 2 ports SRS and 4 ports SRS, and the codebook subset associated with 2 port SRS resource:</w:t>
      </w:r>
    </w:p>
    <w:p w14:paraId="760799BE" w14:textId="77777777" w:rsidR="008543B8" w:rsidRPr="00382954" w:rsidRDefault="008543B8" w:rsidP="00903CF9">
      <w:pPr>
        <w:numPr>
          <w:ilvl w:val="0"/>
          <w:numId w:val="12"/>
        </w:numPr>
        <w:rPr>
          <w:szCs w:val="20"/>
          <w:lang w:eastAsia="zh-CN"/>
        </w:rPr>
      </w:pPr>
      <w:r w:rsidRPr="00382954">
        <w:rPr>
          <w:szCs w:val="20"/>
        </w:rPr>
        <w:t xml:space="preserve">Alt1: introduce a new UE capability, UE indicates whether it is </w:t>
      </w:r>
      <w:proofErr w:type="spellStart"/>
      <w:r w:rsidRPr="00382954">
        <w:rPr>
          <w:i/>
          <w:iCs/>
          <w:szCs w:val="20"/>
        </w:rPr>
        <w:t>fullyAndPartialAndNonCoherent</w:t>
      </w:r>
      <w:proofErr w:type="spellEnd"/>
      <w:r w:rsidRPr="00382954">
        <w:rPr>
          <w:i/>
          <w:iCs/>
          <w:szCs w:val="20"/>
        </w:rPr>
        <w:t xml:space="preserve"> or </w:t>
      </w:r>
      <w:proofErr w:type="spellStart"/>
      <w:r w:rsidRPr="00382954">
        <w:rPr>
          <w:i/>
          <w:iCs/>
          <w:szCs w:val="20"/>
        </w:rPr>
        <w:t>nonCoherent</w:t>
      </w:r>
      <w:proofErr w:type="spellEnd"/>
      <w:r w:rsidRPr="00382954">
        <w:rPr>
          <w:szCs w:val="20"/>
        </w:rPr>
        <w:t xml:space="preserve"> </w:t>
      </w:r>
    </w:p>
    <w:p w14:paraId="1CA21473" w14:textId="77777777" w:rsidR="008543B8" w:rsidRPr="00F75E6E" w:rsidRDefault="008543B8" w:rsidP="00903CF9">
      <w:pPr>
        <w:numPr>
          <w:ilvl w:val="0"/>
          <w:numId w:val="12"/>
        </w:numPr>
        <w:rPr>
          <w:szCs w:val="20"/>
        </w:rPr>
      </w:pPr>
      <w:r w:rsidRPr="00382954">
        <w:rPr>
          <w:szCs w:val="20"/>
        </w:rPr>
        <w:t xml:space="preserve">Alt2: the codebook subset is </w:t>
      </w:r>
      <w:proofErr w:type="spellStart"/>
      <w:r w:rsidRPr="00382954">
        <w:rPr>
          <w:i/>
          <w:iCs/>
          <w:szCs w:val="20"/>
        </w:rPr>
        <w:t>nonCoherent</w:t>
      </w:r>
      <w:proofErr w:type="spellEnd"/>
    </w:p>
    <w:p w14:paraId="4C8C1F35" w14:textId="3A7D318B" w:rsidR="00F75E6E" w:rsidRPr="00382954" w:rsidRDefault="00F75E6E" w:rsidP="00903CF9">
      <w:pPr>
        <w:numPr>
          <w:ilvl w:val="0"/>
          <w:numId w:val="12"/>
        </w:numPr>
        <w:rPr>
          <w:szCs w:val="20"/>
        </w:rPr>
      </w:pPr>
      <w:r w:rsidRPr="00F75E6E">
        <w:rPr>
          <w:szCs w:val="20"/>
        </w:rPr>
        <w:t xml:space="preserve">Alt3: </w:t>
      </w:r>
      <w:r w:rsidRPr="00382954">
        <w:rPr>
          <w:szCs w:val="20"/>
        </w:rPr>
        <w:t xml:space="preserve">the codebook subset is </w:t>
      </w:r>
      <w:proofErr w:type="spellStart"/>
      <w:r w:rsidRPr="00F75E6E">
        <w:rPr>
          <w:i/>
          <w:iCs/>
          <w:szCs w:val="20"/>
        </w:rPr>
        <w:t>fullyAndPartialAndN</w:t>
      </w:r>
      <w:r w:rsidRPr="00382954">
        <w:rPr>
          <w:i/>
          <w:iCs/>
          <w:szCs w:val="20"/>
        </w:rPr>
        <w:t>onCoheren</w:t>
      </w:r>
      <w:r>
        <w:rPr>
          <w:i/>
          <w:iCs/>
          <w:szCs w:val="20"/>
        </w:rPr>
        <w:t>t</w:t>
      </w:r>
      <w:proofErr w:type="spellEnd"/>
    </w:p>
    <w:p w14:paraId="12942A47" w14:textId="77777777" w:rsidR="00DB298C" w:rsidRDefault="00DB298C" w:rsidP="00B100FC">
      <w:pPr>
        <w:rPr>
          <w:rFonts w:eastAsiaTheme="minorEastAsia"/>
          <w:lang w:eastAsia="zh-CN"/>
        </w:rPr>
      </w:pPr>
    </w:p>
    <w:p w14:paraId="0E42E7CB" w14:textId="39333A8F" w:rsidR="00B100FC" w:rsidRPr="00B100FC" w:rsidRDefault="00B100FC" w:rsidP="00B100F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B100FC" w14:paraId="0AF32976" w14:textId="77777777" w:rsidTr="00B100FC">
        <w:tc>
          <w:tcPr>
            <w:tcW w:w="2263" w:type="dxa"/>
          </w:tcPr>
          <w:p w14:paraId="77E58710" w14:textId="21AE6CB9" w:rsidR="00B100FC" w:rsidRPr="00B100FC" w:rsidRDefault="00B100FC" w:rsidP="00B100F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B7B798F" w14:textId="3C28ABBE" w:rsidR="00B100FC" w:rsidRPr="00B100FC" w:rsidRDefault="008161C6" w:rsidP="00B100FC">
            <w:pPr>
              <w:rPr>
                <w:rFonts w:eastAsiaTheme="minorEastAsia"/>
                <w:lang w:eastAsia="zh-CN"/>
              </w:rPr>
            </w:pPr>
            <w:r>
              <w:rPr>
                <w:rFonts w:eastAsiaTheme="minorEastAsia"/>
                <w:lang w:eastAsia="zh-CN"/>
              </w:rPr>
              <w:t>C</w:t>
            </w:r>
            <w:r w:rsidR="00B100FC">
              <w:rPr>
                <w:rFonts w:eastAsiaTheme="minorEastAsia" w:hint="eastAsia"/>
                <w:lang w:eastAsia="zh-CN"/>
              </w:rPr>
              <w:t>omments</w:t>
            </w:r>
          </w:p>
        </w:tc>
      </w:tr>
      <w:tr w:rsidR="00B100FC" w14:paraId="5400673B" w14:textId="77777777" w:rsidTr="00B100FC">
        <w:tc>
          <w:tcPr>
            <w:tcW w:w="2263" w:type="dxa"/>
          </w:tcPr>
          <w:p w14:paraId="2D8A446C" w14:textId="3C3B40FA" w:rsidR="00B100FC" w:rsidRPr="00FF49E2" w:rsidRDefault="00FF49E2" w:rsidP="00B100FC">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0B12C2F1" w14:textId="77777777" w:rsidR="00B100FC" w:rsidRDefault="00FF49E2" w:rsidP="00B100FC">
            <w:pPr>
              <w:rPr>
                <w:rFonts w:eastAsiaTheme="minorEastAsia"/>
                <w:lang w:eastAsia="zh-CN"/>
              </w:rPr>
            </w:pPr>
            <w:r>
              <w:rPr>
                <w:rFonts w:eastAsiaTheme="minorEastAsia" w:hint="eastAsia"/>
                <w:lang w:eastAsia="zh-CN"/>
              </w:rPr>
              <w:t>Support Alt.2</w:t>
            </w:r>
          </w:p>
          <w:p w14:paraId="66557103" w14:textId="77777777" w:rsidR="00FF49E2" w:rsidRPr="00824764" w:rsidRDefault="00FF49E2" w:rsidP="001B24BD">
            <w:pPr>
              <w:pStyle w:val="ListParagraph"/>
              <w:numPr>
                <w:ilvl w:val="0"/>
                <w:numId w:val="17"/>
              </w:numPr>
              <w:ind w:firstLineChars="0"/>
              <w:rPr>
                <w:rFonts w:ascii="Times New Roman" w:eastAsiaTheme="minorEastAsia" w:hAnsi="Times New Roman"/>
                <w:kern w:val="0"/>
                <w:sz w:val="20"/>
                <w:szCs w:val="24"/>
              </w:rPr>
            </w:pPr>
            <w:r w:rsidRPr="00824764">
              <w:rPr>
                <w:rFonts w:ascii="Times New Roman" w:eastAsiaTheme="minorEastAsia" w:hAnsi="Times New Roman" w:hint="eastAsia"/>
                <w:kern w:val="0"/>
                <w:sz w:val="20"/>
                <w:szCs w:val="24"/>
              </w:rPr>
              <w:t xml:space="preserve">According to the LS </w:t>
            </w:r>
            <w:r w:rsidRPr="00824764">
              <w:rPr>
                <w:rFonts w:ascii="Times New Roman" w:eastAsiaTheme="minorEastAsia" w:hAnsi="Times New Roman"/>
                <w:kern w:val="0"/>
                <w:sz w:val="20"/>
                <w:szCs w:val="24"/>
              </w:rPr>
              <w:t xml:space="preserve">R1-2001513, </w:t>
            </w:r>
            <w:r w:rsidR="001B24BD" w:rsidRPr="00824764">
              <w:rPr>
                <w:rFonts w:ascii="Times New Roman" w:eastAsiaTheme="minorEastAsia" w:hAnsi="Times New Roman"/>
                <w:kern w:val="0"/>
                <w:sz w:val="20"/>
                <w:szCs w:val="24"/>
              </w:rPr>
              <w:t>some new RRC parameter is needed for Alt.1. Introducing non-essential new RRC parameter at a so-late stage is not a wise design, and may lead to further workload and more risk for ASN.1 frozen</w:t>
            </w:r>
          </w:p>
          <w:p w14:paraId="2C6FB1B0" w14:textId="75689E9F" w:rsidR="00CD0857" w:rsidRPr="00FF49E2" w:rsidRDefault="007A7BA9" w:rsidP="003B553B">
            <w:pPr>
              <w:pStyle w:val="ListParagraph"/>
              <w:numPr>
                <w:ilvl w:val="0"/>
                <w:numId w:val="17"/>
              </w:numPr>
              <w:ind w:firstLineChars="0"/>
              <w:rPr>
                <w:rFonts w:eastAsiaTheme="minorEastAsia"/>
              </w:rPr>
            </w:pPr>
            <w:r w:rsidRPr="00824764">
              <w:rPr>
                <w:rFonts w:ascii="Times New Roman" w:eastAsiaTheme="minorEastAsia" w:hAnsi="Times New Roman"/>
                <w:kern w:val="0"/>
                <w:sz w:val="20"/>
                <w:szCs w:val="24"/>
              </w:rPr>
              <w:t xml:space="preserve">As explained several times, </w:t>
            </w:r>
            <w:r w:rsidR="003B553B">
              <w:rPr>
                <w:rFonts w:ascii="Times New Roman" w:eastAsiaTheme="minorEastAsia" w:hAnsi="Times New Roman"/>
                <w:kern w:val="0"/>
                <w:sz w:val="20"/>
                <w:szCs w:val="24"/>
              </w:rPr>
              <w:t xml:space="preserve">it cannot be guaranteed that </w:t>
            </w:r>
            <w:r w:rsidRPr="00824764">
              <w:rPr>
                <w:rFonts w:ascii="Times New Roman" w:eastAsiaTheme="minorEastAsia" w:hAnsi="Times New Roman"/>
                <w:kern w:val="0"/>
                <w:sz w:val="20"/>
                <w:szCs w:val="24"/>
              </w:rPr>
              <w:t>the 2 ports are coherent. Thus Alt.3 does not work</w:t>
            </w:r>
            <w:r w:rsidR="00833664">
              <w:rPr>
                <w:rFonts w:ascii="Times New Roman" w:eastAsiaTheme="minorEastAsia" w:hAnsi="Times New Roman"/>
                <w:kern w:val="0"/>
                <w:sz w:val="20"/>
                <w:szCs w:val="24"/>
              </w:rPr>
              <w:t xml:space="preserve"> for many UE implementations</w:t>
            </w:r>
            <w:r w:rsidRPr="00824764">
              <w:rPr>
                <w:rFonts w:ascii="Times New Roman" w:eastAsiaTheme="minorEastAsia" w:hAnsi="Times New Roman"/>
                <w:kern w:val="0"/>
                <w:sz w:val="20"/>
                <w:szCs w:val="24"/>
              </w:rPr>
              <w:t xml:space="preserve">. </w:t>
            </w:r>
          </w:p>
        </w:tc>
      </w:tr>
      <w:tr w:rsidR="00190E59" w14:paraId="6100701F" w14:textId="77777777" w:rsidTr="00B100FC">
        <w:tc>
          <w:tcPr>
            <w:tcW w:w="2263" w:type="dxa"/>
          </w:tcPr>
          <w:p w14:paraId="2E85286A" w14:textId="5312C5D3" w:rsidR="00190E59" w:rsidRDefault="00190E59" w:rsidP="00190E59">
            <w:r>
              <w:t>CMCC</w:t>
            </w:r>
          </w:p>
        </w:tc>
        <w:tc>
          <w:tcPr>
            <w:tcW w:w="6797" w:type="dxa"/>
          </w:tcPr>
          <w:p w14:paraId="456C2627" w14:textId="7BBC42D4" w:rsidR="00190E59" w:rsidRDefault="00190E59" w:rsidP="00190E59">
            <w:r>
              <w:t>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w:t>
            </w:r>
            <w:proofErr w:type="gramStart"/>
            <w:r>
              <w:t xml:space="preserve">, </w:t>
            </w:r>
            <w:proofErr w:type="gramEnd"/>
            <w:r>
              <w:rPr>
                <w:sz w:val="16"/>
                <w:szCs w:val="16"/>
              </w:rPr>
              <w:fldChar w:fldCharType="begin"/>
            </w:r>
            <w:r>
              <w:rPr>
                <w:sz w:val="16"/>
                <w:szCs w:val="16"/>
              </w:rPr>
              <w:instrText xml:space="preserve"> QUOTE </w:instrText>
            </w:r>
            <w:r w:rsidR="00044993">
              <w:rPr>
                <w:position w:val="-30"/>
              </w:rPr>
              <w:pict w14:anchorId="123C0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75pt;height:35.15pt" equationxml="&lt;">
                  <v:imagedata r:id="rId9" o:title="" chromakey="white"/>
                </v:shape>
              </w:pict>
            </w:r>
            <w:r>
              <w:rPr>
                <w:sz w:val="16"/>
                <w:szCs w:val="16"/>
              </w:rPr>
              <w:instrText xml:space="preserve"> </w:instrText>
            </w:r>
            <w:r>
              <w:rPr>
                <w:sz w:val="16"/>
                <w:szCs w:val="16"/>
              </w:rPr>
              <w:fldChar w:fldCharType="separate"/>
            </w:r>
            <w:r w:rsidR="00044993">
              <w:rPr>
                <w:position w:val="-30"/>
              </w:rPr>
              <w:pict w14:anchorId="2484359A">
                <v:shape id="_x0000_i1026" type="#_x0000_t75" style="width:92.75pt;height:35.15pt" equationxml="&lt;">
                  <v:imagedata r:id="rId9"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044993">
              <w:rPr>
                <w:position w:val="-30"/>
              </w:rPr>
              <w:pict w14:anchorId="7F092065">
                <v:shape id="_x0000_i1027" type="#_x0000_t75" style="width:28.2pt;height:35.15pt" equationxml="&lt;">
                  <v:imagedata r:id="rId10" o:title="" chromakey="white"/>
                </v:shape>
              </w:pict>
            </w:r>
            <w:r>
              <w:rPr>
                <w:strike/>
                <w:color w:val="FF0000"/>
                <w:sz w:val="16"/>
                <w:szCs w:val="16"/>
              </w:rPr>
              <w:instrText xml:space="preserve"> </w:instrText>
            </w:r>
            <w:r>
              <w:rPr>
                <w:strike/>
                <w:color w:val="FF0000"/>
                <w:sz w:val="16"/>
                <w:szCs w:val="16"/>
              </w:rPr>
              <w:fldChar w:fldCharType="separate"/>
            </w:r>
            <w:r w:rsidR="00044993">
              <w:rPr>
                <w:position w:val="-30"/>
              </w:rPr>
              <w:pict w14:anchorId="1C2CBF86">
                <v:shape id="_x0000_i1028" type="#_x0000_t75" style="width:27.65pt;height:35.15pt" equationxml="&lt;">
                  <v:imagedata r:id="rId10" o:title="" chromakey="white"/>
                </v:shape>
              </w:pict>
            </w:r>
            <w:r>
              <w:rPr>
                <w:strike/>
                <w:color w:val="FF0000"/>
                <w:sz w:val="16"/>
                <w:szCs w:val="16"/>
              </w:rPr>
              <w:fldChar w:fldCharType="end"/>
            </w:r>
            <w:r>
              <w:t xml:space="preserve"> ) which can support full power transmission. </w:t>
            </w:r>
          </w:p>
        </w:tc>
      </w:tr>
      <w:tr w:rsidR="002B4F64" w14:paraId="7DA4E0A6" w14:textId="77777777" w:rsidTr="00B100FC">
        <w:tc>
          <w:tcPr>
            <w:tcW w:w="2263" w:type="dxa"/>
          </w:tcPr>
          <w:p w14:paraId="68DA39D0" w14:textId="68BDFC97" w:rsidR="002B4F64" w:rsidRDefault="002B4F64" w:rsidP="002B4F64">
            <w:r w:rsidRPr="0035132B">
              <w:rPr>
                <w:rFonts w:eastAsiaTheme="minorEastAsia" w:hint="eastAsia"/>
                <w:lang w:eastAsia="zh-CN"/>
              </w:rPr>
              <w:t>LG</w:t>
            </w:r>
          </w:p>
        </w:tc>
        <w:tc>
          <w:tcPr>
            <w:tcW w:w="6797" w:type="dxa"/>
          </w:tcPr>
          <w:p w14:paraId="16E8D7A0" w14:textId="17DFB808" w:rsidR="002B4F64" w:rsidRDefault="002B4F64" w:rsidP="002B4F64">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w:t>
            </w:r>
            <w:r>
              <w:rPr>
                <w:rFonts w:eastAsia="Malgun Gothic"/>
                <w:lang w:eastAsia="ko-KR"/>
              </w:rPr>
              <w:lastRenderedPageBreak/>
              <w:t xml:space="preserve">preferable, since Alt 3. may require higher UE implementation complexity/cost compared to Alt 2.  </w:t>
            </w:r>
          </w:p>
        </w:tc>
      </w:tr>
      <w:tr w:rsidR="00B100FC" w14:paraId="38BEE791" w14:textId="77777777" w:rsidTr="00B100FC">
        <w:tc>
          <w:tcPr>
            <w:tcW w:w="2263" w:type="dxa"/>
          </w:tcPr>
          <w:p w14:paraId="394B441B" w14:textId="19F80960" w:rsidR="00B100FC" w:rsidRPr="008161C6" w:rsidRDefault="008161C6" w:rsidP="00B100F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6797" w:type="dxa"/>
          </w:tcPr>
          <w:p w14:paraId="2345ADB7" w14:textId="6E616F55" w:rsidR="00B100FC" w:rsidRDefault="008161C6" w:rsidP="00B100FC">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w:t>
            </w:r>
            <w:r w:rsidR="008E610F">
              <w:rPr>
                <w:rFonts w:eastAsiaTheme="minorEastAsia"/>
                <w:lang w:eastAsia="zh-CN"/>
              </w:rPr>
              <w:t xml:space="preserve">  Here</w:t>
            </w:r>
            <w:r w:rsidR="00CD7B1A">
              <w:rPr>
                <w:rFonts w:eastAsiaTheme="minorEastAsia"/>
                <w:lang w:eastAsia="zh-CN"/>
              </w:rPr>
              <w:t xml:space="preserve"> the condition is 2-port SRS and 4 port SRS resources are both configured. For the following all three cases:</w:t>
            </w:r>
          </w:p>
          <w:p w14:paraId="400124B2" w14:textId="37BCED2F" w:rsidR="008161C6" w:rsidRDefault="008161C6" w:rsidP="00B100FC">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30D4A411" w14:textId="059C8020" w:rsidR="008161C6" w:rsidRDefault="008161C6" w:rsidP="00B100FC">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64DE6AA5" w14:textId="686817FE" w:rsidR="008161C6" w:rsidRDefault="008161C6" w:rsidP="00B100FC">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w:t>
            </w:r>
            <w:r w:rsidR="00CD7B1A">
              <w:rPr>
                <w:rFonts w:eastAsiaTheme="minorEastAsia"/>
                <w:lang w:eastAsia="zh-CN"/>
              </w:rPr>
              <w:t>, without any benefits.</w:t>
            </w:r>
          </w:p>
          <w:p w14:paraId="178086C5" w14:textId="7FDF6DE6" w:rsidR="008161C6" w:rsidRPr="008161C6" w:rsidRDefault="00CD7B1A" w:rsidP="00CD7B1A">
            <w:pPr>
              <w:rPr>
                <w:rFonts w:eastAsiaTheme="minorEastAsia"/>
                <w:lang w:eastAsia="zh-CN"/>
              </w:rPr>
            </w:pPr>
            <w:r>
              <w:rPr>
                <w:rFonts w:eastAsiaTheme="minorEastAsia"/>
                <w:lang w:eastAsia="zh-CN"/>
              </w:rPr>
              <w:t>From above, only Alt.2 makes sense. Some</w:t>
            </w:r>
            <w:r w:rsidR="008161C6">
              <w:rPr>
                <w:rFonts w:eastAsiaTheme="minorEastAsia"/>
                <w:lang w:eastAsia="zh-CN"/>
              </w:rPr>
              <w:t xml:space="preserve"> detailed discussion </w:t>
            </w:r>
            <w:r>
              <w:rPr>
                <w:rFonts w:eastAsiaTheme="minorEastAsia"/>
                <w:lang w:eastAsia="zh-CN"/>
              </w:rPr>
              <w:t xml:space="preserve">also </w:t>
            </w:r>
            <w:r w:rsidR="008161C6">
              <w:rPr>
                <w:rFonts w:eastAsiaTheme="minorEastAsia"/>
                <w:lang w:eastAsia="zh-CN"/>
              </w:rPr>
              <w:t xml:space="preserve">can be find in R1-2001565. </w:t>
            </w:r>
          </w:p>
        </w:tc>
      </w:tr>
      <w:tr w:rsidR="00B100FC" w14:paraId="1F8F883D" w14:textId="77777777" w:rsidTr="00B100FC">
        <w:tc>
          <w:tcPr>
            <w:tcW w:w="2263" w:type="dxa"/>
          </w:tcPr>
          <w:p w14:paraId="0EC681C4" w14:textId="680D1CB7" w:rsidR="00B100FC" w:rsidRDefault="00162D7D" w:rsidP="00B100FC">
            <w:r>
              <w:t>Samsung</w:t>
            </w:r>
          </w:p>
        </w:tc>
        <w:tc>
          <w:tcPr>
            <w:tcW w:w="6797" w:type="dxa"/>
          </w:tcPr>
          <w:p w14:paraId="4CD4C495" w14:textId="77777777" w:rsidR="00B100FC" w:rsidRDefault="00162D7D" w:rsidP="00B100FC">
            <w:r>
              <w:t>We prefer Alt 1 due to the following reason:</w:t>
            </w:r>
          </w:p>
          <w:p w14:paraId="2203B357" w14:textId="77777777" w:rsidR="00162D7D" w:rsidRDefault="00162D7D" w:rsidP="00162D7D">
            <w:pPr>
              <w:pStyle w:val="ListParagraph"/>
              <w:numPr>
                <w:ilvl w:val="0"/>
                <w:numId w:val="18"/>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0CF38BE" w14:textId="5477244B" w:rsidR="00162D7D" w:rsidRDefault="00162D7D" w:rsidP="00162D7D">
            <w:pPr>
              <w:pStyle w:val="ListParagraph"/>
              <w:numPr>
                <w:ilvl w:val="0"/>
                <w:numId w:val="18"/>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xml:space="preserve">” we </w:t>
            </w:r>
            <w:r w:rsidR="00577775">
              <w:t xml:space="preserve">also </w:t>
            </w:r>
            <w:r>
              <w:t>need to look at TPMI payload, which is certainly not the same. In particular, the TPMI payload is more in case of 4 ports than in case of 2 ports.</w:t>
            </w:r>
            <w:r w:rsidR="00577775">
              <w:t xml:space="preserve"> Hence, the two cases are not equivalent operationally.</w:t>
            </w:r>
          </w:p>
          <w:p w14:paraId="706CF8BE" w14:textId="78B41FA3" w:rsidR="00162D7D" w:rsidRDefault="00577775" w:rsidP="00577775">
            <w:r>
              <w:t xml:space="preserve">Re </w:t>
            </w:r>
            <w:r w:rsidR="00162D7D">
              <w:t xml:space="preserve">CMCC comment, in our view, mode 2 </w:t>
            </w:r>
            <w:r>
              <w:t>has two solutions: (1) based on</w:t>
            </w:r>
            <w:r w:rsidR="00162D7D">
              <w:t xml:space="preserve"> TPMI group signaling </w:t>
            </w:r>
            <w:r>
              <w:t>and (2) based on multiple SRS resources with different number of SRS ports. This email discussion pertains to (2), not (1).</w:t>
            </w:r>
          </w:p>
        </w:tc>
      </w:tr>
      <w:tr w:rsidR="00B100FC" w14:paraId="6ABF334A" w14:textId="77777777" w:rsidTr="00B100FC">
        <w:tc>
          <w:tcPr>
            <w:tcW w:w="2263" w:type="dxa"/>
          </w:tcPr>
          <w:p w14:paraId="606A3F56" w14:textId="5AF9F4DE" w:rsidR="00B100FC" w:rsidRDefault="00044993" w:rsidP="00B100FC">
            <w:r>
              <w:t>CATT</w:t>
            </w:r>
          </w:p>
        </w:tc>
        <w:tc>
          <w:tcPr>
            <w:tcW w:w="6797" w:type="dxa"/>
          </w:tcPr>
          <w:p w14:paraId="570B4215" w14:textId="77777777" w:rsidR="00B100FC" w:rsidRDefault="00044993" w:rsidP="00B100FC">
            <w:r>
              <w:t xml:space="preserve">OK with alt-2 and alt-3, with slight preference on alt-2. </w:t>
            </w:r>
          </w:p>
          <w:p w14:paraId="670CA267" w14:textId="1D020192" w:rsidR="00044993" w:rsidRDefault="00044993" w:rsidP="00242073">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bl>
    <w:p w14:paraId="79083C63" w14:textId="54365213" w:rsidR="008543B8" w:rsidRDefault="008543B8" w:rsidP="00B100FC"/>
    <w:p w14:paraId="28FB75C1" w14:textId="41063635" w:rsidR="00693523" w:rsidRDefault="00693523" w:rsidP="00B100FC">
      <w:pPr>
        <w:rPr>
          <w:lang w:val="en-GB"/>
        </w:rPr>
      </w:pPr>
    </w:p>
    <w:p w14:paraId="5D0FFF3A" w14:textId="09C32A0F" w:rsidR="00B100FC" w:rsidRDefault="00B100FC" w:rsidP="00B100FC">
      <w:pPr>
        <w:rPr>
          <w:rFonts w:eastAsiaTheme="minorEastAsia"/>
          <w:lang w:val="en-GB" w:eastAsia="zh-CN"/>
        </w:rPr>
      </w:pPr>
      <w:r w:rsidRPr="00B100FC">
        <w:rPr>
          <w:rFonts w:eastAsiaTheme="minorEastAsia" w:hint="eastAsia"/>
          <w:highlight w:val="yellow"/>
          <w:lang w:val="en-GB" w:eastAsia="zh-CN"/>
        </w:rPr>
        <w:t>Obs</w:t>
      </w:r>
      <w:r w:rsidRPr="00B100FC">
        <w:rPr>
          <w:rFonts w:eastAsiaTheme="minorEastAsia"/>
          <w:highlight w:val="yellow"/>
          <w:lang w:val="en-GB" w:eastAsia="zh-CN"/>
        </w:rPr>
        <w:t>ervation:</w:t>
      </w:r>
    </w:p>
    <w:p w14:paraId="0F6AA831" w14:textId="77777777" w:rsidR="00B100FC" w:rsidRDefault="00B100FC" w:rsidP="00B100FC">
      <w:pPr>
        <w:rPr>
          <w:rFonts w:eastAsiaTheme="minorEastAsia"/>
          <w:lang w:val="en-GB" w:eastAsia="zh-CN"/>
        </w:rPr>
      </w:pPr>
    </w:p>
    <w:p w14:paraId="1F313527" w14:textId="6010C922" w:rsidR="00B100FC" w:rsidRPr="00B100FC" w:rsidRDefault="00B100FC" w:rsidP="00B100FC">
      <w:pPr>
        <w:rPr>
          <w:rFonts w:eastAsiaTheme="minorEastAsia"/>
          <w:lang w:val="en-GB" w:eastAsia="zh-CN"/>
        </w:rPr>
      </w:pPr>
      <w:r w:rsidRPr="00B100FC">
        <w:rPr>
          <w:rFonts w:eastAsiaTheme="minorEastAsia"/>
          <w:highlight w:val="yellow"/>
          <w:lang w:val="en-GB" w:eastAsia="zh-CN"/>
        </w:rPr>
        <w:t>Proposal:</w:t>
      </w:r>
    </w:p>
    <w:p w14:paraId="49BF4BCE" w14:textId="77777777" w:rsidR="00B100FC" w:rsidRPr="00B100FC" w:rsidRDefault="00B100FC" w:rsidP="00B100FC">
      <w:pPr>
        <w:rPr>
          <w:lang w:val="en-GB"/>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1"/>
    <w:bookmarkEnd w:id="2"/>
    <w:p w14:paraId="594FE710" w14:textId="09D92788" w:rsidR="004A259A" w:rsidRPr="00D54472" w:rsidRDefault="00943BA1" w:rsidP="00525402">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sidRPr="00943BA1">
        <w:rPr>
          <w:rFonts w:eastAsia="SimSun"/>
          <w:bCs/>
          <w:lang w:eastAsia="zh-CN"/>
        </w:rPr>
        <w:t>20027</w:t>
      </w:r>
      <w:r w:rsidR="009C2B6E">
        <w:rPr>
          <w:rFonts w:eastAsia="SimSun"/>
          <w:bCs/>
          <w:lang w:eastAsia="zh-CN"/>
        </w:rPr>
        <w:t>46</w:t>
      </w:r>
      <w:r>
        <w:rPr>
          <w:rFonts w:eastAsia="SimSun"/>
          <w:bCs/>
          <w:lang w:eastAsia="zh-CN"/>
        </w:rPr>
        <w:t xml:space="preserve">, </w:t>
      </w:r>
      <w:r w:rsidR="009C2B6E">
        <w:rPr>
          <w:rFonts w:cs="Arial"/>
          <w:sz w:val="22"/>
          <w:szCs w:val="22"/>
        </w:rPr>
        <w:t>Summary of prep email discussion</w:t>
      </w:r>
      <w:r w:rsidR="009C2B6E" w:rsidRPr="00B15A49">
        <w:rPr>
          <w:rFonts w:cs="Arial"/>
          <w:sz w:val="22"/>
          <w:szCs w:val="22"/>
        </w:rPr>
        <w:t xml:space="preserve"> on </w:t>
      </w:r>
      <w:proofErr w:type="spellStart"/>
      <w:r w:rsidR="009C2B6E" w:rsidRPr="00B15A49">
        <w:rPr>
          <w:rFonts w:cs="Arial"/>
          <w:sz w:val="22"/>
          <w:szCs w:val="22"/>
        </w:rPr>
        <w:t>ULFPTx</w:t>
      </w:r>
      <w:proofErr w:type="spellEnd"/>
      <w:r>
        <w:rPr>
          <w:rFonts w:cs="Arial"/>
          <w:sz w:val="22"/>
          <w:szCs w:val="22"/>
        </w:rPr>
        <w:t>, RAN1#100b-e</w:t>
      </w:r>
    </w:p>
    <w:sectPr w:rsidR="004A259A" w:rsidRPr="00D54472" w:rsidSect="009435B6">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B5067" w14:textId="77777777" w:rsidR="00A60768" w:rsidRDefault="00A60768">
      <w:r>
        <w:separator/>
      </w:r>
    </w:p>
  </w:endnote>
  <w:endnote w:type="continuationSeparator" w:id="0">
    <w:p w14:paraId="6BBE7DA8" w14:textId="77777777" w:rsidR="00A60768" w:rsidRDefault="00A6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26598" w14:textId="77777777" w:rsidR="00A60768" w:rsidRDefault="00A60768">
      <w:r>
        <w:separator/>
      </w:r>
    </w:p>
  </w:footnote>
  <w:footnote w:type="continuationSeparator" w:id="0">
    <w:p w14:paraId="6C0B5991" w14:textId="77777777" w:rsidR="00A60768" w:rsidRDefault="00A60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54CC"/>
    <w:multiLevelType w:val="hybridMultilevel"/>
    <w:tmpl w:val="E19A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8F08D9"/>
    <w:multiLevelType w:val="hybridMultilevel"/>
    <w:tmpl w:val="6240B20A"/>
    <w:lvl w:ilvl="0" w:tplc="83DAA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9">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1">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2">
    <w:nsid w:val="6BA7375A"/>
    <w:multiLevelType w:val="hybridMultilevel"/>
    <w:tmpl w:val="4222612E"/>
    <w:lvl w:ilvl="0" w:tplc="4F26BFC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8"/>
  </w:num>
  <w:num w:numId="6">
    <w:abstractNumId w:val="5"/>
  </w:num>
  <w:num w:numId="7">
    <w:abstractNumId w:val="4"/>
  </w:num>
  <w:num w:numId="8">
    <w:abstractNumId w:val="7"/>
  </w:num>
  <w:num w:numId="9">
    <w:abstractNumId w:val="3"/>
  </w:num>
  <w:num w:numId="10">
    <w:abstractNumId w:val="1"/>
  </w:num>
  <w:num w:numId="11">
    <w:abstractNumId w:val="14"/>
  </w:num>
  <w:num w:numId="12">
    <w:abstractNumId w:val="11"/>
  </w:num>
  <w:num w:numId="13">
    <w:abstractNumId w:val="12"/>
  </w:num>
  <w:num w:numId="14">
    <w:abstractNumId w:val="9"/>
  </w:num>
  <w:num w:numId="15">
    <w:abstractNumId w:val="16"/>
  </w:num>
  <w:num w:numId="16">
    <w:abstractNumId w:val="12"/>
  </w:num>
  <w:num w:numId="17">
    <w:abstractNumId w:val="2"/>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11F4-1B55-4CF2-B6D7-AE0AC616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Runhua Chen</cp:lastModifiedBy>
  <cp:revision>2</cp:revision>
  <cp:lastPrinted>2011-08-03T09:36:00Z</cp:lastPrinted>
  <dcterms:created xsi:type="dcterms:W3CDTF">2020-04-20T18:45:00Z</dcterms:created>
  <dcterms:modified xsi:type="dcterms:W3CDTF">2020-04-20T18:45:00Z</dcterms:modified>
</cp:coreProperties>
</file>