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6E7E33A"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Discussion</w:t>
      </w:r>
    </w:p>
    <w:p w14:paraId="70A98457" w14:textId="08F34021"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[100b-e-Prep-NR-UEFeatures-Others], following input was provided.</w:t>
      </w:r>
      <w:r w:rsidR="007A62FD">
        <w:rPr>
          <w:rFonts w:eastAsia="MS Mincho"/>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An important additional 1</w:t>
            </w:r>
            <w:r w:rsidRPr="00BA5BFF">
              <w:rPr>
                <w:rFonts w:ascii="Calibri" w:eastAsia="MS PGothic" w:hAnsi="Calibri" w:cs="Calibri"/>
                <w:sz w:val="22"/>
                <w:szCs w:val="22"/>
                <w:highlight w:val="yellow"/>
                <w:vertAlign w:val="superscript"/>
                <w:lang w:val="en-US"/>
              </w:rPr>
              <w:t>st</w:t>
            </w:r>
            <w:r w:rsidRPr="00BA5BFF">
              <w:rPr>
                <w:rFonts w:ascii="Calibri" w:eastAsia="MS PGothic" w:hAnsi="Calibri" w:cs="Calibri"/>
                <w:sz w:val="22"/>
                <w:szCs w:val="22"/>
                <w:highlight w:val="yellow"/>
                <w:lang w:val="en-US"/>
              </w:rPr>
              <w:t xml:space="preserve"> 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MS PGothic"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lastRenderedPageBreak/>
              <w:t xml:space="preserve">As an additional topic, we would like to clarify whether or not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MS Mincho"/>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0855046B" w:rsidR="007A62FD" w:rsidRDefault="003B738F" w:rsidP="00C92CA9">
            <w:pPr>
              <w:spacing w:after="0"/>
              <w:jc w:val="both"/>
              <w:rPr>
                <w:sz w:val="22"/>
                <w:lang w:val="en-US"/>
              </w:rPr>
            </w:pPr>
            <w:r>
              <w:rPr>
                <w:sz w:val="22"/>
                <w:lang w:val="en-US"/>
              </w:rPr>
              <w:t>Ericsson</w:t>
            </w:r>
          </w:p>
        </w:tc>
        <w:tc>
          <w:tcPr>
            <w:tcW w:w="7982" w:type="dxa"/>
          </w:tcPr>
          <w:p w14:paraId="0840571B" w14:textId="4EBA8700" w:rsidR="007A62FD" w:rsidRPr="003B738F" w:rsidRDefault="003B738F" w:rsidP="003B738F">
            <w:pPr>
              <w:spacing w:after="0"/>
              <w:rPr>
                <w:sz w:val="22"/>
                <w:lang w:val="en-US"/>
              </w:rPr>
            </w:pPr>
            <w:r>
              <w:rPr>
                <w:sz w:val="22"/>
                <w:lang w:val="en-US"/>
              </w:rPr>
              <w:t xml:space="preserve">According to </w:t>
            </w:r>
            <w:r w:rsidRPr="003B738F">
              <w:rPr>
                <w:sz w:val="22"/>
                <w:lang w:val="en-US"/>
              </w:rPr>
              <w:t>our understanding a proposal to convert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the signaling per band is already very large. I</w:t>
            </w:r>
            <w:r>
              <w:rPr>
                <w:sz w:val="22"/>
                <w:lang w:val="en-US"/>
              </w:rPr>
              <w:t>n</w:t>
            </w:r>
            <w:r w:rsidRPr="003B738F">
              <w:rPr>
                <w:sz w:val="22"/>
                <w:lang w:val="en-US"/>
              </w:rPr>
              <w:t xml:space="preserve">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tc>
      </w:tr>
      <w:tr w:rsidR="0026381F" w14:paraId="7DC0166A" w14:textId="77777777" w:rsidTr="00C92CA9">
        <w:tc>
          <w:tcPr>
            <w:tcW w:w="1980" w:type="dxa"/>
          </w:tcPr>
          <w:p w14:paraId="503DD494" w14:textId="4466A330" w:rsidR="0026381F" w:rsidRPr="0026381F" w:rsidRDefault="0026381F" w:rsidP="0026381F">
            <w:pPr>
              <w:spacing w:after="0"/>
              <w:jc w:val="both"/>
              <w:rPr>
                <w:sz w:val="22"/>
              </w:rPr>
            </w:pPr>
            <w:r w:rsidRPr="0026381F">
              <w:rPr>
                <w:sz w:val="21"/>
                <w:szCs w:val="21"/>
              </w:rPr>
              <w:t>Huawei, HiSi</w:t>
            </w:r>
          </w:p>
        </w:tc>
        <w:tc>
          <w:tcPr>
            <w:tcW w:w="7982" w:type="dxa"/>
          </w:tcPr>
          <w:p w14:paraId="308F4C05" w14:textId="1A89419F" w:rsidR="0026381F" w:rsidRPr="0026381F" w:rsidRDefault="0026381F" w:rsidP="0026381F">
            <w:pPr>
              <w:rPr>
                <w:sz w:val="22"/>
                <w:lang w:val="en-US"/>
              </w:rPr>
            </w:pPr>
            <w:r w:rsidRPr="0026381F">
              <w:rPr>
                <w:sz w:val="22"/>
                <w:lang w:val="en-US"/>
              </w:rPr>
              <w:t>We’d like to focus on the discussion to be for Rel-16 UE features.</w:t>
            </w:r>
          </w:p>
          <w:p w14:paraId="6F111784" w14:textId="373B445D" w:rsidR="0026381F" w:rsidRPr="0026381F" w:rsidRDefault="0026381F" w:rsidP="0026381F">
            <w:pPr>
              <w:rPr>
                <w:sz w:val="22"/>
                <w:lang w:val="en-US"/>
              </w:rPr>
            </w:pPr>
            <w:r w:rsidRPr="0026381F">
              <w:rPr>
                <w:sz w:val="22"/>
                <w:lang w:val="en-US"/>
              </w:rPr>
              <w:t>About converti</w:t>
            </w:r>
            <w:r>
              <w:rPr>
                <w:sz w:val="22"/>
                <w:lang w:val="en-US"/>
              </w:rPr>
              <w:t xml:space="preserve">ng FGs from per-UE to per-band, </w:t>
            </w:r>
            <w:r w:rsidRPr="0026381F">
              <w:rPr>
                <w:sz w:val="22"/>
                <w:lang w:val="en-US"/>
              </w:rPr>
              <w:t>such di</w:t>
            </w:r>
            <w:r>
              <w:rPr>
                <w:sz w:val="22"/>
                <w:lang w:val="en-US"/>
              </w:rPr>
              <w:t xml:space="preserve">fferentiated reporting may only </w:t>
            </w:r>
            <w:r w:rsidRPr="0026381F">
              <w:rPr>
                <w:sz w:val="22"/>
                <w:lang w:val="en-US"/>
              </w:rPr>
              <w:t>matter for a UE that reports supporting both licensed and unlicensed bands.</w:t>
            </w:r>
            <w:r>
              <w:rPr>
                <w:sz w:val="22"/>
                <w:lang w:val="en-US"/>
              </w:rPr>
              <w:t xml:space="preserve"> </w:t>
            </w:r>
            <w:r w:rsidRPr="0026381F">
              <w:rPr>
                <w:sz w:val="22"/>
                <w:lang w:val="en-US"/>
              </w:rPr>
              <w:t>If the technologies and UE implementation complexity</w:t>
            </w:r>
            <w:r>
              <w:rPr>
                <w:sz w:val="22"/>
                <w:lang w:val="en-US"/>
              </w:rPr>
              <w:t xml:space="preserve"> </w:t>
            </w:r>
            <w:r w:rsidRPr="0026381F">
              <w:rPr>
                <w:sz w:val="22"/>
                <w:lang w:val="en-US"/>
              </w:rPr>
              <w:t>for a per-UE reported feature is not differentiated by shared or non-shared spectrum or by the number of supported bands, the IODT does not seem to be a concern and the feature can be supported on all bands supported by the UE. If the market motivates a different timing between licensed and unlicensed band</w:t>
            </w:r>
            <w:r>
              <w:rPr>
                <w:sz w:val="22"/>
                <w:lang w:val="en-US"/>
              </w:rPr>
              <w:t xml:space="preserve"> </w:t>
            </w:r>
            <w:r w:rsidRPr="0026381F">
              <w:rPr>
                <w:sz w:val="22"/>
                <w:lang w:val="en-US"/>
              </w:rPr>
              <w:t>for implementing a</w:t>
            </w:r>
            <w:r>
              <w:rPr>
                <w:sz w:val="22"/>
                <w:lang w:val="en-US"/>
              </w:rPr>
              <w:t xml:space="preserve"> </w:t>
            </w:r>
            <w:r w:rsidRPr="0026381F">
              <w:rPr>
                <w:sz w:val="22"/>
                <w:lang w:val="en-US"/>
              </w:rPr>
              <w:t>feature for a particular type of UE, i.e. the UE is designed only</w:t>
            </w:r>
            <w:r>
              <w:rPr>
                <w:sz w:val="22"/>
                <w:lang w:val="en-US"/>
              </w:rPr>
              <w:t xml:space="preserve"> </w:t>
            </w:r>
            <w:r w:rsidRPr="0026381F">
              <w:rPr>
                <w:sz w:val="22"/>
                <w:lang w:val="en-US"/>
              </w:rPr>
              <w:t>for one or the other such as a standalone unlicensed UE that only supports one unlicensed band, then UE reporting support or not support of</w:t>
            </w:r>
            <w:r>
              <w:rPr>
                <w:sz w:val="22"/>
                <w:lang w:val="en-US"/>
              </w:rPr>
              <w:t xml:space="preserve"> </w:t>
            </w:r>
            <w:r w:rsidRPr="0026381F">
              <w:rPr>
                <w:sz w:val="22"/>
                <w:lang w:val="en-US"/>
              </w:rPr>
              <w:t>the feature can still be reported per-UE.</w:t>
            </w:r>
            <w:r>
              <w:rPr>
                <w:sz w:val="22"/>
                <w:lang w:val="en-US"/>
              </w:rPr>
              <w:t xml:space="preserve"> </w:t>
            </w:r>
            <w:r w:rsidRPr="0026381F">
              <w:rPr>
                <w:sz w:val="22"/>
                <w:lang w:val="en-US"/>
              </w:rPr>
              <w:t>It would be good to discuss</w:t>
            </w:r>
            <w:r>
              <w:rPr>
                <w:sz w:val="22"/>
                <w:lang w:val="en-US"/>
              </w:rPr>
              <w:t xml:space="preserve"> </w:t>
            </w:r>
            <w:r w:rsidRPr="0026381F">
              <w:rPr>
                <w:sz w:val="22"/>
                <w:lang w:val="en-US"/>
              </w:rPr>
              <w:t>case-by-case see which FG(s), if raised, may not be able to apply to NR-U.</w:t>
            </w:r>
          </w:p>
        </w:tc>
      </w:tr>
      <w:tr w:rsidR="007A62FD" w14:paraId="7DF932AB" w14:textId="77777777" w:rsidTr="00C92CA9">
        <w:tc>
          <w:tcPr>
            <w:tcW w:w="1980" w:type="dxa"/>
          </w:tcPr>
          <w:p w14:paraId="4D28DD43" w14:textId="097C9352" w:rsidR="007A62FD" w:rsidRPr="00E35784" w:rsidRDefault="0096072E" w:rsidP="00C92CA9">
            <w:pPr>
              <w:spacing w:after="0"/>
              <w:jc w:val="both"/>
              <w:rPr>
                <w:rFonts w:eastAsia="SimSun"/>
                <w:sz w:val="22"/>
                <w:lang w:val="en-US" w:eastAsia="zh-CN"/>
              </w:rPr>
            </w:pPr>
            <w:r>
              <w:rPr>
                <w:rFonts w:eastAsia="SimSun"/>
                <w:sz w:val="22"/>
                <w:lang w:val="en-US" w:eastAsia="zh-CN"/>
              </w:rPr>
              <w:t>Qualcomm</w:t>
            </w:r>
          </w:p>
        </w:tc>
        <w:tc>
          <w:tcPr>
            <w:tcW w:w="7982" w:type="dxa"/>
          </w:tcPr>
          <w:p w14:paraId="6C60C832" w14:textId="2B48597D" w:rsidR="0096072E" w:rsidRDefault="0096072E" w:rsidP="00C92CA9">
            <w:pPr>
              <w:spacing w:after="0"/>
              <w:jc w:val="both"/>
              <w:rPr>
                <w:sz w:val="22"/>
                <w:lang w:val="en-US"/>
              </w:rPr>
            </w:pPr>
            <w:r>
              <w:rPr>
                <w:sz w:val="22"/>
                <w:lang w:val="en-US"/>
              </w:rPr>
              <w:t xml:space="preserve">We are open to discussing other options, but so far band dependent capability seemed to be the best available. Yes, it could be discussed if exceptions are needed. </w:t>
            </w:r>
          </w:p>
          <w:p w14:paraId="3FF13561" w14:textId="77777777" w:rsidR="007A62FD" w:rsidRDefault="0096072E" w:rsidP="00C92CA9">
            <w:pPr>
              <w:spacing w:after="0"/>
              <w:jc w:val="both"/>
              <w:rPr>
                <w:sz w:val="22"/>
                <w:lang w:val="en-US"/>
              </w:rPr>
            </w:pPr>
            <w:r>
              <w:rPr>
                <w:sz w:val="22"/>
                <w:lang w:val="en-US"/>
              </w:rPr>
              <w:t xml:space="preserve">Regarding Rel-15, we cannot change the Rel-15 signaling, so yes, a Rel-16 version should be created for the applicable cases.  </w:t>
            </w:r>
          </w:p>
          <w:p w14:paraId="33BD3DD0" w14:textId="2336413C" w:rsidR="0096072E" w:rsidRPr="00131EE6" w:rsidRDefault="0096072E" w:rsidP="00C92CA9">
            <w:pPr>
              <w:spacing w:after="0"/>
              <w:jc w:val="both"/>
              <w:rPr>
                <w:sz w:val="22"/>
                <w:lang w:val="en-US"/>
              </w:rPr>
            </w:pPr>
            <w:r>
              <w:rPr>
                <w:sz w:val="22"/>
                <w:lang w:val="en-US"/>
              </w:rPr>
              <w:t xml:space="preserve">Regarding the UE that supports only standalone unlicensed in a single band, we agree that the proposal is not needed. However, some solution should be found for the other UEs. </w:t>
            </w:r>
          </w:p>
        </w:tc>
      </w:tr>
      <w:tr w:rsidR="007A62FD" w14:paraId="4731570A" w14:textId="77777777" w:rsidTr="00C92CA9">
        <w:trPr>
          <w:trHeight w:val="70"/>
        </w:trPr>
        <w:tc>
          <w:tcPr>
            <w:tcW w:w="1980" w:type="dxa"/>
          </w:tcPr>
          <w:p w14:paraId="5C19CFB8" w14:textId="6E938518" w:rsidR="007A62FD" w:rsidRPr="00131EE6" w:rsidRDefault="00091D23" w:rsidP="00C92CA9">
            <w:pPr>
              <w:spacing w:after="0"/>
              <w:jc w:val="both"/>
              <w:rPr>
                <w:rFonts w:eastAsiaTheme="minorEastAsia"/>
                <w:sz w:val="22"/>
              </w:rPr>
            </w:pPr>
            <w:r>
              <w:rPr>
                <w:rFonts w:eastAsiaTheme="minorEastAsia"/>
                <w:sz w:val="22"/>
              </w:rPr>
              <w:t>Intel</w:t>
            </w:r>
          </w:p>
        </w:tc>
        <w:tc>
          <w:tcPr>
            <w:tcW w:w="7982" w:type="dxa"/>
          </w:tcPr>
          <w:p w14:paraId="0FD8AEEC" w14:textId="45B9D779" w:rsidR="007A62FD" w:rsidRDefault="00893959" w:rsidP="003B738F">
            <w:pPr>
              <w:spacing w:after="0"/>
              <w:jc w:val="both"/>
              <w:rPr>
                <w:sz w:val="22"/>
                <w:lang w:val="en-US"/>
              </w:rPr>
            </w:pPr>
            <w:r>
              <w:rPr>
                <w:sz w:val="22"/>
                <w:lang w:val="en-US"/>
              </w:rPr>
              <w:t>In our view, converting all per-UE features to per-band is too much</w:t>
            </w:r>
            <w:r w:rsidR="003B2A1B">
              <w:rPr>
                <w:sz w:val="22"/>
                <w:lang w:val="en-US"/>
              </w:rPr>
              <w:t xml:space="preserve"> by increasing signaling overhead</w:t>
            </w:r>
            <w:r>
              <w:rPr>
                <w:sz w:val="22"/>
                <w:lang w:val="en-US"/>
              </w:rPr>
              <w:t xml:space="preserve">. Per-UE capability </w:t>
            </w:r>
            <w:r w:rsidR="005863D6">
              <w:rPr>
                <w:sz w:val="22"/>
                <w:lang w:val="en-US"/>
              </w:rPr>
              <w:t>explains baseband capability and there is no need to consider unlicensed operation.</w:t>
            </w:r>
          </w:p>
          <w:p w14:paraId="5D060D7D" w14:textId="77777777" w:rsidR="005863D6" w:rsidRDefault="005863D6" w:rsidP="003B738F">
            <w:pPr>
              <w:spacing w:after="0"/>
              <w:jc w:val="both"/>
              <w:rPr>
                <w:sz w:val="22"/>
                <w:lang w:val="en-US"/>
              </w:rPr>
            </w:pPr>
          </w:p>
          <w:p w14:paraId="65429A96" w14:textId="384276CB" w:rsidR="005863D6" w:rsidRPr="003B738F" w:rsidRDefault="005863D6" w:rsidP="003B738F">
            <w:pPr>
              <w:spacing w:after="0"/>
              <w:jc w:val="both"/>
              <w:rPr>
                <w:sz w:val="22"/>
                <w:lang w:val="en-US"/>
              </w:rPr>
            </w:pPr>
            <w:r>
              <w:rPr>
                <w:sz w:val="22"/>
                <w:lang w:val="en-US"/>
              </w:rPr>
              <w:t xml:space="preserve">If there is any need </w:t>
            </w:r>
            <w:r w:rsidR="003B2A1B">
              <w:rPr>
                <w:sz w:val="22"/>
                <w:lang w:val="en-US"/>
              </w:rPr>
              <w:t xml:space="preserve">to be distinguished, </w:t>
            </w:r>
            <w:r w:rsidR="001E4867">
              <w:rPr>
                <w:sz w:val="22"/>
                <w:lang w:val="en-US"/>
              </w:rPr>
              <w:t xml:space="preserve">we can discuss other option </w:t>
            </w:r>
            <w:r w:rsidR="003B2A1B">
              <w:rPr>
                <w:sz w:val="22"/>
                <w:lang w:val="en-US"/>
              </w:rPr>
              <w:t>(still not prefer</w:t>
            </w:r>
            <w:r w:rsidR="001E4867">
              <w:rPr>
                <w:sz w:val="22"/>
                <w:lang w:val="en-US"/>
              </w:rPr>
              <w:t>red</w:t>
            </w:r>
            <w:r w:rsidR="003B2A1B">
              <w:rPr>
                <w:sz w:val="22"/>
                <w:lang w:val="en-US"/>
              </w:rPr>
              <w:t xml:space="preserve"> though)</w:t>
            </w:r>
            <w:r w:rsidR="001E4867">
              <w:rPr>
                <w:sz w:val="22"/>
                <w:lang w:val="en-US"/>
              </w:rPr>
              <w:t xml:space="preserve"> – e.g. introducing licensed/unlicensed differentiation bit from Rel-16.</w:t>
            </w:r>
            <w:bookmarkStart w:id="2" w:name="_GoBack"/>
            <w:bookmarkEnd w:id="2"/>
          </w:p>
        </w:tc>
      </w:tr>
    </w:tbl>
    <w:p w14:paraId="3C5F177E" w14:textId="0BFF4625" w:rsidR="00BA5BFF" w:rsidRDefault="00BA5BFF" w:rsidP="00BA5BFF">
      <w:pPr>
        <w:rPr>
          <w:highlight w:val="cyan"/>
        </w:rPr>
      </w:pPr>
    </w:p>
    <w:p w14:paraId="5B32B6F5" w14:textId="77777777" w:rsidR="00BA5BFF" w:rsidRDefault="00BA5BFF" w:rsidP="00BA5BFF">
      <w:pPr>
        <w:rPr>
          <w:highlight w:val="cyan"/>
        </w:rPr>
      </w:pPr>
    </w:p>
    <w:p w14:paraId="5E2B2A48" w14:textId="77777777" w:rsidR="00BA5BFF" w:rsidRPr="00EE092A" w:rsidRDefault="00BA5BFF" w:rsidP="00BA5BFF">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020218" w14:textId="77777777"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Heading1"/>
        <w:spacing w:before="180" w:after="120"/>
        <w:rPr>
          <w:rFonts w:eastAsia="MS Mincho"/>
          <w:b/>
          <w:bCs/>
          <w:szCs w:val="24"/>
          <w:lang w:val="en-US"/>
        </w:rPr>
      </w:pPr>
      <w:r w:rsidRPr="00EE092A">
        <w:rPr>
          <w:rFonts w:eastAsia="MS Mincho"/>
          <w:b/>
          <w:bCs/>
          <w:szCs w:val="24"/>
          <w:lang w:val="en-US"/>
        </w:rPr>
        <w:lastRenderedPageBreak/>
        <w:t>References</w:t>
      </w:r>
    </w:p>
    <w:p w14:paraId="4B662841" w14:textId="77777777" w:rsidR="00BA5BFF" w:rsidRDefault="00BA5BFF" w:rsidP="00BA5BFF">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292327FF" w14:textId="77777777" w:rsidR="00BA5BFF" w:rsidRPr="00E42532" w:rsidRDefault="00BA5BFF" w:rsidP="00BA5BFF">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44C22812" w14:textId="77777777" w:rsidR="00BA5BFF" w:rsidRPr="00E42532" w:rsidRDefault="00BA5BFF" w:rsidP="00BA5BFF">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67880A7C" w14:textId="77777777" w:rsidR="00BA5BFF" w:rsidRPr="00E42532" w:rsidRDefault="00BA5BFF" w:rsidP="00BA5BFF">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69072FFB" w14:textId="77777777" w:rsidR="00BA5BFF" w:rsidRPr="00E42532" w:rsidRDefault="00BA5BFF" w:rsidP="00BA5BFF">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53C89077" w14:textId="77777777" w:rsidR="00BA5BFF" w:rsidRDefault="00BA5BFF" w:rsidP="00BA5BFF">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505B0EBB" w14:textId="77777777" w:rsidR="00BA5BFF" w:rsidRPr="00E42532" w:rsidRDefault="00BA5BFF" w:rsidP="00BA5BFF">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5050EC2E" w14:textId="77777777" w:rsidR="00BA5BFF" w:rsidRPr="00E42532" w:rsidRDefault="00BA5BFF" w:rsidP="00BA5BFF">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4B818F28" w14:textId="77777777" w:rsidR="00BA5BFF" w:rsidRDefault="00BA5BFF" w:rsidP="00BA5BFF">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445DC154" w14:textId="77777777" w:rsidR="00BA5BFF" w:rsidRDefault="00BA5BFF" w:rsidP="00BA5BFF">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BA5BFF" w:rsidSect="00BA5BFF">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12B8" w14:textId="77777777" w:rsidR="00FE346B" w:rsidRDefault="00FE346B">
      <w:r>
        <w:separator/>
      </w:r>
    </w:p>
  </w:endnote>
  <w:endnote w:type="continuationSeparator" w:id="0">
    <w:p w14:paraId="31D3FE58" w14:textId="77777777" w:rsidR="00FE346B" w:rsidRDefault="00FE346B">
      <w:r>
        <w:continuationSeparator/>
      </w:r>
    </w:p>
  </w:endnote>
  <w:endnote w:type="continuationNotice" w:id="1">
    <w:p w14:paraId="730C9F98" w14:textId="77777777" w:rsidR="00FE346B" w:rsidRDefault="00FE3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093A11B" w:rsidR="00F12E64" w:rsidRPr="00000924" w:rsidRDefault="00F12E6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6381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6381F">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12B0" w14:textId="77777777" w:rsidR="00FE346B" w:rsidRDefault="00FE346B">
      <w:r>
        <w:separator/>
      </w:r>
    </w:p>
  </w:footnote>
  <w:footnote w:type="continuationSeparator" w:id="0">
    <w:p w14:paraId="19AE8974" w14:textId="77777777" w:rsidR="00FE346B" w:rsidRDefault="00FE346B">
      <w:r>
        <w:continuationSeparator/>
      </w:r>
    </w:p>
  </w:footnote>
  <w:footnote w:type="continuationNotice" w:id="1">
    <w:p w14:paraId="287B6FC7" w14:textId="77777777" w:rsidR="00FE346B" w:rsidRDefault="00FE34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A60F14"/>
    <w:multiLevelType w:val="hybridMultilevel"/>
    <w:tmpl w:val="7FBE3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0"/>
  </w:num>
  <w:num w:numId="3">
    <w:abstractNumId w:val="44"/>
  </w:num>
  <w:num w:numId="4">
    <w:abstractNumId w:val="29"/>
  </w:num>
  <w:num w:numId="5">
    <w:abstractNumId w:val="8"/>
  </w:num>
  <w:num w:numId="6">
    <w:abstractNumId w:val="16"/>
  </w:num>
  <w:num w:numId="7">
    <w:abstractNumId w:val="24"/>
  </w:num>
  <w:num w:numId="8">
    <w:abstractNumId w:val="27"/>
  </w:num>
  <w:num w:numId="9">
    <w:abstractNumId w:val="40"/>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2"/>
  </w:num>
  <w:num w:numId="18">
    <w:abstractNumId w:val="26"/>
  </w:num>
  <w:num w:numId="19">
    <w:abstractNumId w:val="21"/>
  </w:num>
  <w:num w:numId="20">
    <w:abstractNumId w:val="4"/>
  </w:num>
  <w:num w:numId="21">
    <w:abstractNumId w:val="5"/>
  </w:num>
  <w:num w:numId="22">
    <w:abstractNumId w:val="23"/>
  </w:num>
  <w:num w:numId="23">
    <w:abstractNumId w:val="7"/>
  </w:num>
  <w:num w:numId="24">
    <w:abstractNumId w:val="31"/>
  </w:num>
  <w:num w:numId="25">
    <w:abstractNumId w:val="0"/>
  </w:num>
  <w:num w:numId="26">
    <w:abstractNumId w:val="17"/>
  </w:num>
  <w:num w:numId="27">
    <w:abstractNumId w:val="45"/>
  </w:num>
  <w:num w:numId="28">
    <w:abstractNumId w:val="42"/>
  </w:num>
  <w:num w:numId="29">
    <w:abstractNumId w:val="33"/>
  </w:num>
  <w:num w:numId="30">
    <w:abstractNumId w:val="11"/>
  </w:num>
  <w:num w:numId="31">
    <w:abstractNumId w:val="6"/>
  </w:num>
  <w:num w:numId="32">
    <w:abstractNumId w:val="19"/>
  </w:num>
  <w:num w:numId="33">
    <w:abstractNumId w:val="6"/>
  </w:num>
  <w:num w:numId="34">
    <w:abstractNumId w:val="28"/>
  </w:num>
  <w:num w:numId="35">
    <w:abstractNumId w:val="38"/>
  </w:num>
  <w:num w:numId="36">
    <w:abstractNumId w:val="3"/>
  </w:num>
  <w:num w:numId="37">
    <w:abstractNumId w:val="39"/>
  </w:num>
  <w:num w:numId="38">
    <w:abstractNumId w:val="13"/>
  </w:num>
  <w:num w:numId="39">
    <w:abstractNumId w:val="12"/>
  </w:num>
  <w:num w:numId="40">
    <w:abstractNumId w:val="30"/>
  </w:num>
  <w:num w:numId="41">
    <w:abstractNumId w:val="18"/>
  </w:num>
  <w:num w:numId="42">
    <w:abstractNumId w:val="43"/>
  </w:num>
  <w:num w:numId="43">
    <w:abstractNumId w:val="34"/>
  </w:num>
  <w:num w:numId="44">
    <w:abstractNumId w:val="37"/>
  </w:num>
  <w:num w:numId="45">
    <w:abstractNumId w:val="10"/>
  </w:num>
  <w:num w:numId="46">
    <w:abstractNumId w:val="41"/>
  </w:num>
  <w:num w:numId="47">
    <w:abstractNumId w:val="22"/>
  </w:num>
  <w:num w:numId="48">
    <w:abstractNumId w:val="35"/>
  </w:num>
  <w:num w:numId="49">
    <w:abstractNumId w:val="15"/>
  </w:num>
  <w:num w:numId="5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D23"/>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867"/>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CBA"/>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81F"/>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A3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A1B"/>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38F"/>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3D6"/>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3959"/>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72E"/>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8B2"/>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2A"/>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3D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6B"/>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5BF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35"/>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Heading2Char">
    <w:name w:val="Heading 2 Char"/>
    <w:aliases w:val="DO NOT USE_h2 Char,h2 Char,h21 Char,H2 Char,Head2A Char,2 Char,UNDERRUBRIK 1-2 Char"/>
    <w:basedOn w:val="DefaultParagraphFont"/>
    <w:link w:val="Heading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47198001">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62f0e3c9-b9bd-4201-a3db-c194daf94caa"/>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2eca322e-59ec-4a93-963a-d82d35646e0e"/>
    <ds:schemaRef ds:uri="http://purl.org/dc/terms/"/>
  </ds:schemaRefs>
</ds:datastoreItem>
</file>

<file path=customXml/itemProps4.xml><?xml version="1.0" encoding="utf-8"?>
<ds:datastoreItem xmlns:ds="http://schemas.openxmlformats.org/officeDocument/2006/customXml" ds:itemID="{29652649-053D-4EE0-925B-21BF8552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923</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Intel</cp:lastModifiedBy>
  <cp:revision>7</cp:revision>
  <cp:lastPrinted>2017-08-09T04:40:00Z</cp:lastPrinted>
  <dcterms:created xsi:type="dcterms:W3CDTF">2020-04-28T20:38:00Z</dcterms:created>
  <dcterms:modified xsi:type="dcterms:W3CDTF">2020-04-28T20:43:00Z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(3)gSqXg2DRlWWcRR10rPlpmtKAIMgtM6x0dmhUoYJnspdGm7cZyqJD2/b0qrBNtt0FipK2MWBW
zW150jS2KWLepWy0oUTvpQN9TeFlo0+oSbp2uR/gpqWbDwnxII35nA8CSeCrX+7tpJxcefes
HYmQI0OLqewlbGcv3BCa2ZK0jl9UZIvY+rlYbaHo4OfQcNw8FgrJ590XxZQ7pHybCDeOEKDP
zb8JjVA9SwSu9rpxvy</vt:lpwstr>
  </property>
  <property fmtid="{D5CDD505-2E9C-101B-9397-08002B2CF9AE}" pid="4" name="_2015_ms_pID_7253431">
    <vt:lpwstr>66iE35pxpY9E811kWYHOfeS6ZlJzQ56QNbVWxWvZYfBpp67ovUamuj
FNizJeyTovwpiyXmseQ2wv5H40WHuTXUumeq2pssqS6LQ+JH4Q7h3eQ/cBToMcpfZQcUw+YP
bv3QJrNXC6tZV2y7QzLx+MI3Kp7P3grGkBBfMXqhJjy2CS7r7QIf3+oZ0yOerGL6Wg4eRpiC
byMmO/VNWNIRilxzkA6SmaqoI2rtlqvwLyhe</vt:lpwstr>
  </property>
  <property fmtid="{D5CDD505-2E9C-101B-9397-08002B2CF9AE}" pid="5" name="_2015_ms_pID_7253432">
    <vt:lpwstr>iQ==</vt:lpwstr>
  </property>
</Properties>
</file>