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0BE37" w14:textId="4468F340" w:rsidR="00C36234" w:rsidRPr="00021E44" w:rsidRDefault="00C36234" w:rsidP="0072766A">
      <w:pPr>
        <w:pStyle w:val="Header"/>
        <w:tabs>
          <w:tab w:val="right" w:pos="9639"/>
        </w:tabs>
        <w:rPr>
          <w:bCs/>
          <w:noProof w:val="0"/>
          <w:sz w:val="24"/>
          <w:szCs w:val="24"/>
        </w:rPr>
      </w:pPr>
      <w:r w:rsidRPr="00656935">
        <w:rPr>
          <w:bCs/>
          <w:noProof w:val="0"/>
          <w:sz w:val="24"/>
          <w:szCs w:val="24"/>
        </w:rPr>
        <w:t>3GPP TSG RA</w:t>
      </w:r>
      <w:r w:rsidR="00F822A6" w:rsidRPr="00656935">
        <w:rPr>
          <w:bCs/>
          <w:noProof w:val="0"/>
          <w:sz w:val="24"/>
          <w:szCs w:val="24"/>
        </w:rPr>
        <w:t>N</w:t>
      </w:r>
      <w:r w:rsidRPr="00656935">
        <w:rPr>
          <w:bCs/>
          <w:noProof w:val="0"/>
          <w:sz w:val="24"/>
          <w:szCs w:val="24"/>
        </w:rPr>
        <w:t xml:space="preserve"> Meeting #</w:t>
      </w:r>
      <w:r w:rsidR="00F822A6" w:rsidRPr="00656935">
        <w:rPr>
          <w:bCs/>
          <w:noProof w:val="0"/>
          <w:sz w:val="24"/>
          <w:szCs w:val="24"/>
        </w:rPr>
        <w:t>8</w:t>
      </w:r>
      <w:r w:rsidR="00486EC2">
        <w:rPr>
          <w:bCs/>
          <w:noProof w:val="0"/>
          <w:sz w:val="24"/>
          <w:szCs w:val="24"/>
        </w:rPr>
        <w:t>3</w:t>
      </w:r>
      <w:r w:rsidRPr="00656935">
        <w:rPr>
          <w:bCs/>
          <w:noProof w:val="0"/>
          <w:sz w:val="24"/>
          <w:szCs w:val="24"/>
        </w:rPr>
        <w:tab/>
      </w:r>
      <w:r w:rsidR="00B15A19" w:rsidRPr="00386732">
        <w:rPr>
          <w:bCs/>
          <w:noProof w:val="0"/>
          <w:sz w:val="24"/>
          <w:szCs w:val="24"/>
        </w:rPr>
        <w:t>RP-190273</w:t>
      </w:r>
    </w:p>
    <w:p w14:paraId="728E3100" w14:textId="7298818C" w:rsidR="00C36234" w:rsidRDefault="00857974" w:rsidP="00C36234">
      <w:pPr>
        <w:pStyle w:val="Header"/>
        <w:rPr>
          <w:bCs/>
          <w:noProof w:val="0"/>
          <w:sz w:val="24"/>
          <w:szCs w:val="24"/>
        </w:rPr>
      </w:pPr>
      <w:r w:rsidRPr="00857974">
        <w:rPr>
          <w:bCs/>
          <w:noProof w:val="0"/>
          <w:sz w:val="24"/>
          <w:szCs w:val="24"/>
        </w:rPr>
        <w:t>Shenzhen, China, March 18-21, 2019</w:t>
      </w:r>
    </w:p>
    <w:p w14:paraId="415C2352" w14:textId="07BCF49C" w:rsidR="001C57E1" w:rsidRDefault="003862B9" w:rsidP="003862B9">
      <w:pPr>
        <w:pStyle w:val="Header"/>
        <w:tabs>
          <w:tab w:val="right" w:pos="9639"/>
        </w:tabs>
        <w:rPr>
          <w:bCs/>
          <w:noProof w:val="0"/>
          <w:sz w:val="24"/>
          <w:szCs w:val="24"/>
        </w:rPr>
      </w:pPr>
      <w:r>
        <w:rPr>
          <w:bCs/>
          <w:noProof w:val="0"/>
          <w:sz w:val="24"/>
          <w:szCs w:val="24"/>
        </w:rPr>
        <w:tab/>
      </w:r>
    </w:p>
    <w:p w14:paraId="2CFE1919" w14:textId="77777777" w:rsidR="00850D96" w:rsidRPr="00850D96" w:rsidRDefault="00850D96" w:rsidP="00CA26CE">
      <w:pPr>
        <w:pStyle w:val="Header"/>
        <w:rPr>
          <w:bCs/>
          <w:noProof w:val="0"/>
          <w:sz w:val="24"/>
          <w:lang w:val="en-GB" w:eastAsia="ja-JP"/>
        </w:rPr>
      </w:pPr>
    </w:p>
    <w:p w14:paraId="30E02941" w14:textId="35F785F0" w:rsidR="0034111C" w:rsidRPr="00331E40" w:rsidRDefault="0034111C" w:rsidP="16512788">
      <w:pPr>
        <w:pStyle w:val="CRCoverPage"/>
        <w:rPr>
          <w:rFonts w:cs="Arial"/>
          <w:b/>
          <w:bCs/>
          <w:sz w:val="24"/>
          <w:szCs w:val="24"/>
          <w:lang w:val="en-US" w:eastAsia="ja-JP"/>
        </w:rPr>
      </w:pPr>
      <w:r w:rsidRPr="00331E40">
        <w:rPr>
          <w:rFonts w:cs="Arial"/>
          <w:b/>
          <w:bCs/>
          <w:sz w:val="24"/>
          <w:szCs w:val="24"/>
        </w:rPr>
        <w:t>Agenda item:</w:t>
      </w:r>
      <w:r w:rsidRPr="00331E40">
        <w:rPr>
          <w:rFonts w:cs="Arial"/>
          <w:b/>
          <w:bCs/>
          <w:sz w:val="24"/>
        </w:rPr>
        <w:tab/>
      </w:r>
      <w:r w:rsidRPr="00331E40">
        <w:rPr>
          <w:rFonts w:cs="Arial"/>
          <w:b/>
          <w:bCs/>
          <w:sz w:val="24"/>
        </w:rPr>
        <w:tab/>
      </w:r>
      <w:r w:rsidR="00D4701E" w:rsidRPr="00D4701E">
        <w:rPr>
          <w:rFonts w:cs="Arial"/>
          <w:b/>
          <w:bCs/>
          <w:sz w:val="24"/>
          <w:szCs w:val="24"/>
        </w:rPr>
        <w:t>9.6</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00331E40">
        <w:rPr>
          <w:rFonts w:ascii="Arial" w:hAnsi="Arial" w:cs="Arial"/>
          <w:b/>
          <w:bCs/>
          <w:sz w:val="24"/>
          <w:szCs w:val="24"/>
        </w:rPr>
        <w:t>Source:</w:t>
      </w:r>
      <w:r w:rsidRPr="00331E40">
        <w:rPr>
          <w:rFonts w:ascii="Arial" w:hAnsi="Arial" w:cs="Arial"/>
          <w:b/>
          <w:bCs/>
          <w:sz w:val="24"/>
        </w:rPr>
        <w:tab/>
      </w:r>
      <w:r w:rsidR="00013455" w:rsidRPr="00331E40">
        <w:rPr>
          <w:rFonts w:ascii="Arial" w:hAnsi="Arial" w:cs="Arial"/>
          <w:b/>
          <w:bCs/>
          <w:sz w:val="24"/>
          <w:szCs w:val="24"/>
        </w:rPr>
        <w:t xml:space="preserve">Nokia, </w:t>
      </w:r>
      <w:r w:rsidR="00E67802" w:rsidRPr="00331E40">
        <w:rPr>
          <w:rFonts w:ascii="Arial" w:hAnsi="Arial" w:cs="Arial"/>
          <w:b/>
          <w:bCs/>
          <w:sz w:val="24"/>
          <w:szCs w:val="24"/>
        </w:rPr>
        <w:t>Nokia</w:t>
      </w:r>
      <w:r w:rsidR="00013455" w:rsidRPr="00331E40">
        <w:rPr>
          <w:rFonts w:ascii="Arial" w:hAnsi="Arial" w:cs="Arial"/>
          <w:b/>
          <w:bCs/>
          <w:sz w:val="24"/>
          <w:szCs w:val="24"/>
        </w:rPr>
        <w:t xml:space="preserve"> Shanghai Bell</w:t>
      </w:r>
    </w:p>
    <w:p w14:paraId="30E02943" w14:textId="1731506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D57EAD">
        <w:rPr>
          <w:rFonts w:ascii="Arial" w:hAnsi="Arial" w:cs="Arial"/>
          <w:b/>
          <w:bCs/>
          <w:sz w:val="24"/>
        </w:rPr>
        <w:t>On</w:t>
      </w:r>
      <w:r w:rsidR="00502F63">
        <w:rPr>
          <w:rFonts w:ascii="Arial" w:hAnsi="Arial" w:cs="Arial"/>
          <w:b/>
          <w:bCs/>
          <w:sz w:val="24"/>
        </w:rPr>
        <w:t xml:space="preserve"> </w:t>
      </w:r>
      <w:r w:rsidR="00D57EAD">
        <w:rPr>
          <w:rFonts w:ascii="Arial" w:hAnsi="Arial" w:cs="Arial"/>
          <w:b/>
          <w:bCs/>
          <w:sz w:val="24"/>
        </w:rPr>
        <w:t xml:space="preserve">the management of </w:t>
      </w:r>
      <w:r w:rsidR="00331E40" w:rsidRPr="00331E40">
        <w:rPr>
          <w:rFonts w:ascii="Arial" w:hAnsi="Arial" w:cs="Arial"/>
          <w:b/>
          <w:bCs/>
          <w:sz w:val="24"/>
        </w:rPr>
        <w:t xml:space="preserve">NR UE </w:t>
      </w:r>
      <w:r w:rsidR="00D57EAD">
        <w:rPr>
          <w:rFonts w:ascii="Arial" w:hAnsi="Arial" w:cs="Arial"/>
          <w:b/>
          <w:bCs/>
          <w:sz w:val="24"/>
        </w:rPr>
        <w:t xml:space="preserve">capabilities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6DDF81FD" w14:textId="77777777" w:rsidR="00255033" w:rsidRPr="00ED1327" w:rsidRDefault="00255033" w:rsidP="00255033">
      <w:pPr>
        <w:pStyle w:val="Heading1"/>
      </w:pPr>
      <w:r w:rsidRPr="0016316A">
        <w:t>Introduction</w:t>
      </w:r>
    </w:p>
    <w:p w14:paraId="15A5BC4B" w14:textId="6FA432B7" w:rsidR="003862B9" w:rsidRDefault="00486EC2" w:rsidP="00255033">
      <w:r>
        <w:t>In RAN#82 it has been agreed to further discuss how to handle NR UE features that have been categorized as “mandatory with capability”. In this contribution we discuss the proposed process to handle such features</w:t>
      </w:r>
      <w:r w:rsidR="00502F63">
        <w:t xml:space="preserve"> in 3GPP in RAN Plenary and relevant WGs. </w:t>
      </w:r>
    </w:p>
    <w:p w14:paraId="6B5A647B" w14:textId="20496649" w:rsidR="002255BB" w:rsidRDefault="002255BB" w:rsidP="00255033"/>
    <w:p w14:paraId="0EEC5493" w14:textId="38634E19" w:rsidR="00502F63" w:rsidRDefault="00AA36AC" w:rsidP="00561679">
      <w:pPr>
        <w:pStyle w:val="Heading1"/>
      </w:pPr>
      <w:r>
        <w:t>General considerations</w:t>
      </w:r>
      <w:bookmarkStart w:id="0" w:name="_Hlk528931115"/>
    </w:p>
    <w:p w14:paraId="3007C515" w14:textId="4A046350" w:rsidR="00486EC2" w:rsidRDefault="00502F63" w:rsidP="00561679">
      <w:r>
        <w:t xml:space="preserve">In RAN2#105 the CR to 38.306 in [1] has been agreed, which clarifies the </w:t>
      </w:r>
      <w:r w:rsidR="006D5935">
        <w:t>specification support for</w:t>
      </w:r>
      <w:r>
        <w:t xml:space="preserve"> features that are </w:t>
      </w:r>
      <w:proofErr w:type="gramStart"/>
      <w:r>
        <w:t>mandatory</w:t>
      </w:r>
      <w:proofErr w:type="gramEnd"/>
      <w:r>
        <w:t xml:space="preserve"> but which have an associated capability indication, </w:t>
      </w:r>
      <w:r w:rsidR="006D5935">
        <w:t>e.g.</w:t>
      </w:r>
      <w:r>
        <w:t xml:space="preserve"> those which are “mandatory with capability”</w:t>
      </w:r>
      <w:r w:rsidR="006D5935">
        <w:t xml:space="preserve"> in [2]</w:t>
      </w:r>
      <w:r>
        <w:t xml:space="preserve">. </w:t>
      </w:r>
      <w:proofErr w:type="gramStart"/>
      <w:r>
        <w:t xml:space="preserve">In </w:t>
      </w:r>
      <w:r w:rsidR="009D2354">
        <w:t>particular, the</w:t>
      </w:r>
      <w:proofErr w:type="gramEnd"/>
      <w:r w:rsidR="009D2354">
        <w:t xml:space="preserve"> following is defined in </w:t>
      </w:r>
      <w:r>
        <w:t>section 4.2.1 of [1]</w:t>
      </w:r>
      <w:r w:rsidR="009D2354">
        <w:t>:</w:t>
      </w:r>
    </w:p>
    <w:p w14:paraId="74B62D89" w14:textId="247C1E3F" w:rsidR="00502F63" w:rsidRPr="009D2354" w:rsidRDefault="00502F63" w:rsidP="00502F63">
      <w:pPr>
        <w:ind w:left="284"/>
        <w:rPr>
          <w:i/>
          <w:lang w:eastAsia="ja-JP"/>
        </w:rPr>
      </w:pPr>
      <w:r w:rsidRPr="009D2354">
        <w:rPr>
          <w:rFonts w:eastAsia="Malgun Gothic"/>
          <w:i/>
          <w:lang w:val="x-none" w:eastAsia="ko-KR"/>
        </w:rPr>
        <w:t xml:space="preserve">For </w:t>
      </w:r>
      <w:proofErr w:type="spellStart"/>
      <w:r w:rsidRPr="009D2354">
        <w:rPr>
          <w:rFonts w:eastAsia="Malgun Gothic"/>
          <w:i/>
          <w:lang w:val="x-none" w:eastAsia="ko-KR"/>
        </w:rPr>
        <w:t>optional</w:t>
      </w:r>
      <w:proofErr w:type="spellEnd"/>
      <w:r w:rsidRPr="009D2354">
        <w:rPr>
          <w:rFonts w:eastAsia="Malgun Gothic"/>
          <w:i/>
          <w:lang w:val="x-none" w:eastAsia="ko-KR"/>
        </w:rPr>
        <w:t xml:space="preserve"> </w:t>
      </w:r>
      <w:proofErr w:type="spellStart"/>
      <w:r w:rsidRPr="009D2354">
        <w:rPr>
          <w:rFonts w:eastAsia="Malgun Gothic"/>
          <w:i/>
          <w:lang w:val="x-none" w:eastAsia="ko-KR"/>
        </w:rPr>
        <w:t>features</w:t>
      </w:r>
      <w:proofErr w:type="spellEnd"/>
      <w:r w:rsidRPr="009D2354">
        <w:rPr>
          <w:rFonts w:eastAsia="Malgun Gothic"/>
          <w:i/>
          <w:lang w:val="x-none" w:eastAsia="ko-KR"/>
        </w:rPr>
        <w:t xml:space="preserve">, </w:t>
      </w:r>
      <w:proofErr w:type="spellStart"/>
      <w:r w:rsidRPr="009D2354">
        <w:rPr>
          <w:rFonts w:eastAsia="Malgun Gothic"/>
          <w:i/>
          <w:lang w:val="x-none" w:eastAsia="ko-KR"/>
        </w:rPr>
        <w:t>the</w:t>
      </w:r>
      <w:proofErr w:type="spellEnd"/>
      <w:r w:rsidRPr="009D2354">
        <w:rPr>
          <w:rFonts w:eastAsia="Malgun Gothic"/>
          <w:i/>
          <w:lang w:val="x-none" w:eastAsia="ko-KR"/>
        </w:rPr>
        <w:t xml:space="preserve"> UE radio </w:t>
      </w:r>
      <w:proofErr w:type="spellStart"/>
      <w:r w:rsidRPr="009D2354">
        <w:rPr>
          <w:rFonts w:eastAsia="Malgun Gothic"/>
          <w:i/>
          <w:lang w:val="x-none" w:eastAsia="ko-KR"/>
        </w:rPr>
        <w:t>access</w:t>
      </w:r>
      <w:proofErr w:type="spellEnd"/>
      <w:r w:rsidRPr="009D2354">
        <w:rPr>
          <w:rFonts w:eastAsia="Malgun Gothic"/>
          <w:i/>
          <w:lang w:val="x-none" w:eastAsia="ko-KR"/>
        </w:rPr>
        <w:t xml:space="preserve"> </w:t>
      </w:r>
      <w:proofErr w:type="spellStart"/>
      <w:r w:rsidRPr="009D2354">
        <w:rPr>
          <w:rFonts w:eastAsia="Malgun Gothic"/>
          <w:i/>
          <w:lang w:val="x-none" w:eastAsia="ko-KR"/>
        </w:rPr>
        <w:t>capability</w:t>
      </w:r>
      <w:proofErr w:type="spellEnd"/>
      <w:r w:rsidRPr="009D2354">
        <w:rPr>
          <w:rFonts w:eastAsia="Malgun Gothic"/>
          <w:i/>
          <w:lang w:val="x-none" w:eastAsia="ko-KR"/>
        </w:rPr>
        <w:t xml:space="preserve"> </w:t>
      </w:r>
      <w:proofErr w:type="spellStart"/>
      <w:r w:rsidRPr="009D2354">
        <w:rPr>
          <w:rFonts w:eastAsia="Malgun Gothic"/>
          <w:i/>
          <w:lang w:val="x-none" w:eastAsia="ko-KR"/>
        </w:rPr>
        <w:t>parameter</w:t>
      </w:r>
      <w:proofErr w:type="spellEnd"/>
      <w:r w:rsidRPr="009D2354">
        <w:rPr>
          <w:rFonts w:eastAsia="Malgun Gothic"/>
          <w:i/>
          <w:lang w:val="x-none" w:eastAsia="ko-KR"/>
        </w:rPr>
        <w:t xml:space="preserve"> </w:t>
      </w:r>
      <w:proofErr w:type="spellStart"/>
      <w:r w:rsidRPr="009D2354">
        <w:rPr>
          <w:rFonts w:eastAsia="Malgun Gothic"/>
          <w:i/>
          <w:lang w:val="x-none" w:eastAsia="ko-KR"/>
        </w:rPr>
        <w:t>indicates</w:t>
      </w:r>
      <w:proofErr w:type="spellEnd"/>
      <w:r w:rsidRPr="009D2354">
        <w:rPr>
          <w:rFonts w:eastAsia="Malgun Gothic"/>
          <w:i/>
          <w:lang w:val="x-none" w:eastAsia="ko-KR"/>
        </w:rPr>
        <w:t xml:space="preserve"> </w:t>
      </w:r>
      <w:proofErr w:type="spellStart"/>
      <w:r w:rsidRPr="009D2354">
        <w:rPr>
          <w:rFonts w:eastAsia="Malgun Gothic"/>
          <w:i/>
          <w:lang w:val="x-none" w:eastAsia="ko-KR"/>
        </w:rPr>
        <w:t>whether</w:t>
      </w:r>
      <w:proofErr w:type="spellEnd"/>
      <w:r w:rsidRPr="009D2354">
        <w:rPr>
          <w:rFonts w:eastAsia="Malgun Gothic"/>
          <w:i/>
          <w:lang w:val="x-none" w:eastAsia="ko-KR"/>
        </w:rPr>
        <w:t xml:space="preserve"> </w:t>
      </w:r>
      <w:proofErr w:type="spellStart"/>
      <w:r w:rsidRPr="009D2354">
        <w:rPr>
          <w:rFonts w:eastAsia="Malgun Gothic"/>
          <w:i/>
          <w:lang w:val="x-none" w:eastAsia="ko-KR"/>
        </w:rPr>
        <w:t>the</w:t>
      </w:r>
      <w:proofErr w:type="spellEnd"/>
      <w:r w:rsidRPr="009D2354">
        <w:rPr>
          <w:rFonts w:eastAsia="Malgun Gothic"/>
          <w:i/>
          <w:lang w:val="x-none" w:eastAsia="ko-KR"/>
        </w:rPr>
        <w:t xml:space="preserve"> feature </w:t>
      </w:r>
      <w:proofErr w:type="spellStart"/>
      <w:r w:rsidRPr="009D2354">
        <w:rPr>
          <w:rFonts w:eastAsia="Malgun Gothic"/>
          <w:i/>
          <w:lang w:val="x-none" w:eastAsia="ko-KR"/>
        </w:rPr>
        <w:t>has</w:t>
      </w:r>
      <w:proofErr w:type="spellEnd"/>
      <w:r w:rsidRPr="009D2354">
        <w:rPr>
          <w:rFonts w:eastAsia="Malgun Gothic"/>
          <w:i/>
          <w:lang w:val="x-none" w:eastAsia="ko-KR"/>
        </w:rPr>
        <w:t xml:space="preserve"> </w:t>
      </w:r>
      <w:proofErr w:type="spellStart"/>
      <w:r w:rsidRPr="009D2354">
        <w:rPr>
          <w:rFonts w:eastAsia="Malgun Gothic"/>
          <w:i/>
          <w:lang w:val="x-none" w:eastAsia="ko-KR"/>
        </w:rPr>
        <w:t>been</w:t>
      </w:r>
      <w:proofErr w:type="spellEnd"/>
      <w:r w:rsidRPr="009D2354">
        <w:rPr>
          <w:rFonts w:eastAsia="Malgun Gothic"/>
          <w:i/>
          <w:lang w:val="x-none" w:eastAsia="ko-KR"/>
        </w:rPr>
        <w:t xml:space="preserve"> </w:t>
      </w:r>
      <w:proofErr w:type="spellStart"/>
      <w:r w:rsidRPr="009D2354">
        <w:rPr>
          <w:rFonts w:eastAsia="Malgun Gothic"/>
          <w:i/>
          <w:lang w:val="x-none" w:eastAsia="ko-KR"/>
        </w:rPr>
        <w:t>implemented</w:t>
      </w:r>
      <w:proofErr w:type="spellEnd"/>
      <w:r w:rsidRPr="009D2354">
        <w:rPr>
          <w:rFonts w:eastAsia="Malgun Gothic"/>
          <w:i/>
          <w:lang w:val="x-none" w:eastAsia="ko-KR"/>
        </w:rPr>
        <w:t xml:space="preserve"> and </w:t>
      </w:r>
      <w:proofErr w:type="spellStart"/>
      <w:r w:rsidRPr="009D2354">
        <w:rPr>
          <w:rFonts w:eastAsia="Malgun Gothic"/>
          <w:i/>
          <w:lang w:val="x-none" w:eastAsia="ko-KR"/>
        </w:rPr>
        <w:t>successfully</w:t>
      </w:r>
      <w:proofErr w:type="spellEnd"/>
      <w:r w:rsidRPr="009D2354">
        <w:rPr>
          <w:rFonts w:eastAsia="Malgun Gothic"/>
          <w:i/>
          <w:lang w:val="x-none" w:eastAsia="ko-KR"/>
        </w:rPr>
        <w:t xml:space="preserve"> </w:t>
      </w:r>
      <w:proofErr w:type="spellStart"/>
      <w:r w:rsidRPr="009D2354">
        <w:rPr>
          <w:rFonts w:eastAsia="Malgun Gothic"/>
          <w:i/>
          <w:lang w:val="x-none" w:eastAsia="ko-KR"/>
        </w:rPr>
        <w:t>tested</w:t>
      </w:r>
      <w:proofErr w:type="spellEnd"/>
      <w:r w:rsidRPr="009D2354">
        <w:rPr>
          <w:rFonts w:eastAsia="Malgun Gothic"/>
          <w:i/>
          <w:lang w:val="x-none" w:eastAsia="ko-KR"/>
        </w:rPr>
        <w:t xml:space="preserve">. For </w:t>
      </w:r>
      <w:proofErr w:type="spellStart"/>
      <w:r w:rsidRPr="009D2354">
        <w:rPr>
          <w:rFonts w:eastAsia="Malgun Gothic"/>
          <w:i/>
          <w:lang w:val="x-none" w:eastAsia="ko-KR"/>
        </w:rPr>
        <w:t>mandatory</w:t>
      </w:r>
      <w:proofErr w:type="spellEnd"/>
      <w:r w:rsidRPr="009D2354">
        <w:rPr>
          <w:rFonts w:eastAsia="Malgun Gothic"/>
          <w:i/>
          <w:lang w:val="x-none" w:eastAsia="ko-KR"/>
        </w:rPr>
        <w:t xml:space="preserve"> </w:t>
      </w:r>
      <w:proofErr w:type="spellStart"/>
      <w:r w:rsidRPr="009D2354">
        <w:rPr>
          <w:rFonts w:eastAsia="Malgun Gothic"/>
          <w:i/>
          <w:lang w:val="x-none" w:eastAsia="ko-KR"/>
        </w:rPr>
        <w:t>features</w:t>
      </w:r>
      <w:proofErr w:type="spellEnd"/>
      <w:r w:rsidRPr="009D2354">
        <w:rPr>
          <w:rFonts w:eastAsia="Malgun Gothic"/>
          <w:i/>
          <w:lang w:val="x-none" w:eastAsia="ko-KR"/>
        </w:rPr>
        <w:t xml:space="preserve"> </w:t>
      </w:r>
      <w:proofErr w:type="spellStart"/>
      <w:r w:rsidRPr="009D2354">
        <w:rPr>
          <w:rFonts w:eastAsia="Malgun Gothic"/>
          <w:i/>
          <w:lang w:val="x-none" w:eastAsia="ko-KR"/>
        </w:rPr>
        <w:t>with</w:t>
      </w:r>
      <w:proofErr w:type="spellEnd"/>
      <w:r w:rsidRPr="009D2354">
        <w:rPr>
          <w:rFonts w:eastAsia="Malgun Gothic"/>
          <w:i/>
          <w:lang w:val="x-none" w:eastAsia="ko-KR"/>
        </w:rPr>
        <w:t xml:space="preserve"> </w:t>
      </w:r>
      <w:proofErr w:type="spellStart"/>
      <w:r w:rsidRPr="009D2354">
        <w:rPr>
          <w:rFonts w:eastAsia="Malgun Gothic"/>
          <w:i/>
          <w:lang w:val="x-none" w:eastAsia="ko-KR"/>
        </w:rPr>
        <w:t>the</w:t>
      </w:r>
      <w:proofErr w:type="spellEnd"/>
      <w:r w:rsidRPr="009D2354">
        <w:rPr>
          <w:rFonts w:eastAsia="Malgun Gothic"/>
          <w:i/>
          <w:lang w:val="x-none" w:eastAsia="ko-KR"/>
        </w:rPr>
        <w:t xml:space="preserve"> UE radio </w:t>
      </w:r>
      <w:proofErr w:type="spellStart"/>
      <w:r w:rsidRPr="009D2354">
        <w:rPr>
          <w:rFonts w:eastAsia="Malgun Gothic"/>
          <w:i/>
          <w:lang w:val="x-none" w:eastAsia="ko-KR"/>
        </w:rPr>
        <w:t>access</w:t>
      </w:r>
      <w:proofErr w:type="spellEnd"/>
      <w:r w:rsidRPr="009D2354">
        <w:rPr>
          <w:rFonts w:eastAsia="Malgun Gothic"/>
          <w:i/>
          <w:lang w:val="x-none" w:eastAsia="ko-KR"/>
        </w:rPr>
        <w:t xml:space="preserve"> </w:t>
      </w:r>
      <w:proofErr w:type="spellStart"/>
      <w:r w:rsidRPr="009D2354">
        <w:rPr>
          <w:rFonts w:eastAsia="Malgun Gothic"/>
          <w:i/>
          <w:lang w:val="x-none" w:eastAsia="ko-KR"/>
        </w:rPr>
        <w:t>capability</w:t>
      </w:r>
      <w:proofErr w:type="spellEnd"/>
      <w:r w:rsidRPr="009D2354">
        <w:rPr>
          <w:rFonts w:eastAsia="Malgun Gothic"/>
          <w:i/>
          <w:lang w:val="x-none" w:eastAsia="ko-KR"/>
        </w:rPr>
        <w:t xml:space="preserve"> </w:t>
      </w:r>
      <w:proofErr w:type="spellStart"/>
      <w:r w:rsidRPr="009D2354">
        <w:rPr>
          <w:rFonts w:eastAsia="Malgun Gothic"/>
          <w:i/>
          <w:lang w:val="x-none" w:eastAsia="ko-KR"/>
        </w:rPr>
        <w:t>parameter</w:t>
      </w:r>
      <w:proofErr w:type="spellEnd"/>
      <w:r w:rsidRPr="009D2354">
        <w:rPr>
          <w:rFonts w:eastAsia="Malgun Gothic"/>
          <w:i/>
          <w:lang w:val="x-none" w:eastAsia="ko-KR"/>
        </w:rPr>
        <w:t xml:space="preserve">, </w:t>
      </w:r>
      <w:proofErr w:type="spellStart"/>
      <w:r w:rsidRPr="009D2354">
        <w:rPr>
          <w:rFonts w:eastAsia="Malgun Gothic"/>
          <w:i/>
          <w:lang w:val="x-none" w:eastAsia="ko-KR"/>
        </w:rPr>
        <w:t>the</w:t>
      </w:r>
      <w:proofErr w:type="spellEnd"/>
      <w:r w:rsidRPr="009D2354">
        <w:rPr>
          <w:rFonts w:eastAsia="Malgun Gothic"/>
          <w:i/>
          <w:lang w:val="x-none" w:eastAsia="ko-KR"/>
        </w:rPr>
        <w:t xml:space="preserve"> </w:t>
      </w:r>
      <w:proofErr w:type="spellStart"/>
      <w:r w:rsidRPr="009D2354">
        <w:rPr>
          <w:rFonts w:eastAsia="Malgun Gothic"/>
          <w:i/>
          <w:lang w:val="x-none" w:eastAsia="ko-KR"/>
        </w:rPr>
        <w:t>parameter</w:t>
      </w:r>
      <w:proofErr w:type="spellEnd"/>
      <w:r w:rsidRPr="009D2354">
        <w:rPr>
          <w:rFonts w:eastAsia="Malgun Gothic"/>
          <w:i/>
          <w:lang w:val="x-none" w:eastAsia="ko-KR"/>
        </w:rPr>
        <w:t xml:space="preserve"> </w:t>
      </w:r>
      <w:proofErr w:type="spellStart"/>
      <w:r w:rsidRPr="009D2354">
        <w:rPr>
          <w:rFonts w:eastAsia="Malgun Gothic"/>
          <w:i/>
          <w:lang w:val="x-none" w:eastAsia="ko-KR"/>
        </w:rPr>
        <w:t>indicates</w:t>
      </w:r>
      <w:proofErr w:type="spellEnd"/>
      <w:r w:rsidRPr="009D2354">
        <w:rPr>
          <w:rFonts w:eastAsia="Malgun Gothic"/>
          <w:i/>
          <w:lang w:val="x-none" w:eastAsia="ko-KR"/>
        </w:rPr>
        <w:t xml:space="preserve"> </w:t>
      </w:r>
      <w:proofErr w:type="spellStart"/>
      <w:r w:rsidRPr="009D2354">
        <w:rPr>
          <w:rFonts w:eastAsia="Malgun Gothic"/>
          <w:i/>
          <w:lang w:val="x-none" w:eastAsia="ko-KR"/>
        </w:rPr>
        <w:t>whether</w:t>
      </w:r>
      <w:proofErr w:type="spellEnd"/>
      <w:r w:rsidRPr="009D2354">
        <w:rPr>
          <w:rFonts w:eastAsia="Malgun Gothic"/>
          <w:i/>
          <w:lang w:val="x-none" w:eastAsia="ko-KR"/>
        </w:rPr>
        <w:t xml:space="preserve"> </w:t>
      </w:r>
      <w:proofErr w:type="spellStart"/>
      <w:r w:rsidRPr="009D2354">
        <w:rPr>
          <w:rFonts w:eastAsia="Malgun Gothic"/>
          <w:i/>
          <w:lang w:val="x-none" w:eastAsia="ko-KR"/>
        </w:rPr>
        <w:t>the</w:t>
      </w:r>
      <w:proofErr w:type="spellEnd"/>
      <w:r w:rsidRPr="009D2354">
        <w:rPr>
          <w:rFonts w:eastAsia="Malgun Gothic"/>
          <w:i/>
          <w:lang w:val="x-none" w:eastAsia="ko-KR"/>
        </w:rPr>
        <w:t xml:space="preserve"> feature </w:t>
      </w:r>
      <w:proofErr w:type="spellStart"/>
      <w:r w:rsidRPr="009D2354">
        <w:rPr>
          <w:rFonts w:eastAsia="Malgun Gothic"/>
          <w:i/>
          <w:lang w:val="x-none" w:eastAsia="ko-KR"/>
        </w:rPr>
        <w:t>has</w:t>
      </w:r>
      <w:proofErr w:type="spellEnd"/>
      <w:r w:rsidRPr="009D2354">
        <w:rPr>
          <w:rFonts w:eastAsia="Malgun Gothic"/>
          <w:i/>
          <w:lang w:val="x-none" w:eastAsia="ko-KR"/>
        </w:rPr>
        <w:t xml:space="preserve"> </w:t>
      </w:r>
      <w:proofErr w:type="spellStart"/>
      <w:r w:rsidRPr="009D2354">
        <w:rPr>
          <w:rFonts w:eastAsia="Malgun Gothic"/>
          <w:i/>
          <w:lang w:val="x-none" w:eastAsia="ko-KR"/>
        </w:rPr>
        <w:t>been</w:t>
      </w:r>
      <w:proofErr w:type="spellEnd"/>
      <w:r w:rsidRPr="009D2354">
        <w:rPr>
          <w:rFonts w:eastAsia="Malgun Gothic"/>
          <w:i/>
          <w:lang w:val="x-none" w:eastAsia="ko-KR"/>
        </w:rPr>
        <w:t xml:space="preserve"> </w:t>
      </w:r>
      <w:proofErr w:type="spellStart"/>
      <w:r w:rsidRPr="009D2354">
        <w:rPr>
          <w:rFonts w:eastAsia="Malgun Gothic"/>
          <w:i/>
          <w:lang w:val="x-none" w:eastAsia="ko-KR"/>
        </w:rPr>
        <w:t>successfully</w:t>
      </w:r>
      <w:proofErr w:type="spellEnd"/>
      <w:r w:rsidRPr="009D2354">
        <w:rPr>
          <w:rFonts w:eastAsia="Malgun Gothic"/>
          <w:i/>
          <w:lang w:val="x-none" w:eastAsia="ko-KR"/>
        </w:rPr>
        <w:t xml:space="preserve"> </w:t>
      </w:r>
      <w:proofErr w:type="spellStart"/>
      <w:r w:rsidRPr="009D2354">
        <w:rPr>
          <w:rFonts w:eastAsia="Malgun Gothic"/>
          <w:i/>
          <w:lang w:val="x-none" w:eastAsia="ko-KR"/>
        </w:rPr>
        <w:t>tested</w:t>
      </w:r>
      <w:proofErr w:type="spellEnd"/>
      <w:r w:rsidRPr="009D2354">
        <w:rPr>
          <w:rFonts w:eastAsia="Malgun Gothic"/>
          <w:i/>
          <w:lang w:val="x-none" w:eastAsia="ko-KR"/>
        </w:rPr>
        <w:t>.</w:t>
      </w:r>
      <w:r w:rsidRPr="009D2354">
        <w:rPr>
          <w:i/>
          <w:lang w:eastAsia="ja-JP"/>
        </w:rPr>
        <w:t xml:space="preserve"> </w:t>
      </w:r>
      <w:r w:rsidR="009D2354">
        <w:rPr>
          <w:i/>
          <w:lang w:eastAsia="ja-JP"/>
        </w:rPr>
        <w:t>(…)</w:t>
      </w:r>
      <w:r w:rsidRPr="009D2354">
        <w:rPr>
          <w:i/>
          <w:lang w:eastAsia="ja-JP"/>
        </w:rPr>
        <w:t xml:space="preserve"> </w:t>
      </w:r>
    </w:p>
    <w:p w14:paraId="1A2D7BF9" w14:textId="3D37A342" w:rsidR="009D2354" w:rsidRDefault="006D5935" w:rsidP="00561679">
      <w:r>
        <w:t xml:space="preserve">Based on the agreed CR we can make the following observation: </w:t>
      </w:r>
    </w:p>
    <w:p w14:paraId="7E2D037E" w14:textId="77460C43" w:rsidR="006D5935" w:rsidRDefault="006D5935" w:rsidP="00561679">
      <w:r w:rsidRPr="006D5935">
        <w:rPr>
          <w:b/>
        </w:rPr>
        <w:t>Observation:</w:t>
      </w:r>
      <w:r>
        <w:t xml:space="preserve"> </w:t>
      </w:r>
      <w:r w:rsidR="009D2354" w:rsidRPr="009D2354">
        <w:t>mandatory features with the UE radio access capability parameter</w:t>
      </w:r>
      <w:r w:rsidR="009D2354">
        <w:t xml:space="preserve"> are supposed to be implemented by all UEs, and the capability parameter is only an indication of the status of testing the feature. </w:t>
      </w:r>
    </w:p>
    <w:p w14:paraId="3773C7B7" w14:textId="2DEC1175" w:rsidR="00B34CF2" w:rsidRPr="00386732" w:rsidRDefault="00352936" w:rsidP="00386732">
      <w:r>
        <w:t>For the network</w:t>
      </w:r>
      <w:r w:rsidR="00862342">
        <w:t xml:space="preserve"> vendors and </w:t>
      </w:r>
      <w:proofErr w:type="gramStart"/>
      <w:r w:rsidR="00862342">
        <w:t>operators</w:t>
      </w:r>
      <w:proofErr w:type="gramEnd"/>
      <w:r>
        <w:t xml:space="preserve"> it is very important to have a clear understanding on what to expect from the UEs in the field,</w:t>
      </w:r>
      <w:r w:rsidR="00D2396D">
        <w:t xml:space="preserve"> </w:t>
      </w:r>
      <w:r w:rsidR="00862342">
        <w:t>which leads to more predictable behaviour in real-life deployments.</w:t>
      </w:r>
      <w:r>
        <w:t xml:space="preserve"> </w:t>
      </w:r>
      <w:r w:rsidR="00862342">
        <w:t>A</w:t>
      </w:r>
      <w:r>
        <w:t xml:space="preserve">t the same </w:t>
      </w:r>
      <w:proofErr w:type="gramStart"/>
      <w:r>
        <w:t>time</w:t>
      </w:r>
      <w:proofErr w:type="gramEnd"/>
      <w:r>
        <w:t xml:space="preserve"> we understand it is </w:t>
      </w:r>
      <w:r w:rsidR="00862342">
        <w:t xml:space="preserve">useful </w:t>
      </w:r>
      <w:r>
        <w:t xml:space="preserve">for UE chipset vendors to have clear understanding on the maturity of implementation of the features by network vendors so that they can prioritize their investments. </w:t>
      </w:r>
      <w:proofErr w:type="gramStart"/>
      <w:r>
        <w:t>Hence</w:t>
      </w:r>
      <w:proofErr w:type="gramEnd"/>
      <w:r>
        <w:t xml:space="preserve"> we expect RAN Plenary to define a clear process </w:t>
      </w:r>
      <w:r w:rsidR="00862342">
        <w:t xml:space="preserve">to provide such predictability to the ecosystem, including clear </w:t>
      </w:r>
      <w:r w:rsidR="00B34CF2" w:rsidRPr="00386732">
        <w:t xml:space="preserve">responsibilities </w:t>
      </w:r>
      <w:r w:rsidR="00862342">
        <w:t>for</w:t>
      </w:r>
      <w:r w:rsidR="00862342" w:rsidRPr="00386732">
        <w:t xml:space="preserve"> </w:t>
      </w:r>
      <w:r w:rsidR="00B34CF2" w:rsidRPr="00386732">
        <w:t>RAN Plenary and RAN WGs in defining the status of different features and updating corresponding specifications</w:t>
      </w:r>
      <w:r w:rsidR="00862342">
        <w:t xml:space="preserve">. </w:t>
      </w:r>
    </w:p>
    <w:p w14:paraId="6E8EEC7E" w14:textId="2703DF9A" w:rsidR="00502F63" w:rsidRDefault="00B34CF2" w:rsidP="00561679">
      <w:r>
        <w:t xml:space="preserve">In the following sections </w:t>
      </w:r>
      <w:r w:rsidR="00400051">
        <w:t>present</w:t>
      </w:r>
      <w:r>
        <w:t xml:space="preserve"> our views on how to set the corresponding process in 3GPP.</w:t>
      </w:r>
    </w:p>
    <w:p w14:paraId="6B006100" w14:textId="77777777" w:rsidR="00B34CF2" w:rsidRDefault="00B34CF2" w:rsidP="00561679"/>
    <w:p w14:paraId="480CFF76" w14:textId="40C32A22" w:rsidR="00AA36AC" w:rsidRDefault="00B34CF2" w:rsidP="00AA36AC">
      <w:pPr>
        <w:pStyle w:val="Heading1"/>
      </w:pPr>
      <w:r>
        <w:t xml:space="preserve">Process </w:t>
      </w:r>
      <w:r w:rsidR="00E37E2F">
        <w:t>for setting support of mandatory features in NR</w:t>
      </w:r>
    </w:p>
    <w:bookmarkEnd w:id="0"/>
    <w:p w14:paraId="481DD023" w14:textId="48FB56E2" w:rsidR="002255BB" w:rsidRDefault="00B34CF2" w:rsidP="00561679">
      <w:pPr>
        <w:rPr>
          <w:bCs/>
        </w:rPr>
      </w:pPr>
      <w:r>
        <w:rPr>
          <w:bCs/>
        </w:rPr>
        <w:t>The concept of setting features to become mandatory from a certain version of the specifications is known from LTE standardization already. In that case</w:t>
      </w:r>
      <w:r w:rsidR="00857974">
        <w:rPr>
          <w:bCs/>
        </w:rPr>
        <w:t>,</w:t>
      </w:r>
      <w:r>
        <w:rPr>
          <w:bCs/>
        </w:rPr>
        <w:t xml:space="preserve"> </w:t>
      </w:r>
      <w:r w:rsidR="00862342">
        <w:rPr>
          <w:bCs/>
        </w:rPr>
        <w:t xml:space="preserve">a </w:t>
      </w:r>
      <w:r w:rsidR="00862342" w:rsidRPr="00862342">
        <w:rPr>
          <w:bCs/>
        </w:rPr>
        <w:t>UE is required to set the support to “true” after 6 months from the moment that RAN has confirmed that IODT testing against at least two independent networks is available​</w:t>
      </w:r>
      <w:r w:rsidR="00E37E2F">
        <w:rPr>
          <w:bCs/>
        </w:rPr>
        <w:t xml:space="preserve">. </w:t>
      </w:r>
    </w:p>
    <w:p w14:paraId="0293FE20" w14:textId="05479C1D" w:rsidR="00B34CF2" w:rsidRDefault="00862342" w:rsidP="00561679">
      <w:pPr>
        <w:rPr>
          <w:bCs/>
        </w:rPr>
      </w:pPr>
      <w:proofErr w:type="gramStart"/>
      <w:r>
        <w:rPr>
          <w:bCs/>
        </w:rPr>
        <w:t>Similarly</w:t>
      </w:r>
      <w:proofErr w:type="gramEnd"/>
      <w:r>
        <w:rPr>
          <w:bCs/>
        </w:rPr>
        <w:t xml:space="preserve"> to LTE, in NR</w:t>
      </w:r>
      <w:r w:rsidR="00E37E2F">
        <w:rPr>
          <w:bCs/>
        </w:rPr>
        <w:t xml:space="preserve"> the UE features are described in 38.306, with the actual parameter values described in 38.331.</w:t>
      </w:r>
      <w:r w:rsidR="00400051">
        <w:rPr>
          <w:bCs/>
        </w:rPr>
        <w:t xml:space="preserve"> T</w:t>
      </w:r>
      <w:r w:rsidR="00E37E2F">
        <w:rPr>
          <w:bCs/>
        </w:rPr>
        <w:t xml:space="preserve">he exact </w:t>
      </w:r>
      <w:proofErr w:type="gramStart"/>
      <w:r w:rsidR="00E37E2F">
        <w:rPr>
          <w:bCs/>
        </w:rPr>
        <w:t>manner in which</w:t>
      </w:r>
      <w:proofErr w:type="gramEnd"/>
      <w:r w:rsidR="00E37E2F">
        <w:rPr>
          <w:bCs/>
        </w:rPr>
        <w:t xml:space="preserve"> the parameters are captured is not the same in </w:t>
      </w:r>
      <w:r>
        <w:rPr>
          <w:bCs/>
        </w:rPr>
        <w:t>NR and LTE</w:t>
      </w:r>
      <w:r w:rsidR="00E37E2F">
        <w:rPr>
          <w:bCs/>
        </w:rPr>
        <w:t xml:space="preserve">, and </w:t>
      </w:r>
      <w:r>
        <w:rPr>
          <w:bCs/>
        </w:rPr>
        <w:t>due to</w:t>
      </w:r>
      <w:r w:rsidR="00E37E2F">
        <w:rPr>
          <w:bCs/>
        </w:rPr>
        <w:t xml:space="preserve"> the high level of configurability in NR</w:t>
      </w:r>
      <w:r w:rsidR="00400051">
        <w:rPr>
          <w:bCs/>
        </w:rPr>
        <w:t>,</w:t>
      </w:r>
      <w:r w:rsidR="00E37E2F">
        <w:rPr>
          <w:bCs/>
        </w:rPr>
        <w:t xml:space="preserve"> </w:t>
      </w:r>
      <w:r w:rsidR="00400051">
        <w:rPr>
          <w:bCs/>
        </w:rPr>
        <w:t>there is</w:t>
      </w:r>
      <w:r w:rsidR="00E37E2F">
        <w:rPr>
          <w:bCs/>
        </w:rPr>
        <w:t xml:space="preserve"> a relatively large number of parameters to be considered compared to initial LTE releases. Hence there is </w:t>
      </w:r>
      <w:r w:rsidR="00857974">
        <w:rPr>
          <w:bCs/>
        </w:rPr>
        <w:t>an opportunity</w:t>
      </w:r>
      <w:r w:rsidR="00E37E2F">
        <w:rPr>
          <w:bCs/>
        </w:rPr>
        <w:t xml:space="preserve"> to consider </w:t>
      </w:r>
      <w:r w:rsidR="00400051">
        <w:rPr>
          <w:bCs/>
        </w:rPr>
        <w:t xml:space="preserve">also </w:t>
      </w:r>
      <w:r w:rsidR="00E37E2F">
        <w:rPr>
          <w:bCs/>
        </w:rPr>
        <w:t>improvements to the process adopted in LTE so that it is more suitable to NR context</w:t>
      </w:r>
      <w:r w:rsidR="00C50F70">
        <w:rPr>
          <w:bCs/>
        </w:rPr>
        <w:t xml:space="preserve">, while keeping the main principles that have </w:t>
      </w:r>
      <w:r w:rsidR="00857974">
        <w:rPr>
          <w:bCs/>
        </w:rPr>
        <w:t>been demonstrated to be</w:t>
      </w:r>
      <w:r w:rsidR="00C50F70">
        <w:rPr>
          <w:bCs/>
        </w:rPr>
        <w:t xml:space="preserve"> a good industry practice. </w:t>
      </w:r>
    </w:p>
    <w:p w14:paraId="19DADB62" w14:textId="257D913A" w:rsidR="00C50F70" w:rsidRDefault="00C50F70" w:rsidP="00561679">
      <w:pPr>
        <w:rPr>
          <w:bCs/>
        </w:rPr>
      </w:pPr>
      <w:proofErr w:type="gramStart"/>
      <w:r>
        <w:rPr>
          <w:bCs/>
        </w:rPr>
        <w:lastRenderedPageBreak/>
        <w:t>In particular we</w:t>
      </w:r>
      <w:proofErr w:type="gramEnd"/>
      <w:r>
        <w:rPr>
          <w:bCs/>
        </w:rPr>
        <w:t xml:space="preserve"> understand that it is important to maintain the key principle that </w:t>
      </w:r>
      <w:r w:rsidR="00862342">
        <w:rPr>
          <w:bCs/>
        </w:rPr>
        <w:t xml:space="preserve">RAN Plenary needs to confirm that </w:t>
      </w:r>
      <w:r w:rsidR="00862342" w:rsidRPr="00862342">
        <w:rPr>
          <w:bCs/>
        </w:rPr>
        <w:t>IODT testing against at least two independent networks</w:t>
      </w:r>
      <w:r w:rsidR="00862342">
        <w:rPr>
          <w:bCs/>
        </w:rPr>
        <w:t xml:space="preserve"> is possible before UEs are required to set the support of a certain feature to “true”. </w:t>
      </w:r>
      <w:r>
        <w:rPr>
          <w:bCs/>
        </w:rPr>
        <w:t>This provides a good balance between diversity of implementations and time-to-market regarding different features.</w:t>
      </w:r>
    </w:p>
    <w:p w14:paraId="50CEABF0" w14:textId="2D074E3B" w:rsidR="00386732" w:rsidRDefault="00386732" w:rsidP="00561679">
      <w:pPr>
        <w:rPr>
          <w:bCs/>
        </w:rPr>
      </w:pPr>
      <w:r>
        <w:rPr>
          <w:bCs/>
        </w:rPr>
        <w:t>A potential process for managing such features is illustrated in Figure 1 below and described as follows:</w:t>
      </w:r>
    </w:p>
    <w:p w14:paraId="05B894B4" w14:textId="639696E2" w:rsidR="00386732" w:rsidRPr="00386732" w:rsidRDefault="00386732" w:rsidP="00386732">
      <w:pPr>
        <w:pStyle w:val="ListParagraph"/>
        <w:numPr>
          <w:ilvl w:val="0"/>
          <w:numId w:val="26"/>
        </w:numPr>
        <w:rPr>
          <w:bCs/>
          <w:sz w:val="20"/>
          <w:szCs w:val="20"/>
          <w:lang w:val="en-GB" w:eastAsia="en-US"/>
        </w:rPr>
      </w:pPr>
      <w:r w:rsidRPr="00386732">
        <w:rPr>
          <w:bCs/>
          <w:sz w:val="20"/>
          <w:szCs w:val="20"/>
          <w:lang w:val="en-GB" w:eastAsia="en-US"/>
        </w:rPr>
        <w:t>RAN Plenary decides when IODT is possible against at least 2 infra vendors</w:t>
      </w:r>
    </w:p>
    <w:p w14:paraId="2327351F" w14:textId="00FF2118" w:rsidR="00386732" w:rsidRPr="00386732" w:rsidRDefault="00386732" w:rsidP="00386732">
      <w:pPr>
        <w:pStyle w:val="ListParagraph"/>
        <w:numPr>
          <w:ilvl w:val="0"/>
          <w:numId w:val="26"/>
        </w:numPr>
        <w:rPr>
          <w:bCs/>
          <w:sz w:val="20"/>
          <w:szCs w:val="20"/>
          <w:lang w:eastAsia="en-US"/>
        </w:rPr>
      </w:pPr>
      <w:r w:rsidRPr="00386732">
        <w:rPr>
          <w:bCs/>
          <w:sz w:val="20"/>
          <w:szCs w:val="20"/>
          <w:lang w:eastAsia="en-US"/>
        </w:rPr>
        <w:t>UE vendors have 6 month period to indicate UE support for the corresponding feature</w:t>
      </w:r>
    </w:p>
    <w:p w14:paraId="57C9857C" w14:textId="1E3342DC" w:rsidR="00386732" w:rsidRPr="00386732" w:rsidRDefault="00386732" w:rsidP="00386732">
      <w:pPr>
        <w:pStyle w:val="ListParagraph"/>
        <w:numPr>
          <w:ilvl w:val="0"/>
          <w:numId w:val="26"/>
        </w:numPr>
        <w:rPr>
          <w:bCs/>
          <w:sz w:val="20"/>
          <w:szCs w:val="20"/>
          <w:lang w:eastAsia="en-US"/>
        </w:rPr>
      </w:pPr>
      <w:r w:rsidRPr="00386732">
        <w:rPr>
          <w:bCs/>
          <w:sz w:val="20"/>
          <w:szCs w:val="20"/>
          <w:lang w:eastAsia="en-US"/>
        </w:rPr>
        <w:t xml:space="preserve">RAN2 specifications are updated to capture that UEs are required to set a </w:t>
      </w:r>
      <w:proofErr w:type="spellStart"/>
      <w:r w:rsidRPr="00386732">
        <w:rPr>
          <w:bCs/>
          <w:sz w:val="20"/>
          <w:szCs w:val="20"/>
          <w:lang w:eastAsia="en-US"/>
        </w:rPr>
        <w:t>given</w:t>
      </w:r>
      <w:proofErr w:type="spellEnd"/>
      <w:r w:rsidRPr="00386732">
        <w:rPr>
          <w:bCs/>
          <w:sz w:val="20"/>
          <w:szCs w:val="20"/>
          <w:lang w:eastAsia="en-US"/>
        </w:rPr>
        <w:t xml:space="preserve"> </w:t>
      </w:r>
      <w:proofErr w:type="spellStart"/>
      <w:r w:rsidRPr="00386732">
        <w:rPr>
          <w:bCs/>
          <w:sz w:val="20"/>
          <w:szCs w:val="20"/>
          <w:lang w:eastAsia="en-US"/>
        </w:rPr>
        <w:t>bit</w:t>
      </w:r>
      <w:proofErr w:type="spellEnd"/>
      <w:r w:rsidRPr="00386732">
        <w:rPr>
          <w:bCs/>
          <w:sz w:val="20"/>
          <w:szCs w:val="20"/>
          <w:lang w:eastAsia="en-US"/>
        </w:rPr>
        <w:t xml:space="preserve"> </w:t>
      </w:r>
      <w:r w:rsidR="00400051">
        <w:rPr>
          <w:bCs/>
          <w:sz w:val="20"/>
          <w:szCs w:val="20"/>
          <w:lang w:eastAsia="en-US"/>
        </w:rPr>
        <w:t xml:space="preserve">to </w:t>
      </w:r>
      <w:r w:rsidRPr="00386732">
        <w:rPr>
          <w:bCs/>
          <w:sz w:val="20"/>
          <w:szCs w:val="20"/>
          <w:lang w:eastAsia="en-US"/>
        </w:rPr>
        <w:t>‘</w:t>
      </w:r>
      <w:proofErr w:type="spellStart"/>
      <w:r w:rsidRPr="00386732">
        <w:rPr>
          <w:bCs/>
          <w:sz w:val="20"/>
          <w:szCs w:val="20"/>
          <w:lang w:eastAsia="en-US"/>
        </w:rPr>
        <w:t>true</w:t>
      </w:r>
      <w:proofErr w:type="spellEnd"/>
      <w:r w:rsidRPr="00386732">
        <w:rPr>
          <w:bCs/>
          <w:sz w:val="20"/>
          <w:szCs w:val="20"/>
          <w:lang w:eastAsia="en-US"/>
        </w:rPr>
        <w:t xml:space="preserve">’. </w:t>
      </w:r>
    </w:p>
    <w:p w14:paraId="56A543B9" w14:textId="12273C87" w:rsidR="00386732" w:rsidRPr="00386732" w:rsidRDefault="00386732" w:rsidP="00386732">
      <w:pPr>
        <w:pStyle w:val="ListParagraph"/>
        <w:numPr>
          <w:ilvl w:val="0"/>
          <w:numId w:val="26"/>
        </w:numPr>
        <w:rPr>
          <w:bCs/>
          <w:sz w:val="20"/>
          <w:szCs w:val="20"/>
          <w:lang w:eastAsia="en-US"/>
        </w:rPr>
      </w:pPr>
      <w:r w:rsidRPr="00386732">
        <w:rPr>
          <w:bCs/>
          <w:sz w:val="20"/>
          <w:szCs w:val="20"/>
          <w:lang w:eastAsia="en-US"/>
        </w:rPr>
        <w:t xml:space="preserve">RAN5 is informed so they </w:t>
      </w:r>
      <w:proofErr w:type="spellStart"/>
      <w:r w:rsidRPr="00386732">
        <w:rPr>
          <w:bCs/>
          <w:sz w:val="20"/>
          <w:szCs w:val="20"/>
          <w:lang w:eastAsia="en-US"/>
        </w:rPr>
        <w:t>can</w:t>
      </w:r>
      <w:proofErr w:type="spellEnd"/>
      <w:r w:rsidRPr="00386732">
        <w:rPr>
          <w:bCs/>
          <w:sz w:val="20"/>
          <w:szCs w:val="20"/>
          <w:lang w:eastAsia="en-US"/>
        </w:rPr>
        <w:t xml:space="preserve"> </w:t>
      </w:r>
      <w:proofErr w:type="spellStart"/>
      <w:r w:rsidRPr="00386732">
        <w:rPr>
          <w:bCs/>
          <w:sz w:val="20"/>
          <w:szCs w:val="20"/>
          <w:lang w:eastAsia="en-US"/>
        </w:rPr>
        <w:t>take</w:t>
      </w:r>
      <w:proofErr w:type="spellEnd"/>
      <w:r w:rsidRPr="00386732">
        <w:rPr>
          <w:bCs/>
          <w:sz w:val="20"/>
          <w:szCs w:val="20"/>
          <w:lang w:eastAsia="en-US"/>
        </w:rPr>
        <w:t xml:space="preserve"> </w:t>
      </w:r>
      <w:proofErr w:type="spellStart"/>
      <w:r w:rsidRPr="00386732">
        <w:rPr>
          <w:bCs/>
          <w:sz w:val="20"/>
          <w:szCs w:val="20"/>
          <w:lang w:eastAsia="en-US"/>
        </w:rPr>
        <w:t>the</w:t>
      </w:r>
      <w:proofErr w:type="spellEnd"/>
      <w:r w:rsidRPr="00386732">
        <w:rPr>
          <w:bCs/>
          <w:sz w:val="20"/>
          <w:szCs w:val="20"/>
          <w:lang w:eastAsia="en-US"/>
        </w:rPr>
        <w:t xml:space="preserve"> feature into </w:t>
      </w:r>
      <w:proofErr w:type="spellStart"/>
      <w:r w:rsidRPr="00386732">
        <w:rPr>
          <w:bCs/>
          <w:sz w:val="20"/>
          <w:szCs w:val="20"/>
          <w:lang w:eastAsia="en-US"/>
        </w:rPr>
        <w:t>account</w:t>
      </w:r>
      <w:proofErr w:type="spellEnd"/>
      <w:r w:rsidRPr="00386732">
        <w:rPr>
          <w:bCs/>
          <w:sz w:val="20"/>
          <w:szCs w:val="20"/>
          <w:lang w:eastAsia="en-US"/>
        </w:rPr>
        <w:t xml:space="preserve"> in their work</w:t>
      </w:r>
      <w:r w:rsidRPr="00386732">
        <w:rPr>
          <w:bCs/>
          <w:sz w:val="20"/>
          <w:szCs w:val="20"/>
          <w:lang w:val="en-GB" w:eastAsia="en-US"/>
        </w:rPr>
        <w:t>​</w:t>
      </w:r>
    </w:p>
    <w:p w14:paraId="7E9AB1F4" w14:textId="77777777" w:rsidR="00386732" w:rsidRPr="00386732" w:rsidRDefault="00386732" w:rsidP="00386732">
      <w:pPr>
        <w:rPr>
          <w:bCs/>
        </w:rPr>
      </w:pPr>
    </w:p>
    <w:p w14:paraId="2DA3B38A" w14:textId="77777777" w:rsidR="006D5935" w:rsidRDefault="006D5935" w:rsidP="00561679">
      <w:pPr>
        <w:rPr>
          <w:bCs/>
        </w:rPr>
      </w:pPr>
    </w:p>
    <w:p w14:paraId="38F2DCFC" w14:textId="169B303D" w:rsidR="00554564" w:rsidRDefault="00862342" w:rsidP="00386732">
      <w:pPr>
        <w:jc w:val="center"/>
        <w:rPr>
          <w:bCs/>
        </w:rPr>
      </w:pPr>
      <w:r w:rsidRPr="00862342">
        <w:t xml:space="preserve"> </w:t>
      </w:r>
      <w:r>
        <w:t> </w:t>
      </w:r>
      <w:r>
        <w:rPr>
          <w:noProof/>
        </w:rPr>
        <w:drawing>
          <wp:inline distT="0" distB="0" distL="0" distR="0" wp14:anchorId="3798DE6B" wp14:editId="1FFA78B1">
            <wp:extent cx="5613400" cy="2178334"/>
            <wp:effectExtent l="0" t="0" r="6350" b="0"/>
            <wp:docPr id="1" name="Picture 1" descr="C:\Users\cassribe\AppData\Local\Microsoft\Windows\INetCache\Content.MSO\3D40739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ssribe\AppData\Local\Microsoft\Windows\INetCache\Content.MSO\3D40739C.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31273" cy="2185270"/>
                    </a:xfrm>
                    <a:prstGeom prst="rect">
                      <a:avLst/>
                    </a:prstGeom>
                    <a:noFill/>
                    <a:ln>
                      <a:noFill/>
                    </a:ln>
                  </pic:spPr>
                </pic:pic>
              </a:graphicData>
            </a:graphic>
          </wp:inline>
        </w:drawing>
      </w:r>
    </w:p>
    <w:p w14:paraId="2EB4D9FB" w14:textId="7A6AF052" w:rsidR="00554564" w:rsidRDefault="00554564" w:rsidP="006D5935">
      <w:pPr>
        <w:pStyle w:val="Caption"/>
        <w:jc w:val="center"/>
        <w:rPr>
          <w:bCs/>
        </w:rPr>
      </w:pPr>
      <w:r>
        <w:t xml:space="preserve">Figure </w:t>
      </w:r>
      <w:r>
        <w:fldChar w:fldCharType="begin"/>
      </w:r>
      <w:r>
        <w:instrText xml:space="preserve"> SEQ Figure \* ARABIC </w:instrText>
      </w:r>
      <w:r>
        <w:fldChar w:fldCharType="separate"/>
      </w:r>
      <w:r>
        <w:rPr>
          <w:noProof/>
        </w:rPr>
        <w:t>1</w:t>
      </w:r>
      <w:r>
        <w:fldChar w:fldCharType="end"/>
      </w:r>
      <w:r>
        <w:t>: Example process to set the support of mandatory features with capability indication</w:t>
      </w:r>
    </w:p>
    <w:p w14:paraId="0EAE1178" w14:textId="7C2B71E5" w:rsidR="00554564" w:rsidRDefault="00554564" w:rsidP="00561679">
      <w:pPr>
        <w:rPr>
          <w:bCs/>
        </w:rPr>
      </w:pPr>
    </w:p>
    <w:p w14:paraId="29BD6A4F" w14:textId="1FBBC628" w:rsidR="006D5935" w:rsidRDefault="006D5935" w:rsidP="00561679">
      <w:pPr>
        <w:rPr>
          <w:bCs/>
        </w:rPr>
      </w:pPr>
    </w:p>
    <w:p w14:paraId="009D7356" w14:textId="3E49861C" w:rsidR="00862342" w:rsidRDefault="00862342" w:rsidP="00862342">
      <w:pPr>
        <w:rPr>
          <w:bCs/>
        </w:rPr>
      </w:pPr>
      <w:r w:rsidRPr="00C50F70">
        <w:rPr>
          <w:b/>
          <w:bCs/>
        </w:rPr>
        <w:t>Proposal:</w:t>
      </w:r>
      <w:r>
        <w:rPr>
          <w:bCs/>
        </w:rPr>
        <w:t xml:space="preserve"> </w:t>
      </w:r>
      <w:r w:rsidR="00400051">
        <w:rPr>
          <w:bCs/>
        </w:rPr>
        <w:t xml:space="preserve">For </w:t>
      </w:r>
      <w:r w:rsidR="00400051" w:rsidRPr="009D2354">
        <w:t>mandatory features with UE radio access capability parameter</w:t>
      </w:r>
      <w:r w:rsidR="00400051">
        <w:t>,</w:t>
      </w:r>
      <w:r w:rsidR="00400051">
        <w:rPr>
          <w:bCs/>
        </w:rPr>
        <w:t xml:space="preserve"> </w:t>
      </w:r>
      <w:r w:rsidRPr="00862342">
        <w:rPr>
          <w:bCs/>
        </w:rPr>
        <w:t>UE is required to set the support to “true” after 6 months from the moment that RAN has confirmed that IODT testing against at least two independent networks is available</w:t>
      </w:r>
      <w:r>
        <w:rPr>
          <w:bCs/>
        </w:rPr>
        <w:t>.</w:t>
      </w:r>
    </w:p>
    <w:p w14:paraId="01ADB8F6" w14:textId="1AAA7117" w:rsidR="00862342" w:rsidRDefault="00862342" w:rsidP="00561679">
      <w:pPr>
        <w:rPr>
          <w:bCs/>
        </w:rPr>
      </w:pPr>
    </w:p>
    <w:p w14:paraId="17C13B4D" w14:textId="26BF7722" w:rsidR="002D0721" w:rsidRDefault="002D0721" w:rsidP="00CF018C">
      <w:pPr>
        <w:pStyle w:val="Heading1"/>
      </w:pPr>
      <w:r>
        <w:t>Example features</w:t>
      </w:r>
    </w:p>
    <w:p w14:paraId="5B5B807F" w14:textId="77777777" w:rsidR="00B36607" w:rsidRDefault="002D0721" w:rsidP="00B36607">
      <w:pPr>
        <w:pStyle w:val="TAL"/>
        <w:rPr>
          <w:bCs/>
        </w:rPr>
      </w:pPr>
      <w:r>
        <w:rPr>
          <w:bCs/>
        </w:rPr>
        <w:t xml:space="preserve">Table 1 below lists some </w:t>
      </w:r>
      <w:proofErr w:type="spellStart"/>
      <w:r>
        <w:rPr>
          <w:bCs/>
        </w:rPr>
        <w:t>examle</w:t>
      </w:r>
      <w:proofErr w:type="spellEnd"/>
      <w:r>
        <w:rPr>
          <w:bCs/>
        </w:rPr>
        <w:t xml:space="preserve"> features which are mandatory with capability, but which are also perceived as essential components of NR physical layer, and hence should be reported as ‘true’ by all UEs as soon as possible. </w:t>
      </w:r>
    </w:p>
    <w:p w14:paraId="79F1C093" w14:textId="77777777" w:rsidR="00B36607" w:rsidRDefault="00B36607" w:rsidP="00B36607">
      <w:pPr>
        <w:pStyle w:val="TAL"/>
        <w:rPr>
          <w:bCs/>
        </w:rPr>
      </w:pPr>
    </w:p>
    <w:p w14:paraId="2E845C33" w14:textId="212AF9AE" w:rsidR="006D5935" w:rsidRPr="00CF018C" w:rsidRDefault="00B36607" w:rsidP="00B36607">
      <w:pPr>
        <w:pStyle w:val="TAL"/>
      </w:pPr>
      <w:r>
        <w:rPr>
          <w:bCs/>
        </w:rPr>
        <w:t xml:space="preserve">It should be noted that feature </w:t>
      </w:r>
      <w:proofErr w:type="spellStart"/>
      <w:r w:rsidRPr="00CF018C">
        <w:rPr>
          <w:i/>
        </w:rPr>
        <w:t>onePortsPTRS</w:t>
      </w:r>
      <w:proofErr w:type="spellEnd"/>
      <w:r>
        <w:t xml:space="preserve"> is mandatory with UE capability signalling for FR2 only, while for FR1 it is optional. In this case, mandating the UEs to report ‘true’ for FR2 has no implication on the fact the feature remains optional for FR1. Similarly, </w:t>
      </w:r>
      <w:r w:rsidR="00400051">
        <w:t xml:space="preserve">for </w:t>
      </w:r>
      <w:r>
        <w:t xml:space="preserve">feature </w:t>
      </w:r>
      <w:proofErr w:type="spellStart"/>
      <w:r w:rsidRPr="001F528E">
        <w:rPr>
          <w:b/>
          <w:i/>
        </w:rPr>
        <w:t>supportedDMRS-TypeDL</w:t>
      </w:r>
      <w:proofErr w:type="spellEnd"/>
      <w:r>
        <w:t xml:space="preserve"> only type 1 is mandatory with capability signalling, while type 2 is optional. Again, mandating UEs to report ‘true’ for type 1 has no implication on the value indicated by the UE for type 2.</w:t>
      </w:r>
    </w:p>
    <w:p w14:paraId="20DEE9C8" w14:textId="77777777" w:rsidR="00400051" w:rsidRDefault="00400051" w:rsidP="00CF018C">
      <w:pPr>
        <w:pStyle w:val="Caption"/>
        <w:jc w:val="center"/>
      </w:pPr>
    </w:p>
    <w:p w14:paraId="0B4EC70C" w14:textId="77777777" w:rsidR="00400051" w:rsidRDefault="00400051" w:rsidP="00CF018C">
      <w:pPr>
        <w:pStyle w:val="Caption"/>
        <w:jc w:val="center"/>
      </w:pPr>
    </w:p>
    <w:p w14:paraId="19D69C7E" w14:textId="77777777" w:rsidR="00400051" w:rsidRDefault="00400051" w:rsidP="00CF018C">
      <w:pPr>
        <w:pStyle w:val="Caption"/>
        <w:jc w:val="center"/>
      </w:pPr>
    </w:p>
    <w:p w14:paraId="47A9FFC5" w14:textId="77777777" w:rsidR="00400051" w:rsidRDefault="00400051" w:rsidP="00CF018C">
      <w:pPr>
        <w:pStyle w:val="Caption"/>
        <w:jc w:val="center"/>
      </w:pPr>
    </w:p>
    <w:p w14:paraId="4C0EEDAA" w14:textId="77777777" w:rsidR="00400051" w:rsidRDefault="00400051" w:rsidP="00CF018C">
      <w:pPr>
        <w:pStyle w:val="Caption"/>
        <w:jc w:val="center"/>
      </w:pPr>
    </w:p>
    <w:p w14:paraId="3B4076A8" w14:textId="77777777" w:rsidR="00400051" w:rsidRDefault="00400051" w:rsidP="00CF018C">
      <w:pPr>
        <w:pStyle w:val="Caption"/>
        <w:jc w:val="center"/>
      </w:pPr>
    </w:p>
    <w:p w14:paraId="41416BD8" w14:textId="77777777" w:rsidR="00400051" w:rsidRDefault="00400051" w:rsidP="00CF018C">
      <w:pPr>
        <w:pStyle w:val="Caption"/>
        <w:jc w:val="center"/>
      </w:pPr>
    </w:p>
    <w:p w14:paraId="66FAC985" w14:textId="3314D523" w:rsidR="00B36607" w:rsidRDefault="00B36607" w:rsidP="00CF018C">
      <w:pPr>
        <w:pStyle w:val="Caption"/>
        <w:jc w:val="center"/>
        <w:rPr>
          <w:bCs/>
        </w:rPr>
      </w:pPr>
      <w:bookmarkStart w:id="1" w:name="_GoBack"/>
      <w:bookmarkEnd w:id="1"/>
      <w:r>
        <w:t xml:space="preserve">Table </w:t>
      </w:r>
      <w:r>
        <w:fldChar w:fldCharType="begin"/>
      </w:r>
      <w:r>
        <w:instrText xml:space="preserve"> SEQ Table \* ARABIC </w:instrText>
      </w:r>
      <w:r>
        <w:fldChar w:fldCharType="separate"/>
      </w:r>
      <w:r>
        <w:rPr>
          <w:noProof/>
        </w:rPr>
        <w:t>1</w:t>
      </w:r>
      <w:r>
        <w:fldChar w:fldCharType="end"/>
      </w:r>
      <w:r>
        <w:t xml:space="preserve">: Example parameters to be set as supported by UEs. Please note that </w:t>
      </w:r>
      <w:r>
        <w:rPr>
          <w:bCs/>
        </w:rPr>
        <w:t xml:space="preserve">the table already </w:t>
      </w:r>
      <w:proofErr w:type="gramStart"/>
      <w:r>
        <w:rPr>
          <w:bCs/>
        </w:rPr>
        <w:t>takes into account</w:t>
      </w:r>
      <w:proofErr w:type="gramEnd"/>
      <w:r>
        <w:rPr>
          <w:bCs/>
        </w:rPr>
        <w:t xml:space="preserve"> CR in [3], which was approved in RAN#105</w:t>
      </w:r>
    </w:p>
    <w:tbl>
      <w:tblPr>
        <w:tblW w:w="949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8"/>
        <w:gridCol w:w="4536"/>
        <w:gridCol w:w="567"/>
        <w:gridCol w:w="567"/>
        <w:gridCol w:w="1134"/>
        <w:gridCol w:w="1276"/>
      </w:tblGrid>
      <w:tr w:rsidR="00782BAC" w:rsidRPr="0055133C" w14:paraId="3A500CA4" w14:textId="77777777" w:rsidTr="00CF018C">
        <w:trPr>
          <w:cantSplit/>
          <w:tblHeader/>
        </w:trPr>
        <w:tc>
          <w:tcPr>
            <w:tcW w:w="1418" w:type="dxa"/>
          </w:tcPr>
          <w:p w14:paraId="541CD375" w14:textId="5CADE3DA" w:rsidR="00782BAC" w:rsidRPr="00782BAC" w:rsidRDefault="00782BAC" w:rsidP="00782BAC">
            <w:pPr>
              <w:pStyle w:val="TAL"/>
              <w:jc w:val="center"/>
              <w:rPr>
                <w:b/>
              </w:rPr>
            </w:pPr>
            <w:r>
              <w:rPr>
                <w:b/>
              </w:rPr>
              <w:t>RAN1 Parameter [2]</w:t>
            </w:r>
          </w:p>
        </w:tc>
        <w:tc>
          <w:tcPr>
            <w:tcW w:w="4536" w:type="dxa"/>
          </w:tcPr>
          <w:p w14:paraId="67EFF20E" w14:textId="3B840E13" w:rsidR="00782BAC" w:rsidRPr="001F528E" w:rsidRDefault="00782BAC" w:rsidP="00CF018C">
            <w:pPr>
              <w:pStyle w:val="TAL"/>
              <w:jc w:val="center"/>
              <w:rPr>
                <w:b/>
                <w:i/>
              </w:rPr>
            </w:pPr>
            <w:r w:rsidRPr="00CF018C">
              <w:rPr>
                <w:b/>
              </w:rPr>
              <w:t>Definitions for parameters</w:t>
            </w:r>
          </w:p>
        </w:tc>
        <w:tc>
          <w:tcPr>
            <w:tcW w:w="567" w:type="dxa"/>
          </w:tcPr>
          <w:p w14:paraId="7B25EBAF" w14:textId="00899618" w:rsidR="00782BAC" w:rsidRPr="00CF018C" w:rsidRDefault="00782BAC" w:rsidP="00782B1F">
            <w:pPr>
              <w:pStyle w:val="TAL"/>
              <w:jc w:val="center"/>
              <w:rPr>
                <w:b/>
              </w:rPr>
            </w:pPr>
            <w:r w:rsidRPr="00CF018C">
              <w:rPr>
                <w:b/>
              </w:rPr>
              <w:t>Per</w:t>
            </w:r>
          </w:p>
        </w:tc>
        <w:tc>
          <w:tcPr>
            <w:tcW w:w="567" w:type="dxa"/>
          </w:tcPr>
          <w:p w14:paraId="78CF884A" w14:textId="3959EBE7" w:rsidR="00782BAC" w:rsidRPr="00CF018C" w:rsidRDefault="00782BAC" w:rsidP="00782B1F">
            <w:pPr>
              <w:pStyle w:val="TAL"/>
              <w:jc w:val="center"/>
              <w:rPr>
                <w:b/>
              </w:rPr>
            </w:pPr>
            <w:r w:rsidRPr="00CF018C">
              <w:rPr>
                <w:b/>
              </w:rPr>
              <w:t>M</w:t>
            </w:r>
          </w:p>
        </w:tc>
        <w:tc>
          <w:tcPr>
            <w:tcW w:w="1134" w:type="dxa"/>
          </w:tcPr>
          <w:p w14:paraId="375621AE" w14:textId="77777777" w:rsidR="00782BAC" w:rsidRDefault="00782BAC" w:rsidP="00782BAC">
            <w:pPr>
              <w:pStyle w:val="TAH"/>
            </w:pPr>
            <w:r>
              <w:t>FDD-TDD</w:t>
            </w:r>
          </w:p>
          <w:p w14:paraId="4CAC787E" w14:textId="7E56D750" w:rsidR="00782BAC" w:rsidRPr="0055133C" w:rsidRDefault="00782BAC" w:rsidP="00782BAC">
            <w:pPr>
              <w:pStyle w:val="TAH"/>
              <w:rPr>
                <w:b w:val="0"/>
              </w:rPr>
            </w:pPr>
            <w:r>
              <w:t>DIFF</w:t>
            </w:r>
          </w:p>
        </w:tc>
        <w:tc>
          <w:tcPr>
            <w:tcW w:w="1276" w:type="dxa"/>
          </w:tcPr>
          <w:p w14:paraId="4710CE6A" w14:textId="77777777" w:rsidR="00782BAC" w:rsidRDefault="00782BAC" w:rsidP="00782BAC">
            <w:pPr>
              <w:pStyle w:val="TAH"/>
            </w:pPr>
            <w:r>
              <w:t>FR1-FR2</w:t>
            </w:r>
          </w:p>
          <w:p w14:paraId="0F974C1F" w14:textId="6ACB9531" w:rsidR="00782BAC" w:rsidRPr="0055133C" w:rsidRDefault="00782BAC" w:rsidP="00782BAC">
            <w:pPr>
              <w:pStyle w:val="TAH"/>
              <w:rPr>
                <w:b w:val="0"/>
              </w:rPr>
            </w:pPr>
            <w:r>
              <w:t>DIFF</w:t>
            </w:r>
          </w:p>
        </w:tc>
      </w:tr>
      <w:tr w:rsidR="00782BAC" w:rsidRPr="0055133C" w14:paraId="42FB3463" w14:textId="77777777" w:rsidTr="00CF018C">
        <w:trPr>
          <w:cantSplit/>
          <w:tblHeader/>
        </w:trPr>
        <w:tc>
          <w:tcPr>
            <w:tcW w:w="1418" w:type="dxa"/>
          </w:tcPr>
          <w:p w14:paraId="5B30F194" w14:textId="31151C60" w:rsidR="00782BAC" w:rsidRPr="00CF018C" w:rsidRDefault="00782BAC" w:rsidP="00782B1F">
            <w:pPr>
              <w:pStyle w:val="TAL"/>
              <w:rPr>
                <w:b/>
              </w:rPr>
            </w:pPr>
            <w:r>
              <w:rPr>
                <w:b/>
              </w:rPr>
              <w:t>2-44, 2-47</w:t>
            </w:r>
          </w:p>
        </w:tc>
        <w:tc>
          <w:tcPr>
            <w:tcW w:w="4536" w:type="dxa"/>
          </w:tcPr>
          <w:p w14:paraId="52422E10" w14:textId="2BCC644F" w:rsidR="00782BAC" w:rsidRPr="001F528E" w:rsidRDefault="00782BAC" w:rsidP="00782B1F">
            <w:pPr>
              <w:pStyle w:val="TAL"/>
              <w:rPr>
                <w:b/>
                <w:i/>
              </w:rPr>
            </w:pPr>
            <w:proofErr w:type="spellStart"/>
            <w:r w:rsidRPr="001F528E">
              <w:rPr>
                <w:b/>
                <w:i/>
              </w:rPr>
              <w:t>onePortsPTRS</w:t>
            </w:r>
            <w:proofErr w:type="spellEnd"/>
          </w:p>
          <w:p w14:paraId="4FEE0469" w14:textId="77777777" w:rsidR="00782BAC" w:rsidRPr="001F528E" w:rsidRDefault="00782BAC" w:rsidP="00782B1F">
            <w:pPr>
              <w:pStyle w:val="TAL"/>
              <w:rPr>
                <w:b/>
                <w:bCs/>
                <w:i/>
                <w:iCs/>
              </w:rPr>
            </w:pPr>
            <w:r w:rsidRPr="001F528E">
              <w:t xml:space="preserve">Defines whether UE supports PT-RS with 1 antenna port in DL reception and/or UL transmission. It is mandatory with UE capability signalling for FR2 and optional for FR1. </w:t>
            </w:r>
            <w:r w:rsidRPr="00E60538">
              <w:t>The</w:t>
            </w:r>
            <w:r>
              <w:t xml:space="preserve"> </w:t>
            </w:r>
            <w:r w:rsidRPr="00A13FC0">
              <w:t>left most</w:t>
            </w:r>
            <w:r w:rsidRPr="00E60538">
              <w:t xml:space="preserve"> in the bitmap corresponds to </w:t>
            </w:r>
            <w:r>
              <w:t>DL reception and the right</w:t>
            </w:r>
            <w:r w:rsidRPr="00A13FC0">
              <w:t xml:space="preserve"> most</w:t>
            </w:r>
            <w:r>
              <w:t xml:space="preserve"> bit in the bitmap corresponds to UL transmission.</w:t>
            </w:r>
          </w:p>
        </w:tc>
        <w:tc>
          <w:tcPr>
            <w:tcW w:w="567" w:type="dxa"/>
          </w:tcPr>
          <w:p w14:paraId="792C1FDC" w14:textId="77777777" w:rsidR="00782BAC" w:rsidRPr="001F528E" w:rsidRDefault="00782BAC" w:rsidP="00782B1F">
            <w:pPr>
              <w:pStyle w:val="TAL"/>
              <w:jc w:val="center"/>
              <w:rPr>
                <w:bCs/>
                <w:iCs/>
              </w:rPr>
            </w:pPr>
            <w:r w:rsidRPr="001F528E">
              <w:t>UE</w:t>
            </w:r>
          </w:p>
        </w:tc>
        <w:tc>
          <w:tcPr>
            <w:tcW w:w="567" w:type="dxa"/>
          </w:tcPr>
          <w:p w14:paraId="241C37F5" w14:textId="1FB62FB5" w:rsidR="00782BAC" w:rsidRPr="001F528E" w:rsidRDefault="00782BAC" w:rsidP="00782B1F">
            <w:pPr>
              <w:pStyle w:val="TAL"/>
              <w:jc w:val="center"/>
              <w:rPr>
                <w:bCs/>
                <w:iCs/>
              </w:rPr>
            </w:pPr>
            <w:r w:rsidRPr="00CF018C">
              <w:t>FD</w:t>
            </w:r>
          </w:p>
        </w:tc>
        <w:tc>
          <w:tcPr>
            <w:tcW w:w="1134" w:type="dxa"/>
          </w:tcPr>
          <w:p w14:paraId="699B8878" w14:textId="77777777" w:rsidR="00782BAC" w:rsidRPr="0055133C" w:rsidRDefault="00782BAC" w:rsidP="00782B1F">
            <w:pPr>
              <w:pStyle w:val="TAH"/>
              <w:rPr>
                <w:b w:val="0"/>
                <w:bCs/>
                <w:iCs/>
              </w:rPr>
            </w:pPr>
            <w:r w:rsidRPr="0055133C">
              <w:rPr>
                <w:b w:val="0"/>
              </w:rPr>
              <w:t>No</w:t>
            </w:r>
          </w:p>
        </w:tc>
        <w:tc>
          <w:tcPr>
            <w:tcW w:w="1276" w:type="dxa"/>
          </w:tcPr>
          <w:p w14:paraId="0ECF54F7" w14:textId="77777777" w:rsidR="00782BAC" w:rsidRPr="0055133C" w:rsidRDefault="00782BAC" w:rsidP="00782B1F">
            <w:pPr>
              <w:pStyle w:val="TAH"/>
              <w:rPr>
                <w:b w:val="0"/>
              </w:rPr>
            </w:pPr>
            <w:r w:rsidRPr="0055133C">
              <w:rPr>
                <w:b w:val="0"/>
              </w:rPr>
              <w:t>Yes</w:t>
            </w:r>
          </w:p>
        </w:tc>
      </w:tr>
      <w:tr w:rsidR="00782BAC" w:rsidRPr="0055133C" w14:paraId="48BF02C1" w14:textId="77777777" w:rsidTr="00CF018C">
        <w:trPr>
          <w:cantSplit/>
          <w:tblHeader/>
        </w:trPr>
        <w:tc>
          <w:tcPr>
            <w:tcW w:w="1418" w:type="dxa"/>
          </w:tcPr>
          <w:p w14:paraId="0577B103" w14:textId="33D48E8D" w:rsidR="00782BAC" w:rsidRPr="00CF018C" w:rsidRDefault="00782BAC" w:rsidP="00782B1F">
            <w:pPr>
              <w:pStyle w:val="TAL"/>
              <w:rPr>
                <w:b/>
              </w:rPr>
            </w:pPr>
            <w:r>
              <w:rPr>
                <w:b/>
              </w:rPr>
              <w:t>2-10</w:t>
            </w:r>
          </w:p>
        </w:tc>
        <w:tc>
          <w:tcPr>
            <w:tcW w:w="4536" w:type="dxa"/>
          </w:tcPr>
          <w:p w14:paraId="3A159DB2" w14:textId="5D00DEFE" w:rsidR="00782BAC" w:rsidRPr="001F528E" w:rsidRDefault="00782BAC" w:rsidP="00782B1F">
            <w:pPr>
              <w:pStyle w:val="TAL"/>
              <w:rPr>
                <w:b/>
                <w:i/>
              </w:rPr>
            </w:pPr>
            <w:proofErr w:type="spellStart"/>
            <w:r w:rsidRPr="001F528E">
              <w:rPr>
                <w:b/>
                <w:i/>
              </w:rPr>
              <w:t>supportedDMRS-TypeDL</w:t>
            </w:r>
            <w:proofErr w:type="spellEnd"/>
          </w:p>
          <w:p w14:paraId="6A4F866F" w14:textId="77777777" w:rsidR="00782BAC" w:rsidRPr="001F528E" w:rsidRDefault="00782BAC" w:rsidP="00782B1F">
            <w:pPr>
              <w:pStyle w:val="TAL"/>
              <w:rPr>
                <w:b/>
                <w:i/>
              </w:rPr>
            </w:pPr>
            <w:r w:rsidRPr="001F528E">
              <w:t xml:space="preserve">Defines supported DM-RS configuration types at the UE for DL reception. Type 1 is mandatory with capability </w:t>
            </w:r>
            <w:proofErr w:type="spellStart"/>
            <w:r w:rsidRPr="001F528E">
              <w:t>signaling</w:t>
            </w:r>
            <w:proofErr w:type="spellEnd"/>
            <w:r w:rsidRPr="001F528E">
              <w:t>. Type 2 is optional.</w:t>
            </w:r>
          </w:p>
        </w:tc>
        <w:tc>
          <w:tcPr>
            <w:tcW w:w="567" w:type="dxa"/>
          </w:tcPr>
          <w:p w14:paraId="07E54930" w14:textId="77777777" w:rsidR="00782BAC" w:rsidRPr="001F528E" w:rsidRDefault="00782BAC" w:rsidP="00782B1F">
            <w:pPr>
              <w:pStyle w:val="TAL"/>
              <w:jc w:val="center"/>
            </w:pPr>
            <w:r w:rsidRPr="001F528E">
              <w:t>UE</w:t>
            </w:r>
          </w:p>
        </w:tc>
        <w:tc>
          <w:tcPr>
            <w:tcW w:w="567" w:type="dxa"/>
          </w:tcPr>
          <w:p w14:paraId="02356965" w14:textId="77777777" w:rsidR="00782BAC" w:rsidRPr="001F528E" w:rsidRDefault="00782BAC" w:rsidP="00782B1F">
            <w:pPr>
              <w:pStyle w:val="TAL"/>
              <w:jc w:val="center"/>
            </w:pPr>
            <w:r>
              <w:t>Yes/No</w:t>
            </w:r>
          </w:p>
        </w:tc>
        <w:tc>
          <w:tcPr>
            <w:tcW w:w="1134" w:type="dxa"/>
          </w:tcPr>
          <w:p w14:paraId="5618E895" w14:textId="77777777" w:rsidR="00782BAC" w:rsidRPr="0055133C" w:rsidRDefault="00782BAC" w:rsidP="00782B1F">
            <w:pPr>
              <w:pStyle w:val="TAH"/>
              <w:rPr>
                <w:b w:val="0"/>
              </w:rPr>
            </w:pPr>
            <w:r w:rsidRPr="0055133C">
              <w:rPr>
                <w:b w:val="0"/>
              </w:rPr>
              <w:t>No</w:t>
            </w:r>
          </w:p>
        </w:tc>
        <w:tc>
          <w:tcPr>
            <w:tcW w:w="1276" w:type="dxa"/>
          </w:tcPr>
          <w:p w14:paraId="149F925F" w14:textId="77777777" w:rsidR="00782BAC" w:rsidRPr="0055133C" w:rsidRDefault="00782BAC" w:rsidP="00782B1F">
            <w:pPr>
              <w:pStyle w:val="TAH"/>
              <w:rPr>
                <w:b w:val="0"/>
              </w:rPr>
            </w:pPr>
            <w:r w:rsidRPr="0055133C">
              <w:rPr>
                <w:b w:val="0"/>
              </w:rPr>
              <w:t>Yes</w:t>
            </w:r>
          </w:p>
        </w:tc>
      </w:tr>
    </w:tbl>
    <w:p w14:paraId="6C2F7DD9" w14:textId="77777777" w:rsidR="002D0721" w:rsidRPr="006D5935" w:rsidRDefault="002D0721" w:rsidP="00561679">
      <w:pPr>
        <w:rPr>
          <w:bCs/>
        </w:rPr>
      </w:pPr>
    </w:p>
    <w:p w14:paraId="527378A5" w14:textId="77777777" w:rsidR="00554564" w:rsidRDefault="00554564" w:rsidP="00561679">
      <w:pPr>
        <w:rPr>
          <w:bCs/>
        </w:rPr>
      </w:pPr>
    </w:p>
    <w:p w14:paraId="54C507D6" w14:textId="022EAE53" w:rsidR="00F75DD4" w:rsidRDefault="0055133C" w:rsidP="0055133C">
      <w:pPr>
        <w:pStyle w:val="Heading1"/>
      </w:pPr>
      <w:r>
        <w:t>Conclusion</w:t>
      </w:r>
    </w:p>
    <w:p w14:paraId="53E25BE0" w14:textId="6B86539E" w:rsidR="0055133C" w:rsidRDefault="0055133C" w:rsidP="0055133C">
      <w:r>
        <w:t>In this contribution we</w:t>
      </w:r>
      <w:r w:rsidR="006D5935">
        <w:t xml:space="preserve"> discuss the process to handle </w:t>
      </w:r>
      <w:r w:rsidR="006D5935" w:rsidRPr="006D5935">
        <w:rPr>
          <w:bCs/>
        </w:rPr>
        <w:t xml:space="preserve">support for </w:t>
      </w:r>
      <w:proofErr w:type="spellStart"/>
      <w:r w:rsidR="006D5935" w:rsidRPr="006D5935">
        <w:rPr>
          <w:rFonts w:eastAsia="Malgun Gothic"/>
          <w:lang w:val="x-none" w:eastAsia="ko-KR"/>
        </w:rPr>
        <w:t>mandatory</w:t>
      </w:r>
      <w:proofErr w:type="spellEnd"/>
      <w:r w:rsidR="006D5935" w:rsidRPr="006D5935">
        <w:rPr>
          <w:rFonts w:eastAsia="Malgun Gothic"/>
          <w:lang w:val="x-none" w:eastAsia="ko-KR"/>
        </w:rPr>
        <w:t xml:space="preserve"> </w:t>
      </w:r>
      <w:proofErr w:type="spellStart"/>
      <w:r w:rsidR="006D5935" w:rsidRPr="006D5935">
        <w:rPr>
          <w:rFonts w:eastAsia="Malgun Gothic"/>
          <w:lang w:val="x-none" w:eastAsia="ko-KR"/>
        </w:rPr>
        <w:t>features</w:t>
      </w:r>
      <w:proofErr w:type="spellEnd"/>
      <w:r w:rsidR="006D5935" w:rsidRPr="006D5935">
        <w:rPr>
          <w:rFonts w:eastAsia="Malgun Gothic"/>
          <w:lang w:val="x-none" w:eastAsia="ko-KR"/>
        </w:rPr>
        <w:t xml:space="preserve"> </w:t>
      </w:r>
      <w:proofErr w:type="spellStart"/>
      <w:r w:rsidR="006D5935" w:rsidRPr="006D5935">
        <w:rPr>
          <w:rFonts w:eastAsia="Malgun Gothic"/>
          <w:lang w:val="x-none" w:eastAsia="ko-KR"/>
        </w:rPr>
        <w:t>with</w:t>
      </w:r>
      <w:proofErr w:type="spellEnd"/>
      <w:r w:rsidR="006D5935" w:rsidRPr="006D5935">
        <w:rPr>
          <w:rFonts w:eastAsia="Malgun Gothic"/>
          <w:lang w:val="x-none" w:eastAsia="ko-KR"/>
        </w:rPr>
        <w:t xml:space="preserve"> </w:t>
      </w:r>
      <w:proofErr w:type="spellStart"/>
      <w:r w:rsidR="006D5935" w:rsidRPr="006D5935">
        <w:rPr>
          <w:rFonts w:eastAsia="Malgun Gothic"/>
          <w:lang w:val="x-none" w:eastAsia="ko-KR"/>
        </w:rPr>
        <w:t>the</w:t>
      </w:r>
      <w:proofErr w:type="spellEnd"/>
      <w:r w:rsidR="006D5935" w:rsidRPr="006D5935">
        <w:rPr>
          <w:rFonts w:eastAsia="Malgun Gothic"/>
          <w:lang w:val="x-none" w:eastAsia="ko-KR"/>
        </w:rPr>
        <w:t xml:space="preserve"> UE radio </w:t>
      </w:r>
      <w:proofErr w:type="spellStart"/>
      <w:r w:rsidR="006D5935" w:rsidRPr="006D5935">
        <w:rPr>
          <w:rFonts w:eastAsia="Malgun Gothic"/>
          <w:lang w:val="x-none" w:eastAsia="ko-KR"/>
        </w:rPr>
        <w:t>access</w:t>
      </w:r>
      <w:proofErr w:type="spellEnd"/>
      <w:r w:rsidR="006D5935" w:rsidRPr="006D5935">
        <w:rPr>
          <w:rFonts w:eastAsia="Malgun Gothic"/>
          <w:lang w:val="x-none" w:eastAsia="ko-KR"/>
        </w:rPr>
        <w:t xml:space="preserve"> </w:t>
      </w:r>
      <w:proofErr w:type="spellStart"/>
      <w:r w:rsidR="006D5935" w:rsidRPr="006D5935">
        <w:rPr>
          <w:rFonts w:eastAsia="Malgun Gothic"/>
          <w:lang w:val="x-none" w:eastAsia="ko-KR"/>
        </w:rPr>
        <w:t>capability</w:t>
      </w:r>
      <w:proofErr w:type="spellEnd"/>
      <w:r w:rsidR="006D5935" w:rsidRPr="006D5935">
        <w:rPr>
          <w:rFonts w:eastAsia="Malgun Gothic"/>
          <w:lang w:val="x-none" w:eastAsia="ko-KR"/>
        </w:rPr>
        <w:t xml:space="preserve"> </w:t>
      </w:r>
      <w:proofErr w:type="spellStart"/>
      <w:r w:rsidR="006D5935" w:rsidRPr="006D5935">
        <w:rPr>
          <w:rFonts w:eastAsia="Malgun Gothic"/>
          <w:lang w:val="x-none" w:eastAsia="ko-KR"/>
        </w:rPr>
        <w:t>parameter</w:t>
      </w:r>
      <w:proofErr w:type="spellEnd"/>
      <w:r w:rsidR="006D5935">
        <w:rPr>
          <w:rFonts w:eastAsia="Malgun Gothic"/>
          <w:lang w:eastAsia="ko-KR"/>
        </w:rPr>
        <w:t xml:space="preserve"> in RAN specifications</w:t>
      </w:r>
      <w:r>
        <w:t xml:space="preserve">. </w:t>
      </w:r>
      <w:r w:rsidR="006D5935">
        <w:t xml:space="preserve">In summary we propose the following: </w:t>
      </w:r>
    </w:p>
    <w:p w14:paraId="294BB297" w14:textId="55BDD7D5" w:rsidR="000A4598" w:rsidRDefault="000A4598" w:rsidP="000A4598">
      <w:r w:rsidRPr="006D5935">
        <w:rPr>
          <w:b/>
        </w:rPr>
        <w:t>Observation:</w:t>
      </w:r>
      <w:r>
        <w:t xml:space="preserve"> </w:t>
      </w:r>
      <w:r w:rsidRPr="009D2354">
        <w:t>mandatory features with the UE radio access capability parameter</w:t>
      </w:r>
      <w:r>
        <w:t xml:space="preserve"> are supposed to be implemented by all UEs, and the capability parameter is only an indication of the status of testing the feature. </w:t>
      </w:r>
    </w:p>
    <w:p w14:paraId="0228F87A" w14:textId="77777777" w:rsidR="000A4598" w:rsidRDefault="000A4598" w:rsidP="000A4598">
      <w:pPr>
        <w:rPr>
          <w:bCs/>
        </w:rPr>
      </w:pPr>
      <w:r w:rsidRPr="00C50F70">
        <w:rPr>
          <w:b/>
          <w:bCs/>
        </w:rPr>
        <w:t>Proposal:</w:t>
      </w:r>
      <w:r>
        <w:rPr>
          <w:bCs/>
        </w:rPr>
        <w:t xml:space="preserve"> </w:t>
      </w:r>
      <w:r w:rsidRPr="00862342">
        <w:rPr>
          <w:bCs/>
        </w:rPr>
        <w:t>UE is required to set the support to “true” after 6 months from the moment that RAN has confirmed that IODT testing against at least two independent networks is available</w:t>
      </w:r>
      <w:r>
        <w:rPr>
          <w:bCs/>
        </w:rPr>
        <w:t>.</w:t>
      </w:r>
    </w:p>
    <w:p w14:paraId="2CCB9CAC" w14:textId="4D4C85BE" w:rsidR="00DA4336" w:rsidRPr="004A75C5" w:rsidRDefault="00DA4336" w:rsidP="007D49AF">
      <w:pPr>
        <w:overflowPunct/>
        <w:autoSpaceDE/>
        <w:autoSpaceDN/>
        <w:adjustRightInd/>
        <w:spacing w:after="0"/>
        <w:textAlignment w:val="auto"/>
      </w:pPr>
    </w:p>
    <w:p w14:paraId="53CD9119" w14:textId="77777777" w:rsidR="00885580" w:rsidRPr="00ED1327" w:rsidRDefault="00885580" w:rsidP="00885580">
      <w:pPr>
        <w:pStyle w:val="Heading1"/>
        <w:numPr>
          <w:ilvl w:val="0"/>
          <w:numId w:val="0"/>
        </w:numPr>
      </w:pPr>
      <w:r>
        <w:t>References</w:t>
      </w:r>
    </w:p>
    <w:p w14:paraId="40AD77B3" w14:textId="227A497F" w:rsidR="00D72873" w:rsidRDefault="00D72873" w:rsidP="00D72873">
      <w:pPr>
        <w:rPr>
          <w:lang w:val="en-US"/>
        </w:rPr>
      </w:pPr>
      <w:r>
        <w:rPr>
          <w:lang w:val="en-US"/>
        </w:rPr>
        <w:t>[1] R2-1902625, “</w:t>
      </w:r>
      <w:r>
        <w:t xml:space="preserve">Miscellaneous corrections,” Intel Corporation, </w:t>
      </w:r>
      <w:r w:rsidR="006D5935">
        <w:t xml:space="preserve">RAN2#105, </w:t>
      </w:r>
      <w:r>
        <w:t xml:space="preserve">Athens, </w:t>
      </w:r>
      <w:r w:rsidR="006D5935">
        <w:t xml:space="preserve">Greece, </w:t>
      </w:r>
      <w:r>
        <w:t>Feb. 2019</w:t>
      </w:r>
    </w:p>
    <w:p w14:paraId="4C6E3F7D" w14:textId="297A5977" w:rsidR="00002614" w:rsidRDefault="006D5935" w:rsidP="008267BE">
      <w:pPr>
        <w:overflowPunct/>
        <w:autoSpaceDE/>
        <w:autoSpaceDN/>
        <w:adjustRightInd/>
        <w:spacing w:after="0"/>
        <w:textAlignment w:val="auto"/>
        <w:rPr>
          <w:lang w:val="en-US"/>
        </w:rPr>
      </w:pPr>
      <w:r>
        <w:rPr>
          <w:lang w:val="en-US"/>
        </w:rPr>
        <w:t>[2] RP-182866, “RAN1 NR UE features,” NTT DOCOMO, RAN#82, Sorrento, Italy, Dec. 2018</w:t>
      </w:r>
    </w:p>
    <w:p w14:paraId="76837DA6" w14:textId="77777777" w:rsidR="00782BAC" w:rsidRDefault="00782BAC" w:rsidP="00BB15B0">
      <w:pPr>
        <w:overflowPunct/>
        <w:autoSpaceDE/>
        <w:autoSpaceDN/>
        <w:adjustRightInd/>
        <w:spacing w:after="0"/>
        <w:textAlignment w:val="auto"/>
        <w:rPr>
          <w:rStyle w:val="Hyperlink"/>
        </w:rPr>
      </w:pPr>
    </w:p>
    <w:p w14:paraId="3C256524" w14:textId="77777777" w:rsidR="00782BAC" w:rsidRDefault="00782BAC" w:rsidP="00782BAC">
      <w:pPr>
        <w:rPr>
          <w:lang w:val="en-US"/>
        </w:rPr>
      </w:pPr>
      <w:r w:rsidRPr="00CF018C">
        <w:rPr>
          <w:lang w:val="en-US"/>
        </w:rPr>
        <w:t>[3] R2-1902636</w:t>
      </w:r>
      <w:r>
        <w:rPr>
          <w:lang w:val="en-US"/>
        </w:rPr>
        <w:t>, “</w:t>
      </w:r>
      <w:r w:rsidRPr="00CF018C">
        <w:rPr>
          <w:lang w:val="en-US"/>
        </w:rPr>
        <w:t>Layer-1 capability update</w:t>
      </w:r>
      <w:r>
        <w:rPr>
          <w:lang w:val="en-US"/>
        </w:rPr>
        <w:t xml:space="preserve">,” </w:t>
      </w:r>
      <w:r w:rsidRPr="00CF018C">
        <w:rPr>
          <w:lang w:val="en-US"/>
        </w:rPr>
        <w:t>NTT DOCOMO</w:t>
      </w:r>
      <w:r>
        <w:t>, RAN2#105, Athens, Greece, Feb. 2019</w:t>
      </w:r>
    </w:p>
    <w:p w14:paraId="748EBA46" w14:textId="6201789C" w:rsidR="0016598A" w:rsidRPr="00460ADE" w:rsidRDefault="0016598A" w:rsidP="00BB15B0">
      <w:pPr>
        <w:overflowPunct/>
        <w:autoSpaceDE/>
        <w:autoSpaceDN/>
        <w:adjustRightInd/>
        <w:spacing w:after="0"/>
        <w:textAlignment w:val="auto"/>
        <w:rPr>
          <w:lang w:val="en-US"/>
        </w:rPr>
      </w:pPr>
    </w:p>
    <w:sectPr w:rsidR="0016598A" w:rsidRPr="00460ADE" w:rsidSect="007D49AF">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B82AA" w14:textId="77777777" w:rsidR="000E2022" w:rsidRDefault="000E2022">
      <w:r>
        <w:separator/>
      </w:r>
    </w:p>
  </w:endnote>
  <w:endnote w:type="continuationSeparator" w:id="0">
    <w:p w14:paraId="2A0F6406" w14:textId="77777777" w:rsidR="000E2022" w:rsidRDefault="000E2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545AD" w14:textId="77777777" w:rsidR="000E2022" w:rsidRDefault="000E2022">
      <w:r>
        <w:separator/>
      </w:r>
    </w:p>
  </w:footnote>
  <w:footnote w:type="continuationSeparator" w:id="0">
    <w:p w14:paraId="165BD373" w14:textId="77777777" w:rsidR="000E2022" w:rsidRDefault="000E20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5F4D6B"/>
    <w:multiLevelType w:val="hybridMultilevel"/>
    <w:tmpl w:val="D9145B34"/>
    <w:lvl w:ilvl="0" w:tplc="3C060ED8">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2D0AB1"/>
    <w:multiLevelType w:val="hybridMultilevel"/>
    <w:tmpl w:val="BAACF3A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E65553"/>
    <w:multiLevelType w:val="hybridMultilevel"/>
    <w:tmpl w:val="3954C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AC23AE"/>
    <w:multiLevelType w:val="hybridMultilevel"/>
    <w:tmpl w:val="1170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FF0D95"/>
    <w:multiLevelType w:val="hybridMultilevel"/>
    <w:tmpl w:val="1EE20E50"/>
    <w:lvl w:ilvl="0" w:tplc="B31CC690">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F8333ED"/>
    <w:multiLevelType w:val="multilevel"/>
    <w:tmpl w:val="84E827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FD634FB"/>
    <w:multiLevelType w:val="hybridMultilevel"/>
    <w:tmpl w:val="C5167FF6"/>
    <w:lvl w:ilvl="0" w:tplc="8648FEF0">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2F4FBE"/>
    <w:multiLevelType w:val="hybridMultilevel"/>
    <w:tmpl w:val="DF4634E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3" w15:restartNumberingAfterBreak="0">
    <w:nsid w:val="5F4D5B2E"/>
    <w:multiLevelType w:val="hybridMultilevel"/>
    <w:tmpl w:val="94AE84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0"/>
  </w:num>
  <w:num w:numId="4">
    <w:abstractNumId w:val="2"/>
  </w:num>
  <w:num w:numId="5">
    <w:abstractNumId w:val="12"/>
  </w:num>
  <w:num w:numId="6">
    <w:abstractNumId w:val="22"/>
  </w:num>
  <w:num w:numId="7">
    <w:abstractNumId w:val="16"/>
  </w:num>
  <w:num w:numId="8">
    <w:abstractNumId w:val="11"/>
  </w:num>
  <w:num w:numId="9">
    <w:abstractNumId w:val="24"/>
  </w:num>
  <w:num w:numId="10">
    <w:abstractNumId w:val="5"/>
  </w:num>
  <w:num w:numId="11">
    <w:abstractNumId w:val="17"/>
  </w:num>
  <w:num w:numId="12">
    <w:abstractNumId w:val="4"/>
  </w:num>
  <w:num w:numId="13">
    <w:abstractNumId w:val="10"/>
  </w:num>
  <w:num w:numId="14">
    <w:abstractNumId w:val="19"/>
  </w:num>
  <w:num w:numId="15">
    <w:abstractNumId w:val="10"/>
  </w:num>
  <w:num w:numId="16">
    <w:abstractNumId w:val="20"/>
  </w:num>
  <w:num w:numId="17">
    <w:abstractNumId w:val="8"/>
  </w:num>
  <w:num w:numId="18">
    <w:abstractNumId w:val="14"/>
  </w:num>
  <w:num w:numId="19">
    <w:abstractNumId w:val="6"/>
  </w:num>
  <w:num w:numId="20">
    <w:abstractNumId w:val="9"/>
  </w:num>
  <w:num w:numId="21">
    <w:abstractNumId w:val="23"/>
  </w:num>
  <w:num w:numId="22">
    <w:abstractNumId w:val="13"/>
  </w:num>
  <w:num w:numId="23">
    <w:abstractNumId w:val="1"/>
  </w:num>
  <w:num w:numId="24">
    <w:abstractNumId w:val="15"/>
  </w:num>
  <w:num w:numId="25">
    <w:abstractNumId w:val="3"/>
  </w:num>
  <w:num w:numId="26">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E44"/>
    <w:rsid w:val="00022B8C"/>
    <w:rsid w:val="00023742"/>
    <w:rsid w:val="00023AAA"/>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BA3"/>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4BC4"/>
    <w:rsid w:val="00075965"/>
    <w:rsid w:val="00075FDA"/>
    <w:rsid w:val="00076386"/>
    <w:rsid w:val="00076D82"/>
    <w:rsid w:val="00081EC2"/>
    <w:rsid w:val="00082154"/>
    <w:rsid w:val="00083800"/>
    <w:rsid w:val="00084A65"/>
    <w:rsid w:val="0008559A"/>
    <w:rsid w:val="00086417"/>
    <w:rsid w:val="000902C2"/>
    <w:rsid w:val="00091A92"/>
    <w:rsid w:val="00093C49"/>
    <w:rsid w:val="00095A80"/>
    <w:rsid w:val="000973E1"/>
    <w:rsid w:val="000A1402"/>
    <w:rsid w:val="000A20BA"/>
    <w:rsid w:val="000A262C"/>
    <w:rsid w:val="000A32DA"/>
    <w:rsid w:val="000A3C8D"/>
    <w:rsid w:val="000A3DFE"/>
    <w:rsid w:val="000A40EC"/>
    <w:rsid w:val="000A4598"/>
    <w:rsid w:val="000A54EE"/>
    <w:rsid w:val="000A6A23"/>
    <w:rsid w:val="000A7BC5"/>
    <w:rsid w:val="000B0C45"/>
    <w:rsid w:val="000B13E1"/>
    <w:rsid w:val="000B16DB"/>
    <w:rsid w:val="000B1C5E"/>
    <w:rsid w:val="000B2282"/>
    <w:rsid w:val="000B27E9"/>
    <w:rsid w:val="000B2A11"/>
    <w:rsid w:val="000B2A5B"/>
    <w:rsid w:val="000B338B"/>
    <w:rsid w:val="000B3B91"/>
    <w:rsid w:val="000B4207"/>
    <w:rsid w:val="000B4285"/>
    <w:rsid w:val="000B4B1B"/>
    <w:rsid w:val="000B50C3"/>
    <w:rsid w:val="000B5AC9"/>
    <w:rsid w:val="000B5F0A"/>
    <w:rsid w:val="000B6D65"/>
    <w:rsid w:val="000C0CED"/>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584F"/>
    <w:rsid w:val="000D76BC"/>
    <w:rsid w:val="000D7750"/>
    <w:rsid w:val="000E071E"/>
    <w:rsid w:val="000E0DEE"/>
    <w:rsid w:val="000E181D"/>
    <w:rsid w:val="000E2022"/>
    <w:rsid w:val="000E27AA"/>
    <w:rsid w:val="000E337A"/>
    <w:rsid w:val="000E34FD"/>
    <w:rsid w:val="000E4350"/>
    <w:rsid w:val="000E4376"/>
    <w:rsid w:val="000E4408"/>
    <w:rsid w:val="000E476B"/>
    <w:rsid w:val="000E5716"/>
    <w:rsid w:val="000E5967"/>
    <w:rsid w:val="000E7A79"/>
    <w:rsid w:val="000F15B2"/>
    <w:rsid w:val="000F19DE"/>
    <w:rsid w:val="000F2986"/>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091B"/>
    <w:rsid w:val="00111208"/>
    <w:rsid w:val="001115E4"/>
    <w:rsid w:val="00111808"/>
    <w:rsid w:val="00112220"/>
    <w:rsid w:val="0011339F"/>
    <w:rsid w:val="00113B8F"/>
    <w:rsid w:val="00113EC8"/>
    <w:rsid w:val="00114E96"/>
    <w:rsid w:val="001152C7"/>
    <w:rsid w:val="00115C88"/>
    <w:rsid w:val="0011644A"/>
    <w:rsid w:val="00117332"/>
    <w:rsid w:val="00117495"/>
    <w:rsid w:val="0011784B"/>
    <w:rsid w:val="001204DD"/>
    <w:rsid w:val="0012123A"/>
    <w:rsid w:val="001227E4"/>
    <w:rsid w:val="00122839"/>
    <w:rsid w:val="001237AC"/>
    <w:rsid w:val="00124E12"/>
    <w:rsid w:val="00124E75"/>
    <w:rsid w:val="0012673D"/>
    <w:rsid w:val="001269B8"/>
    <w:rsid w:val="00127099"/>
    <w:rsid w:val="00127C80"/>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A85"/>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598A"/>
    <w:rsid w:val="001665EB"/>
    <w:rsid w:val="001670EA"/>
    <w:rsid w:val="001674A0"/>
    <w:rsid w:val="00170A50"/>
    <w:rsid w:val="00174FFD"/>
    <w:rsid w:val="001759CA"/>
    <w:rsid w:val="0017726A"/>
    <w:rsid w:val="00177DD3"/>
    <w:rsid w:val="00180278"/>
    <w:rsid w:val="001807F2"/>
    <w:rsid w:val="00181521"/>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57E1"/>
    <w:rsid w:val="001C66AC"/>
    <w:rsid w:val="001C674E"/>
    <w:rsid w:val="001C6754"/>
    <w:rsid w:val="001C77F0"/>
    <w:rsid w:val="001D0ABE"/>
    <w:rsid w:val="001D2B3C"/>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466"/>
    <w:rsid w:val="00213709"/>
    <w:rsid w:val="002149AF"/>
    <w:rsid w:val="00214A86"/>
    <w:rsid w:val="00215AAA"/>
    <w:rsid w:val="0021683C"/>
    <w:rsid w:val="00216F5F"/>
    <w:rsid w:val="00220615"/>
    <w:rsid w:val="00221985"/>
    <w:rsid w:val="00221EC5"/>
    <w:rsid w:val="00222A7A"/>
    <w:rsid w:val="00224A2C"/>
    <w:rsid w:val="00225217"/>
    <w:rsid w:val="002255BB"/>
    <w:rsid w:val="002256D9"/>
    <w:rsid w:val="00226577"/>
    <w:rsid w:val="0022687C"/>
    <w:rsid w:val="002300D6"/>
    <w:rsid w:val="002306F8"/>
    <w:rsid w:val="002312F4"/>
    <w:rsid w:val="002313A2"/>
    <w:rsid w:val="00231765"/>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033"/>
    <w:rsid w:val="002551BD"/>
    <w:rsid w:val="002568D0"/>
    <w:rsid w:val="00260AEE"/>
    <w:rsid w:val="00260E8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3A78"/>
    <w:rsid w:val="002A607D"/>
    <w:rsid w:val="002B132E"/>
    <w:rsid w:val="002B1499"/>
    <w:rsid w:val="002B2813"/>
    <w:rsid w:val="002B2D29"/>
    <w:rsid w:val="002B3B31"/>
    <w:rsid w:val="002B3BBD"/>
    <w:rsid w:val="002B4502"/>
    <w:rsid w:val="002B4B93"/>
    <w:rsid w:val="002B78E0"/>
    <w:rsid w:val="002C0C4B"/>
    <w:rsid w:val="002C1EEA"/>
    <w:rsid w:val="002C47AD"/>
    <w:rsid w:val="002C5510"/>
    <w:rsid w:val="002C6034"/>
    <w:rsid w:val="002C635B"/>
    <w:rsid w:val="002C6BDE"/>
    <w:rsid w:val="002C7276"/>
    <w:rsid w:val="002C770F"/>
    <w:rsid w:val="002C7CFF"/>
    <w:rsid w:val="002D02C8"/>
    <w:rsid w:val="002D0721"/>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69F8"/>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E40"/>
    <w:rsid w:val="00331F96"/>
    <w:rsid w:val="00332B55"/>
    <w:rsid w:val="003336B9"/>
    <w:rsid w:val="003343F0"/>
    <w:rsid w:val="0033476C"/>
    <w:rsid w:val="00335EA8"/>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36"/>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135A"/>
    <w:rsid w:val="003735C6"/>
    <w:rsid w:val="00373F7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62B9"/>
    <w:rsid w:val="00386732"/>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524"/>
    <w:rsid w:val="003B3C64"/>
    <w:rsid w:val="003B4FAA"/>
    <w:rsid w:val="003B547A"/>
    <w:rsid w:val="003B6EC0"/>
    <w:rsid w:val="003B75B9"/>
    <w:rsid w:val="003C087B"/>
    <w:rsid w:val="003C0DA2"/>
    <w:rsid w:val="003C1A18"/>
    <w:rsid w:val="003C249D"/>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051"/>
    <w:rsid w:val="004002B7"/>
    <w:rsid w:val="00400F31"/>
    <w:rsid w:val="004023BA"/>
    <w:rsid w:val="00403F17"/>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2995"/>
    <w:rsid w:val="00433EBE"/>
    <w:rsid w:val="00434406"/>
    <w:rsid w:val="00435578"/>
    <w:rsid w:val="00440FED"/>
    <w:rsid w:val="00441B92"/>
    <w:rsid w:val="00443A9F"/>
    <w:rsid w:val="0044474B"/>
    <w:rsid w:val="00445FF7"/>
    <w:rsid w:val="00446945"/>
    <w:rsid w:val="004508A8"/>
    <w:rsid w:val="00452CA7"/>
    <w:rsid w:val="00453341"/>
    <w:rsid w:val="00454445"/>
    <w:rsid w:val="004545C6"/>
    <w:rsid w:val="00454DCA"/>
    <w:rsid w:val="00454E26"/>
    <w:rsid w:val="00456544"/>
    <w:rsid w:val="00456649"/>
    <w:rsid w:val="004567B7"/>
    <w:rsid w:val="00456856"/>
    <w:rsid w:val="004571EF"/>
    <w:rsid w:val="00457D76"/>
    <w:rsid w:val="0046047A"/>
    <w:rsid w:val="00460ADE"/>
    <w:rsid w:val="00461210"/>
    <w:rsid w:val="00461700"/>
    <w:rsid w:val="00461AAC"/>
    <w:rsid w:val="00462490"/>
    <w:rsid w:val="00462AC9"/>
    <w:rsid w:val="00463DC3"/>
    <w:rsid w:val="00465299"/>
    <w:rsid w:val="00465CE5"/>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6EC2"/>
    <w:rsid w:val="004874E4"/>
    <w:rsid w:val="0049070D"/>
    <w:rsid w:val="00490A39"/>
    <w:rsid w:val="00490E82"/>
    <w:rsid w:val="00491BE4"/>
    <w:rsid w:val="00491DB2"/>
    <w:rsid w:val="00492877"/>
    <w:rsid w:val="00495BA6"/>
    <w:rsid w:val="00496DC2"/>
    <w:rsid w:val="00496E75"/>
    <w:rsid w:val="004A014C"/>
    <w:rsid w:val="004A077D"/>
    <w:rsid w:val="004A0AA8"/>
    <w:rsid w:val="004A1FE4"/>
    <w:rsid w:val="004A2103"/>
    <w:rsid w:val="004A2CA9"/>
    <w:rsid w:val="004A33EF"/>
    <w:rsid w:val="004A34C9"/>
    <w:rsid w:val="004A3CB5"/>
    <w:rsid w:val="004A537D"/>
    <w:rsid w:val="004A67F0"/>
    <w:rsid w:val="004A71C3"/>
    <w:rsid w:val="004A75C5"/>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2255"/>
    <w:rsid w:val="004C394F"/>
    <w:rsid w:val="004C3EC7"/>
    <w:rsid w:val="004C3EEE"/>
    <w:rsid w:val="004C483D"/>
    <w:rsid w:val="004C48BB"/>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2F63"/>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2C1"/>
    <w:rsid w:val="005265A3"/>
    <w:rsid w:val="00526783"/>
    <w:rsid w:val="00526851"/>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E4"/>
    <w:rsid w:val="005431F5"/>
    <w:rsid w:val="00543707"/>
    <w:rsid w:val="005439BD"/>
    <w:rsid w:val="005439D2"/>
    <w:rsid w:val="00543EBB"/>
    <w:rsid w:val="00544213"/>
    <w:rsid w:val="0054486D"/>
    <w:rsid w:val="005453F3"/>
    <w:rsid w:val="00545549"/>
    <w:rsid w:val="005469F5"/>
    <w:rsid w:val="00546F36"/>
    <w:rsid w:val="0055133C"/>
    <w:rsid w:val="005518ED"/>
    <w:rsid w:val="00552093"/>
    <w:rsid w:val="00554564"/>
    <w:rsid w:val="00554C49"/>
    <w:rsid w:val="00554E06"/>
    <w:rsid w:val="00554E4B"/>
    <w:rsid w:val="0055519C"/>
    <w:rsid w:val="00555F67"/>
    <w:rsid w:val="00556E32"/>
    <w:rsid w:val="005604F1"/>
    <w:rsid w:val="005606A4"/>
    <w:rsid w:val="005607B8"/>
    <w:rsid w:val="00560CF5"/>
    <w:rsid w:val="00561679"/>
    <w:rsid w:val="0056272D"/>
    <w:rsid w:val="00562BAB"/>
    <w:rsid w:val="0056308E"/>
    <w:rsid w:val="005638C1"/>
    <w:rsid w:val="00563F16"/>
    <w:rsid w:val="0056415C"/>
    <w:rsid w:val="005649BF"/>
    <w:rsid w:val="005650ED"/>
    <w:rsid w:val="00565869"/>
    <w:rsid w:val="00567415"/>
    <w:rsid w:val="00567610"/>
    <w:rsid w:val="00567B3E"/>
    <w:rsid w:val="00570D9F"/>
    <w:rsid w:val="0057185C"/>
    <w:rsid w:val="00571CA8"/>
    <w:rsid w:val="00572947"/>
    <w:rsid w:val="00573138"/>
    <w:rsid w:val="005734A7"/>
    <w:rsid w:val="005740C3"/>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DE7"/>
    <w:rsid w:val="00590E8D"/>
    <w:rsid w:val="00591511"/>
    <w:rsid w:val="00591E50"/>
    <w:rsid w:val="00592CDA"/>
    <w:rsid w:val="0059331A"/>
    <w:rsid w:val="00593A72"/>
    <w:rsid w:val="00595A8C"/>
    <w:rsid w:val="00595C2C"/>
    <w:rsid w:val="00596BBA"/>
    <w:rsid w:val="00597386"/>
    <w:rsid w:val="005975C4"/>
    <w:rsid w:val="00597ED8"/>
    <w:rsid w:val="005A010C"/>
    <w:rsid w:val="005A17AE"/>
    <w:rsid w:val="005A2B20"/>
    <w:rsid w:val="005A34D5"/>
    <w:rsid w:val="005A3943"/>
    <w:rsid w:val="005A4904"/>
    <w:rsid w:val="005A515A"/>
    <w:rsid w:val="005A704D"/>
    <w:rsid w:val="005B122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22DC"/>
    <w:rsid w:val="005E3073"/>
    <w:rsid w:val="005E316A"/>
    <w:rsid w:val="005E3F20"/>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162D"/>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25F9"/>
    <w:rsid w:val="00613EA5"/>
    <w:rsid w:val="00614CD1"/>
    <w:rsid w:val="006151F2"/>
    <w:rsid w:val="0061567B"/>
    <w:rsid w:val="00615AC8"/>
    <w:rsid w:val="00616595"/>
    <w:rsid w:val="0062152A"/>
    <w:rsid w:val="00623583"/>
    <w:rsid w:val="0062462F"/>
    <w:rsid w:val="00624AFC"/>
    <w:rsid w:val="00624BA1"/>
    <w:rsid w:val="00625B8E"/>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3D60"/>
    <w:rsid w:val="00656307"/>
    <w:rsid w:val="006565D8"/>
    <w:rsid w:val="00656935"/>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5BF"/>
    <w:rsid w:val="00681FDC"/>
    <w:rsid w:val="00682B53"/>
    <w:rsid w:val="00682F27"/>
    <w:rsid w:val="00684C9A"/>
    <w:rsid w:val="006859DB"/>
    <w:rsid w:val="0068678D"/>
    <w:rsid w:val="00687488"/>
    <w:rsid w:val="006904ED"/>
    <w:rsid w:val="00690E2E"/>
    <w:rsid w:val="006915D7"/>
    <w:rsid w:val="00692814"/>
    <w:rsid w:val="00692B99"/>
    <w:rsid w:val="006932E7"/>
    <w:rsid w:val="0069333B"/>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3E80"/>
    <w:rsid w:val="006B48CB"/>
    <w:rsid w:val="006B564D"/>
    <w:rsid w:val="006C1445"/>
    <w:rsid w:val="006C3AB0"/>
    <w:rsid w:val="006C4FC1"/>
    <w:rsid w:val="006C51A5"/>
    <w:rsid w:val="006C529D"/>
    <w:rsid w:val="006C6798"/>
    <w:rsid w:val="006C6DF7"/>
    <w:rsid w:val="006D0C12"/>
    <w:rsid w:val="006D0E6B"/>
    <w:rsid w:val="006D2146"/>
    <w:rsid w:val="006D5935"/>
    <w:rsid w:val="006D632E"/>
    <w:rsid w:val="006E094A"/>
    <w:rsid w:val="006E12B1"/>
    <w:rsid w:val="006E13D1"/>
    <w:rsid w:val="006E3BAD"/>
    <w:rsid w:val="006E4D0C"/>
    <w:rsid w:val="006E4D1B"/>
    <w:rsid w:val="006E5B78"/>
    <w:rsid w:val="006E67BA"/>
    <w:rsid w:val="006E699D"/>
    <w:rsid w:val="006E6BA3"/>
    <w:rsid w:val="006F1116"/>
    <w:rsid w:val="006F2654"/>
    <w:rsid w:val="006F3196"/>
    <w:rsid w:val="006F3C54"/>
    <w:rsid w:val="006F418C"/>
    <w:rsid w:val="006F4CD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753"/>
    <w:rsid w:val="007108D3"/>
    <w:rsid w:val="0071118B"/>
    <w:rsid w:val="00711C66"/>
    <w:rsid w:val="00711E13"/>
    <w:rsid w:val="0071272D"/>
    <w:rsid w:val="00712EDA"/>
    <w:rsid w:val="00713262"/>
    <w:rsid w:val="007136D0"/>
    <w:rsid w:val="007155A9"/>
    <w:rsid w:val="007158E1"/>
    <w:rsid w:val="00716AA6"/>
    <w:rsid w:val="0071705B"/>
    <w:rsid w:val="00717888"/>
    <w:rsid w:val="00720505"/>
    <w:rsid w:val="007236A3"/>
    <w:rsid w:val="007239B6"/>
    <w:rsid w:val="0072490A"/>
    <w:rsid w:val="00724B64"/>
    <w:rsid w:val="0072517D"/>
    <w:rsid w:val="00726878"/>
    <w:rsid w:val="0072766A"/>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6D3"/>
    <w:rsid w:val="0077500F"/>
    <w:rsid w:val="0077548E"/>
    <w:rsid w:val="00777315"/>
    <w:rsid w:val="007801E6"/>
    <w:rsid w:val="007802E4"/>
    <w:rsid w:val="00780919"/>
    <w:rsid w:val="00781589"/>
    <w:rsid w:val="0078213E"/>
    <w:rsid w:val="007826C8"/>
    <w:rsid w:val="00782BAC"/>
    <w:rsid w:val="00784190"/>
    <w:rsid w:val="0078457B"/>
    <w:rsid w:val="00784756"/>
    <w:rsid w:val="0078539D"/>
    <w:rsid w:val="007856C1"/>
    <w:rsid w:val="0078571B"/>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576"/>
    <w:rsid w:val="007A39DF"/>
    <w:rsid w:val="007A43D7"/>
    <w:rsid w:val="007A43ED"/>
    <w:rsid w:val="007A4BDD"/>
    <w:rsid w:val="007A5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49AF"/>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1DD2"/>
    <w:rsid w:val="0080263A"/>
    <w:rsid w:val="0080329D"/>
    <w:rsid w:val="008055A9"/>
    <w:rsid w:val="0080742D"/>
    <w:rsid w:val="008100AC"/>
    <w:rsid w:val="00810C05"/>
    <w:rsid w:val="0081151E"/>
    <w:rsid w:val="0081176C"/>
    <w:rsid w:val="00812498"/>
    <w:rsid w:val="008127E6"/>
    <w:rsid w:val="0081336E"/>
    <w:rsid w:val="00813928"/>
    <w:rsid w:val="008154EC"/>
    <w:rsid w:val="00817758"/>
    <w:rsid w:val="00820DC7"/>
    <w:rsid w:val="00820FFB"/>
    <w:rsid w:val="00821698"/>
    <w:rsid w:val="008221FE"/>
    <w:rsid w:val="00822BF5"/>
    <w:rsid w:val="00824894"/>
    <w:rsid w:val="00825366"/>
    <w:rsid w:val="00825E84"/>
    <w:rsid w:val="008267BE"/>
    <w:rsid w:val="00826C7B"/>
    <w:rsid w:val="00826DD9"/>
    <w:rsid w:val="00826E01"/>
    <w:rsid w:val="008277A8"/>
    <w:rsid w:val="008278B6"/>
    <w:rsid w:val="008307ED"/>
    <w:rsid w:val="00830B3B"/>
    <w:rsid w:val="0083350F"/>
    <w:rsid w:val="00833559"/>
    <w:rsid w:val="00834358"/>
    <w:rsid w:val="008346BD"/>
    <w:rsid w:val="00834923"/>
    <w:rsid w:val="008359EB"/>
    <w:rsid w:val="00836B7A"/>
    <w:rsid w:val="00837B90"/>
    <w:rsid w:val="008409AA"/>
    <w:rsid w:val="00840FB8"/>
    <w:rsid w:val="00841C0B"/>
    <w:rsid w:val="00842E0C"/>
    <w:rsid w:val="00843A7A"/>
    <w:rsid w:val="008447F5"/>
    <w:rsid w:val="00846292"/>
    <w:rsid w:val="008506E1"/>
    <w:rsid w:val="00850D96"/>
    <w:rsid w:val="008515EE"/>
    <w:rsid w:val="00851A8E"/>
    <w:rsid w:val="00851EC7"/>
    <w:rsid w:val="008528D3"/>
    <w:rsid w:val="00854553"/>
    <w:rsid w:val="00855B86"/>
    <w:rsid w:val="00856D47"/>
    <w:rsid w:val="00857974"/>
    <w:rsid w:val="00860874"/>
    <w:rsid w:val="008609A3"/>
    <w:rsid w:val="00862008"/>
    <w:rsid w:val="00862342"/>
    <w:rsid w:val="00862720"/>
    <w:rsid w:val="008628C8"/>
    <w:rsid w:val="00862B2A"/>
    <w:rsid w:val="008630B9"/>
    <w:rsid w:val="00863F37"/>
    <w:rsid w:val="0086406B"/>
    <w:rsid w:val="00864C8C"/>
    <w:rsid w:val="008659FB"/>
    <w:rsid w:val="0086709D"/>
    <w:rsid w:val="00867651"/>
    <w:rsid w:val="00867B5A"/>
    <w:rsid w:val="00871072"/>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42A"/>
    <w:rsid w:val="008A16F9"/>
    <w:rsid w:val="008A1D3E"/>
    <w:rsid w:val="008A3038"/>
    <w:rsid w:val="008A3342"/>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1AF9"/>
    <w:rsid w:val="008C2CFD"/>
    <w:rsid w:val="008C3FDC"/>
    <w:rsid w:val="008C47AD"/>
    <w:rsid w:val="008C603A"/>
    <w:rsid w:val="008C637F"/>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0BE"/>
    <w:rsid w:val="008E42CE"/>
    <w:rsid w:val="008E42F4"/>
    <w:rsid w:val="008E4333"/>
    <w:rsid w:val="008E4A31"/>
    <w:rsid w:val="008E5657"/>
    <w:rsid w:val="008E5E51"/>
    <w:rsid w:val="008E61B8"/>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2630"/>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24E"/>
    <w:rsid w:val="0094409C"/>
    <w:rsid w:val="00944159"/>
    <w:rsid w:val="009449B2"/>
    <w:rsid w:val="00944A82"/>
    <w:rsid w:val="00944BA5"/>
    <w:rsid w:val="00946C4D"/>
    <w:rsid w:val="0095019A"/>
    <w:rsid w:val="00950F49"/>
    <w:rsid w:val="00951DB1"/>
    <w:rsid w:val="0095285B"/>
    <w:rsid w:val="00953FE9"/>
    <w:rsid w:val="00954417"/>
    <w:rsid w:val="0095481C"/>
    <w:rsid w:val="0095526F"/>
    <w:rsid w:val="009567E6"/>
    <w:rsid w:val="00957076"/>
    <w:rsid w:val="00957132"/>
    <w:rsid w:val="009576FD"/>
    <w:rsid w:val="009578EB"/>
    <w:rsid w:val="009578FF"/>
    <w:rsid w:val="00957DD0"/>
    <w:rsid w:val="00960446"/>
    <w:rsid w:val="00960DFE"/>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2B5"/>
    <w:rsid w:val="00974746"/>
    <w:rsid w:val="00975119"/>
    <w:rsid w:val="009763ED"/>
    <w:rsid w:val="00976F04"/>
    <w:rsid w:val="009777F4"/>
    <w:rsid w:val="00977AD8"/>
    <w:rsid w:val="00980A10"/>
    <w:rsid w:val="00981130"/>
    <w:rsid w:val="0098289D"/>
    <w:rsid w:val="009835E0"/>
    <w:rsid w:val="00983C41"/>
    <w:rsid w:val="00983D46"/>
    <w:rsid w:val="00983DCA"/>
    <w:rsid w:val="00985EF7"/>
    <w:rsid w:val="00986093"/>
    <w:rsid w:val="00986146"/>
    <w:rsid w:val="00986CF9"/>
    <w:rsid w:val="00987416"/>
    <w:rsid w:val="00990C0E"/>
    <w:rsid w:val="00990D75"/>
    <w:rsid w:val="00991093"/>
    <w:rsid w:val="0099163B"/>
    <w:rsid w:val="00992343"/>
    <w:rsid w:val="009938B1"/>
    <w:rsid w:val="00993CAD"/>
    <w:rsid w:val="00996258"/>
    <w:rsid w:val="00996306"/>
    <w:rsid w:val="00996744"/>
    <w:rsid w:val="009975B6"/>
    <w:rsid w:val="00997CF4"/>
    <w:rsid w:val="009A1169"/>
    <w:rsid w:val="009A164C"/>
    <w:rsid w:val="009A1AAC"/>
    <w:rsid w:val="009A2CB8"/>
    <w:rsid w:val="009A3789"/>
    <w:rsid w:val="009A45A2"/>
    <w:rsid w:val="009A4B24"/>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D90"/>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354"/>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2A90"/>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431"/>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5D2"/>
    <w:rsid w:val="00A44B43"/>
    <w:rsid w:val="00A4503E"/>
    <w:rsid w:val="00A450C0"/>
    <w:rsid w:val="00A45468"/>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55A7"/>
    <w:rsid w:val="00A55EEE"/>
    <w:rsid w:val="00A5671C"/>
    <w:rsid w:val="00A5765D"/>
    <w:rsid w:val="00A5775A"/>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77F"/>
    <w:rsid w:val="00AA0B9E"/>
    <w:rsid w:val="00AA1087"/>
    <w:rsid w:val="00AA11D9"/>
    <w:rsid w:val="00AA247C"/>
    <w:rsid w:val="00AA25A9"/>
    <w:rsid w:val="00AA26AD"/>
    <w:rsid w:val="00AA26D9"/>
    <w:rsid w:val="00AA36AC"/>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57F0"/>
    <w:rsid w:val="00AB60E2"/>
    <w:rsid w:val="00AB6601"/>
    <w:rsid w:val="00AB674E"/>
    <w:rsid w:val="00AB6D79"/>
    <w:rsid w:val="00AB709E"/>
    <w:rsid w:val="00AB7806"/>
    <w:rsid w:val="00AB7E62"/>
    <w:rsid w:val="00AC02C1"/>
    <w:rsid w:val="00AC0AB6"/>
    <w:rsid w:val="00AC10AD"/>
    <w:rsid w:val="00AC1E55"/>
    <w:rsid w:val="00AC25A2"/>
    <w:rsid w:val="00AC3D06"/>
    <w:rsid w:val="00AC429F"/>
    <w:rsid w:val="00AC60B4"/>
    <w:rsid w:val="00AC67B6"/>
    <w:rsid w:val="00AC7D98"/>
    <w:rsid w:val="00AD00C5"/>
    <w:rsid w:val="00AD165F"/>
    <w:rsid w:val="00AD2794"/>
    <w:rsid w:val="00AD2DC5"/>
    <w:rsid w:val="00AD332A"/>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A19"/>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CF2"/>
    <w:rsid w:val="00B34E63"/>
    <w:rsid w:val="00B35DA4"/>
    <w:rsid w:val="00B36607"/>
    <w:rsid w:val="00B40A96"/>
    <w:rsid w:val="00B4184B"/>
    <w:rsid w:val="00B422A7"/>
    <w:rsid w:val="00B42A32"/>
    <w:rsid w:val="00B42FA6"/>
    <w:rsid w:val="00B4399E"/>
    <w:rsid w:val="00B43A16"/>
    <w:rsid w:val="00B44A4A"/>
    <w:rsid w:val="00B45CE1"/>
    <w:rsid w:val="00B46A75"/>
    <w:rsid w:val="00B470A7"/>
    <w:rsid w:val="00B47D3A"/>
    <w:rsid w:val="00B500CD"/>
    <w:rsid w:val="00B5109D"/>
    <w:rsid w:val="00B5239C"/>
    <w:rsid w:val="00B53259"/>
    <w:rsid w:val="00B53893"/>
    <w:rsid w:val="00B548C2"/>
    <w:rsid w:val="00B54B6A"/>
    <w:rsid w:val="00B55098"/>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521"/>
    <w:rsid w:val="00B92D25"/>
    <w:rsid w:val="00B93008"/>
    <w:rsid w:val="00B9406D"/>
    <w:rsid w:val="00B94BA7"/>
    <w:rsid w:val="00B94E0E"/>
    <w:rsid w:val="00B96413"/>
    <w:rsid w:val="00B97CA3"/>
    <w:rsid w:val="00BA1913"/>
    <w:rsid w:val="00BA2BC9"/>
    <w:rsid w:val="00BA4641"/>
    <w:rsid w:val="00BA4A54"/>
    <w:rsid w:val="00BA76A9"/>
    <w:rsid w:val="00BA7FEB"/>
    <w:rsid w:val="00BB0595"/>
    <w:rsid w:val="00BB15B0"/>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1C25"/>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675A"/>
    <w:rsid w:val="00BF711C"/>
    <w:rsid w:val="00BF748E"/>
    <w:rsid w:val="00BF789B"/>
    <w:rsid w:val="00C03309"/>
    <w:rsid w:val="00C037E0"/>
    <w:rsid w:val="00C072FE"/>
    <w:rsid w:val="00C078D9"/>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234"/>
    <w:rsid w:val="00C365E7"/>
    <w:rsid w:val="00C36E34"/>
    <w:rsid w:val="00C37EBE"/>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0F70"/>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293"/>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0B4"/>
    <w:rsid w:val="00CB1CAC"/>
    <w:rsid w:val="00CB1DE8"/>
    <w:rsid w:val="00CB1E3B"/>
    <w:rsid w:val="00CB1F1D"/>
    <w:rsid w:val="00CB4288"/>
    <w:rsid w:val="00CB6795"/>
    <w:rsid w:val="00CB71F8"/>
    <w:rsid w:val="00CC180A"/>
    <w:rsid w:val="00CC26DB"/>
    <w:rsid w:val="00CC300C"/>
    <w:rsid w:val="00CC35AE"/>
    <w:rsid w:val="00CC3DAA"/>
    <w:rsid w:val="00CC4C2C"/>
    <w:rsid w:val="00CC5057"/>
    <w:rsid w:val="00CC6809"/>
    <w:rsid w:val="00CD0772"/>
    <w:rsid w:val="00CD078F"/>
    <w:rsid w:val="00CD121E"/>
    <w:rsid w:val="00CD185D"/>
    <w:rsid w:val="00CD28F0"/>
    <w:rsid w:val="00CD3ED8"/>
    <w:rsid w:val="00CD497A"/>
    <w:rsid w:val="00CD761D"/>
    <w:rsid w:val="00CD76B5"/>
    <w:rsid w:val="00CD78B9"/>
    <w:rsid w:val="00CE2323"/>
    <w:rsid w:val="00CE2346"/>
    <w:rsid w:val="00CE6F0F"/>
    <w:rsid w:val="00CF002F"/>
    <w:rsid w:val="00CF018C"/>
    <w:rsid w:val="00CF0246"/>
    <w:rsid w:val="00CF2483"/>
    <w:rsid w:val="00CF24E2"/>
    <w:rsid w:val="00CF393D"/>
    <w:rsid w:val="00CF4ABD"/>
    <w:rsid w:val="00CF4CF2"/>
    <w:rsid w:val="00CF5A53"/>
    <w:rsid w:val="00CF5D28"/>
    <w:rsid w:val="00CF68B8"/>
    <w:rsid w:val="00CF6EAD"/>
    <w:rsid w:val="00CF6F1E"/>
    <w:rsid w:val="00CF77B7"/>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396D"/>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D53"/>
    <w:rsid w:val="00D37A1A"/>
    <w:rsid w:val="00D4081B"/>
    <w:rsid w:val="00D4118C"/>
    <w:rsid w:val="00D413C3"/>
    <w:rsid w:val="00D420E2"/>
    <w:rsid w:val="00D42240"/>
    <w:rsid w:val="00D427C3"/>
    <w:rsid w:val="00D42EB8"/>
    <w:rsid w:val="00D43D3C"/>
    <w:rsid w:val="00D43E0B"/>
    <w:rsid w:val="00D441E2"/>
    <w:rsid w:val="00D44932"/>
    <w:rsid w:val="00D46111"/>
    <w:rsid w:val="00D4662F"/>
    <w:rsid w:val="00D46F1B"/>
    <w:rsid w:val="00D4701E"/>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57EAD"/>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2873"/>
    <w:rsid w:val="00D73077"/>
    <w:rsid w:val="00D736A2"/>
    <w:rsid w:val="00D73C57"/>
    <w:rsid w:val="00D742FF"/>
    <w:rsid w:val="00D758B3"/>
    <w:rsid w:val="00D76ADC"/>
    <w:rsid w:val="00D77413"/>
    <w:rsid w:val="00D80B04"/>
    <w:rsid w:val="00D81F10"/>
    <w:rsid w:val="00D82798"/>
    <w:rsid w:val="00D82BF2"/>
    <w:rsid w:val="00D82CFB"/>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36"/>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B53"/>
    <w:rsid w:val="00DB6C06"/>
    <w:rsid w:val="00DB7437"/>
    <w:rsid w:val="00DB78DB"/>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67A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4BB"/>
    <w:rsid w:val="00E246B9"/>
    <w:rsid w:val="00E250C5"/>
    <w:rsid w:val="00E26727"/>
    <w:rsid w:val="00E26970"/>
    <w:rsid w:val="00E2728F"/>
    <w:rsid w:val="00E27791"/>
    <w:rsid w:val="00E30F2D"/>
    <w:rsid w:val="00E319DB"/>
    <w:rsid w:val="00E31AFC"/>
    <w:rsid w:val="00E3250F"/>
    <w:rsid w:val="00E3409E"/>
    <w:rsid w:val="00E34F76"/>
    <w:rsid w:val="00E37BE5"/>
    <w:rsid w:val="00E37E2F"/>
    <w:rsid w:val="00E41A27"/>
    <w:rsid w:val="00E41AB4"/>
    <w:rsid w:val="00E42737"/>
    <w:rsid w:val="00E44906"/>
    <w:rsid w:val="00E45C77"/>
    <w:rsid w:val="00E4608B"/>
    <w:rsid w:val="00E46D7F"/>
    <w:rsid w:val="00E501D3"/>
    <w:rsid w:val="00E536EB"/>
    <w:rsid w:val="00E53A01"/>
    <w:rsid w:val="00E5438A"/>
    <w:rsid w:val="00E564C4"/>
    <w:rsid w:val="00E567C9"/>
    <w:rsid w:val="00E575E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780"/>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33C4"/>
    <w:rsid w:val="00EF4E2C"/>
    <w:rsid w:val="00EF54D1"/>
    <w:rsid w:val="00EF67BB"/>
    <w:rsid w:val="00EF72F9"/>
    <w:rsid w:val="00F0021E"/>
    <w:rsid w:val="00F0030E"/>
    <w:rsid w:val="00F00CD1"/>
    <w:rsid w:val="00F01E6B"/>
    <w:rsid w:val="00F0241C"/>
    <w:rsid w:val="00F031EE"/>
    <w:rsid w:val="00F04278"/>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1433"/>
    <w:rsid w:val="00F4275C"/>
    <w:rsid w:val="00F434B2"/>
    <w:rsid w:val="00F45693"/>
    <w:rsid w:val="00F52339"/>
    <w:rsid w:val="00F5277A"/>
    <w:rsid w:val="00F532E8"/>
    <w:rsid w:val="00F537FF"/>
    <w:rsid w:val="00F54E36"/>
    <w:rsid w:val="00F55C8B"/>
    <w:rsid w:val="00F560FE"/>
    <w:rsid w:val="00F56A1A"/>
    <w:rsid w:val="00F6040B"/>
    <w:rsid w:val="00F60CD6"/>
    <w:rsid w:val="00F6111C"/>
    <w:rsid w:val="00F613F9"/>
    <w:rsid w:val="00F614C0"/>
    <w:rsid w:val="00F61647"/>
    <w:rsid w:val="00F6299F"/>
    <w:rsid w:val="00F657CF"/>
    <w:rsid w:val="00F65808"/>
    <w:rsid w:val="00F6587D"/>
    <w:rsid w:val="00F66A00"/>
    <w:rsid w:val="00F66CFB"/>
    <w:rsid w:val="00F70C73"/>
    <w:rsid w:val="00F713A3"/>
    <w:rsid w:val="00F71A8F"/>
    <w:rsid w:val="00F75330"/>
    <w:rsid w:val="00F75B66"/>
    <w:rsid w:val="00F75DD4"/>
    <w:rsid w:val="00F76836"/>
    <w:rsid w:val="00F76BD9"/>
    <w:rsid w:val="00F77522"/>
    <w:rsid w:val="00F80318"/>
    <w:rsid w:val="00F80703"/>
    <w:rsid w:val="00F80948"/>
    <w:rsid w:val="00F81387"/>
    <w:rsid w:val="00F82134"/>
    <w:rsid w:val="00F822A6"/>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642"/>
    <w:rsid w:val="00FA31E7"/>
    <w:rsid w:val="00FA413A"/>
    <w:rsid w:val="00FA4144"/>
    <w:rsid w:val="00FA4DDF"/>
    <w:rsid w:val="00FA645E"/>
    <w:rsid w:val="00FA6E7F"/>
    <w:rsid w:val="00FA7114"/>
    <w:rsid w:val="00FB052D"/>
    <w:rsid w:val="00FB22D7"/>
    <w:rsid w:val="00FB2379"/>
    <w:rsid w:val="00FB3CB7"/>
    <w:rsid w:val="00FB4B32"/>
    <w:rsid w:val="00FB4B8A"/>
    <w:rsid w:val="00FB5152"/>
    <w:rsid w:val="00FB5F8F"/>
    <w:rsid w:val="00FB680E"/>
    <w:rsid w:val="00FB6B73"/>
    <w:rsid w:val="00FB7A0B"/>
    <w:rsid w:val="00FC0065"/>
    <w:rsid w:val="00FC062F"/>
    <w:rsid w:val="00FC0754"/>
    <w:rsid w:val="00FC3AEE"/>
    <w:rsid w:val="00FC6238"/>
    <w:rsid w:val="00FC7951"/>
    <w:rsid w:val="00FC7EAE"/>
    <w:rsid w:val="00FD1747"/>
    <w:rsid w:val="00FD215C"/>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FCF"/>
    <w:rsid w:val="00FE002E"/>
    <w:rsid w:val="00FE2398"/>
    <w:rsid w:val="00FE515A"/>
    <w:rsid w:val="00FE5421"/>
    <w:rsid w:val="00FE54C4"/>
    <w:rsid w:val="00FE5624"/>
    <w:rsid w:val="00FE5D2C"/>
    <w:rsid w:val="00FE5FBF"/>
    <w:rsid w:val="00FE6C25"/>
    <w:rsid w:val="00FF033A"/>
    <w:rsid w:val="00FF0611"/>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ALCar">
    <w:name w:val="TAL Car"/>
    <w:link w:val="TAL"/>
    <w:qFormat/>
    <w:rsid w:val="00DB78DB"/>
    <w:rPr>
      <w:rFonts w:ascii="Arial" w:hAnsi="Arial"/>
      <w:sz w:val="18"/>
      <w:lang w:val="en-GB"/>
    </w:rPr>
  </w:style>
  <w:style w:type="character" w:customStyle="1" w:styleId="B1Char1">
    <w:name w:val="B1 Char1"/>
    <w:qFormat/>
    <w:rsid w:val="00C078D9"/>
    <w:rPr>
      <w:lang w:val="en-GB" w:eastAsia="en-US"/>
    </w:rPr>
  </w:style>
  <w:style w:type="character" w:customStyle="1" w:styleId="normaltextrun">
    <w:name w:val="normaltextrun"/>
    <w:basedOn w:val="DefaultParagraphFont"/>
    <w:rsid w:val="00386732"/>
  </w:style>
  <w:style w:type="character" w:customStyle="1" w:styleId="contextualspellingandgrammarerror">
    <w:name w:val="contextualspellingandgrammarerror"/>
    <w:basedOn w:val="DefaultParagraphFont"/>
    <w:rsid w:val="00386732"/>
  </w:style>
  <w:style w:type="character" w:customStyle="1" w:styleId="eop">
    <w:name w:val="eop"/>
    <w:basedOn w:val="DefaultParagraphFont"/>
    <w:rsid w:val="003867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296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22421924">
      <w:bodyDiv w:val="1"/>
      <w:marLeft w:val="0"/>
      <w:marRight w:val="0"/>
      <w:marTop w:val="0"/>
      <w:marBottom w:val="0"/>
      <w:divBdr>
        <w:top w:val="none" w:sz="0" w:space="0" w:color="auto"/>
        <w:left w:val="none" w:sz="0" w:space="0" w:color="auto"/>
        <w:bottom w:val="none" w:sz="0" w:space="0" w:color="auto"/>
        <w:right w:val="none" w:sz="0" w:space="0" w:color="auto"/>
      </w:divBdr>
    </w:div>
    <w:div w:id="162958430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4899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5AIRPNAIUNRU-1830940522-4056</_dlc_DocId>
    <_dlc_DocIdUrl xmlns="71c5aaf6-e6ce-465b-b873-5148d2a4c105">
      <Url>https://nokia.sharepoint.com/sites/c5g/5gradio/_layouts/15/DocIdRedir.aspx?ID=5AIRPNAIUNRU-1830940522-4056</Url>
      <Description>5AIRPNAIUNRU-1830940522-4056</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http://schemas.microsoft.com/office/infopath/2007/PartnerControls"/>
    <ds:schemaRef ds:uri="http://purl.org/dc/terms/"/>
    <ds:schemaRef ds:uri="3b34c8f0-1ef5-4d1e-bb66-517ce7fe7356"/>
    <ds:schemaRef ds:uri="ebabf6ce-2443-438c-9946-ecc878e7654a"/>
    <ds:schemaRef ds:uri="http://schemas.microsoft.com/office/2006/documentManagement/types"/>
    <ds:schemaRef ds:uri="71c5aaf6-e6ce-465b-b873-5148d2a4c105"/>
    <ds:schemaRef ds:uri="95d2e41d-1f11-4347-bb1c-11d6a32975dd"/>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D6E4E133-4E9D-4A1B-AEC6-48B831920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735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2</cp:revision>
  <cp:lastPrinted>2016-06-20T11:35:00Z</cp:lastPrinted>
  <dcterms:created xsi:type="dcterms:W3CDTF">2019-03-11T18:21:00Z</dcterms:created>
  <dcterms:modified xsi:type="dcterms:W3CDTF">2019-03-11T18:21:00Z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880f8b31-f343-4d0d-94df-2973d72ee43b</vt:lpwstr>
  </property>
</Properties>
</file>