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hint="default" w:eastAsia="宋体" w:cs="Arial"/>
          <w:bCs/>
          <w:sz w:val="24"/>
          <w:lang w:val="en-US" w:eastAsia="zh-CN"/>
        </w:rPr>
      </w:pPr>
      <w:r>
        <w:rPr>
          <w:rFonts w:hint="eastAsia" w:cs="Arial"/>
          <w:bCs/>
          <w:sz w:val="24"/>
          <w:lang w:val="en-GB"/>
        </w:rPr>
        <w:t>3GPP TSG RAN Meeting #101</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 xml:space="preserve">                                            </w:t>
      </w:r>
      <w:r>
        <w:rPr>
          <w:rFonts w:hint="eastAsia" w:cs="Arial"/>
          <w:bCs/>
          <w:sz w:val="24"/>
          <w:lang w:eastAsia="zh-CN"/>
        </w:rPr>
        <w:t xml:space="preserve">    </w:t>
      </w:r>
      <w:r>
        <w:rPr>
          <w:rFonts w:hint="eastAsia" w:cs="Arial"/>
          <w:bCs/>
          <w:sz w:val="24"/>
          <w:lang w:val="en-GB"/>
        </w:rPr>
        <w:t>RP-232</w:t>
      </w:r>
      <w:r>
        <w:rPr>
          <w:rFonts w:hint="eastAsia" w:cs="Arial"/>
          <w:bCs/>
          <w:sz w:val="24"/>
          <w:lang w:val="en-US" w:eastAsia="zh-CN"/>
        </w:rPr>
        <w:t>640</w:t>
      </w:r>
    </w:p>
    <w:p>
      <w:pPr>
        <w:pStyle w:val="39"/>
        <w:rPr>
          <w:rFonts w:eastAsia="MS Mincho" w:cs="Arial"/>
          <w:bCs/>
          <w:sz w:val="24"/>
          <w:lang w:val="en-GB" w:eastAsia="ja-JP"/>
        </w:rPr>
      </w:pPr>
      <w:r>
        <w:rPr>
          <w:rFonts w:hint="eastAsia" w:cs="Arial"/>
          <w:bCs/>
          <w:sz w:val="24"/>
          <w:lang w:val="en-GB"/>
        </w:rPr>
        <w:t>Bangalore, India, September 11-15, 2023</w:t>
      </w:r>
    </w:p>
    <w:p>
      <w:pPr>
        <w:spacing w:after="60"/>
        <w:ind w:left="1985" w:hanging="1985"/>
        <w:rPr>
          <w:rFonts w:ascii="Arial" w:hAnsi="Arial" w:cs="Arial"/>
          <w:b/>
        </w:rPr>
      </w:pPr>
      <w:bookmarkStart w:id="0" w:name="_Hlk495298459"/>
    </w:p>
    <w:p>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Pr>
          <w:rFonts w:hint="eastAsia" w:ascii="Arial" w:hAnsi="Arial" w:cs="Arial"/>
          <w:b/>
          <w:sz w:val="22"/>
        </w:rPr>
        <w:t>Multiple carriers enhancement for R19</w:t>
      </w:r>
    </w:p>
    <w:p>
      <w:pPr>
        <w:spacing w:after="60"/>
        <w:ind w:left="1985" w:hanging="1985"/>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b/>
          <w:sz w:val="22"/>
        </w:rPr>
        <w:t>8A.2.12.2</w:t>
      </w:r>
    </w:p>
    <w:p>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b/>
          <w:sz w:val="22"/>
        </w:rPr>
        <w:t>CMCC</w:t>
      </w:r>
    </w:p>
    <w:p>
      <w:pPr>
        <w:spacing w:after="60"/>
        <w:ind w:left="1985" w:hanging="1985"/>
        <w:rPr>
          <w:rFonts w:ascii="Arial" w:hAnsi="Arial" w:cs="Arial"/>
          <w:b/>
          <w:sz w:val="22"/>
        </w:rPr>
      </w:pPr>
      <w:r>
        <w:rPr>
          <w:rFonts w:ascii="Arial" w:hAnsi="Arial" w:cs="Arial"/>
          <w:b/>
          <w:sz w:val="22"/>
        </w:rPr>
        <w:t>Document for:</w:t>
      </w:r>
      <w:r>
        <w:rPr>
          <w:rFonts w:ascii="Arial" w:hAnsi="Arial" w:cs="Arial"/>
          <w:b/>
          <w:sz w:val="22"/>
        </w:rPr>
        <w:tab/>
      </w:r>
      <w:r>
        <w:rPr>
          <w:rFonts w:ascii="Arial" w:hAnsi="Arial" w:cs="Arial"/>
          <w:b/>
          <w:sz w:val="22"/>
        </w:rPr>
        <w:t>Discussion</w:t>
      </w:r>
      <w:bookmarkEnd w:id="0"/>
    </w:p>
    <w:p>
      <w:pPr>
        <w:pStyle w:val="2"/>
        <w:rPr>
          <w:lang w:eastAsia="zh-CN"/>
        </w:rPr>
      </w:pPr>
      <w:r>
        <w:rPr>
          <w:rFonts w:hint="eastAsia"/>
          <w:lang w:eastAsia="zh-CN"/>
        </w:rPr>
        <w:t>Introduction</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 xml:space="preserve">Multiple carriers schemes are treated as efficient ways to increase user throughput and improve coverage, and have been introduce to LTE and NR. In additional to those features inherited from LTE, NR has extended the multiple carrier scheme to provide more flexible functions, such as UL switching, fast activation/deactivation of Scell, cross scheduling from SCell, multi-cell scheduling from single DCI etc, to improve transmission quality, spectrum efficiency and reduce scheduling overhead. </w:t>
      </w:r>
    </w:p>
    <w:p>
      <w:pPr>
        <w:keepNext w:val="0"/>
        <w:keepLines w:val="0"/>
        <w:pageBreakBefore w:val="0"/>
        <w:widowControl w:val="0"/>
        <w:kinsoku/>
        <w:wordWrap/>
        <w:overflowPunct/>
        <w:topLinePunct w:val="0"/>
        <w:autoSpaceDE/>
        <w:autoSpaceDN/>
        <w:bidi w:val="0"/>
        <w:adjustRightInd/>
        <w:snapToGrid/>
        <w:spacing w:before="137" w:beforeLines="50"/>
        <w:textAlignment w:val="auto"/>
      </w:pPr>
      <w:r>
        <w:rPr>
          <w:rFonts w:hint="default" w:ascii="Times New Roman" w:hAnsi="Times New Roman" w:cs="Times New Roman"/>
        </w:rPr>
        <w:t>In this contribution, we discuss the motivation of a more general framework for multiple carriers transmission to reduce multi-cell management overhead, the SUL enhancement and multi-UE scheduling for more efficient spectrum utilization.</w:t>
      </w:r>
    </w:p>
    <w:p>
      <w:pPr>
        <w:pStyle w:val="2"/>
      </w:pPr>
      <w:r>
        <w:rPr>
          <w:rFonts w:hint="eastAsia"/>
          <w:lang w:val="en-US" w:eastAsia="zh-CN"/>
        </w:rPr>
        <w:t>General framework enhancement for multiple carriers transmission</w:t>
      </w:r>
    </w:p>
    <w:p>
      <w:pPr>
        <w:pStyle w:val="3"/>
        <w:rPr>
          <w:rFonts w:ascii="Times New Roman" w:hAnsi="Times New Roman" w:eastAsia="SimSun-ExtB"/>
        </w:rPr>
      </w:pPr>
      <w:r>
        <w:rPr>
          <w:rFonts w:ascii="Times New Roman" w:hAnsi="Times New Roman" w:eastAsia="SimSun-ExtB"/>
        </w:rPr>
        <w:t xml:space="preserve">Motivation </w:t>
      </w:r>
      <w:r>
        <w:rPr>
          <w:rFonts w:ascii="Times New Roman" w:hAnsi="Times New Roman" w:eastAsia="SimSun-ExtB"/>
          <w:lang w:val="en-US"/>
        </w:rPr>
        <w:t xml:space="preserve">for enhancement of </w:t>
      </w:r>
      <w:r>
        <w:rPr>
          <w:rFonts w:ascii="Times New Roman" w:hAnsi="Times New Roman" w:eastAsia="SimSun-ExtB"/>
          <w:lang w:val="en-US" w:eastAsia="zh-CN"/>
        </w:rPr>
        <w:t xml:space="preserve">current </w:t>
      </w:r>
      <w:r>
        <w:rPr>
          <w:rFonts w:ascii="Times New Roman" w:hAnsi="Times New Roman" w:eastAsia="SimSun-ExtB"/>
          <w:lang w:val="en-US"/>
        </w:rPr>
        <w:t>multi-carrier schemes</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To meet the high data rate requirement of NR, wide bandwidth is desired, by aggregating multiple non-continuous carriers with small bandwidth or by using single continuous large bandwidth. It is more practical for FR1 to use the former method to achieve wide bandwidth. So multiple carriers operation will be important for FR1 to provide high throughput of UE. But current multiple carriers schemes have the following drawbacks.</w:t>
      </w:r>
    </w:p>
    <w:p>
      <w:pPr>
        <w:keepNext w:val="0"/>
        <w:keepLines w:val="0"/>
        <w:pageBreakBefore w:val="0"/>
        <w:widowControl w:val="0"/>
        <w:numPr>
          <w:ilvl w:val="0"/>
          <w:numId w:val="9"/>
        </w:numPr>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b/>
          <w:bCs/>
        </w:rPr>
        <w:t>Lack of general multi-carrier architecture to achieve efficient IDLE/INACTIVE UEs mode offloading and IDLE/INACTIVE UEs mode carrier selection flexibility</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 xml:space="preserve">Current CA scheme increases both uplink and downlink user throughput by aggregating at least 2 carriers for UEs, but it is only applied to RRC connected mode. Supplementary uplink operating on lower frequency band is introduced to complement coverage of paired or unpaired NR systems from initial access, but limited to only one SUL band. Currently, offloading is realized in the way that UE chooses a cell to camp on according to frequency priority, and offloading can only be realized by handover. In this case, it cannot help to solve congestion during initial access, and handover signaling due to offloading also brings a lot of system overhead. It also means UE can only choose PCell for initial access and flexible carrier selection can not be realized well. </w:t>
      </w:r>
    </w:p>
    <w:p>
      <w:pPr>
        <w:keepNext w:val="0"/>
        <w:keepLines w:val="0"/>
        <w:pageBreakBefore w:val="0"/>
        <w:widowControl w:val="0"/>
        <w:numPr>
          <w:ilvl w:val="0"/>
          <w:numId w:val="9"/>
        </w:numPr>
        <w:kinsoku/>
        <w:wordWrap/>
        <w:overflowPunct/>
        <w:topLinePunct w:val="0"/>
        <w:autoSpaceDE/>
        <w:autoSpaceDN/>
        <w:bidi w:val="0"/>
        <w:adjustRightInd/>
        <w:snapToGrid/>
        <w:spacing w:before="137" w:beforeLines="50"/>
        <w:textAlignment w:val="auto"/>
        <w:rPr>
          <w:rFonts w:hint="default" w:ascii="Times New Roman" w:hAnsi="Times New Roman" w:cs="Times New Roman"/>
          <w:b/>
          <w:bCs/>
        </w:rPr>
      </w:pPr>
      <w:r>
        <w:rPr>
          <w:rFonts w:hint="default" w:ascii="Times New Roman" w:hAnsi="Times New Roman" w:cs="Times New Roman"/>
          <w:b/>
          <w:bCs/>
        </w:rPr>
        <w:t xml:space="preserve">Cell management overhead is high due to multiple cells operation of current CA framework. </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For example, there may be some carriers re-farmed from LTE, as shown in figure.1, the bandwidth may vary from less than 20MHz to 50MHz or even larger. These carriers with small bandwidth can be continuous or non-continuous, if they are all managed as independent cells, handover between cells or SCell addition/release will involve lot of RRC reconfiguration signaling, so the spectrum utilization efficiency will be low due to large cell management overhead on these precious low frequency bands.</w:t>
      </w:r>
    </w:p>
    <w:p>
      <w:pPr>
        <w:keepNext w:val="0"/>
        <w:keepLines w:val="0"/>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3185160" cy="1037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194919" cy="10409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w:t xml:space="preserve">Figure.1 </w:t>
      </w:r>
      <w:r>
        <w:rPr>
          <w:rFonts w:hint="eastAsia" w:ascii="Times New Roman" w:hAnsi="Times New Roman" w:cs="Times New Roman"/>
          <w:lang w:val="en-US" w:eastAsia="zh-CN"/>
        </w:rPr>
        <w:t>E</w:t>
      </w:r>
      <w:r>
        <w:rPr>
          <w:rFonts w:hint="default" w:ascii="Times New Roman" w:hAnsi="Times New Roman" w:cs="Times New Roman"/>
        </w:rPr>
        <w:t>xample of re-farmed LTE spectrum</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Therefore, enhancements are needed to overcome the above shortcomings, and to provide more a more flexible and efficient multiple frequency resource operation.</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b/>
          <w:bCs/>
        </w:rPr>
        <w:t>Observation: Enhancements to multi-carrier operation is needed to provide efficient and flexible IDLE/INACTIVE UEs mode multiple carrier operation and to reduce cell management overhead of existing CA framework.</w:t>
      </w:r>
    </w:p>
    <w:p>
      <w:pPr>
        <w:pStyle w:val="3"/>
        <w:rPr>
          <w:rFonts w:ascii="Times New Roman" w:hAnsi="Times New Roman"/>
          <w:lang w:val="en-US" w:eastAsia="zh-CN"/>
        </w:rPr>
      </w:pPr>
      <w:r>
        <w:rPr>
          <w:rFonts w:ascii="Times New Roman" w:hAnsi="Times New Roman"/>
          <w:lang w:val="en-US" w:eastAsia="zh-CN"/>
        </w:rPr>
        <w:t>Discussion of frequency combination based elastic cell</w:t>
      </w:r>
    </w:p>
    <w:p>
      <w:pPr>
        <w:keepNext w:val="0"/>
        <w:keepLines w:val="0"/>
        <w:pageBreakBefore w:val="0"/>
        <w:widowControl w:val="0"/>
        <w:tabs>
          <w:tab w:val="left" w:pos="3400"/>
        </w:tabs>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To realize efficient and flexible IDLE/INACTIVE mode multiple carrier operation, and at the same time, to reduce cell management overhead of existing CA framework, different frequency resources, regardless of intra-band, or inter-band, can be configured in a cell, named frequency combination based elastic cell. The elastic cell has the following characteristics,</w:t>
      </w:r>
    </w:p>
    <w:p>
      <w:pPr>
        <w:pStyle w:val="113"/>
        <w:keepNext w:val="0"/>
        <w:keepLines w:val="0"/>
        <w:pageBreakBefore w:val="0"/>
        <w:widowControl w:val="0"/>
        <w:numPr>
          <w:ilvl w:val="0"/>
          <w:numId w:val="10"/>
        </w:numPr>
        <w:kinsoku/>
        <w:wordWrap/>
        <w:overflowPunct/>
        <w:topLinePunct w:val="0"/>
        <w:autoSpaceDE/>
        <w:autoSpaceDN/>
        <w:bidi w:val="0"/>
        <w:adjustRightInd/>
        <w:snapToGrid/>
        <w:spacing w:before="120"/>
        <w:textAlignment w:val="auto"/>
        <w:rPr>
          <w:rFonts w:hint="default" w:ascii="Times New Roman" w:hAnsi="Times New Roman" w:cs="Times New Roman" w:eastAsiaTheme="minorEastAsia"/>
        </w:rPr>
      </w:pPr>
      <w:r>
        <w:rPr>
          <w:rFonts w:hint="default" w:ascii="Times New Roman" w:hAnsi="Times New Roman" w:cs="Times New Roman" w:eastAsiaTheme="minorEastAsia"/>
        </w:rPr>
        <w:t>The multiple frequency resources are deployed co-located, they can be intra-band or inter-band resources.</w:t>
      </w:r>
    </w:p>
    <w:p>
      <w:pPr>
        <w:pStyle w:val="113"/>
        <w:keepNext w:val="0"/>
        <w:keepLines w:val="0"/>
        <w:pageBreakBefore w:val="0"/>
        <w:widowControl w:val="0"/>
        <w:numPr>
          <w:ilvl w:val="0"/>
          <w:numId w:val="10"/>
        </w:numPr>
        <w:kinsoku/>
        <w:wordWrap/>
        <w:overflowPunct/>
        <w:topLinePunct w:val="0"/>
        <w:autoSpaceDE/>
        <w:autoSpaceDN/>
        <w:bidi w:val="0"/>
        <w:adjustRightInd/>
        <w:snapToGrid/>
        <w:spacing w:before="120"/>
        <w:textAlignment w:val="auto"/>
        <w:rPr>
          <w:rFonts w:hint="default" w:ascii="Times New Roman" w:hAnsi="Times New Roman" w:cs="Times New Roman" w:eastAsiaTheme="minorEastAsia"/>
        </w:rPr>
      </w:pPr>
      <w:r>
        <w:rPr>
          <w:rFonts w:hint="default" w:ascii="Times New Roman" w:hAnsi="Times New Roman" w:cs="Times New Roman" w:eastAsiaTheme="minorEastAsia"/>
        </w:rPr>
        <w:t xml:space="preserve">System information can be broadcast only on one of the multiple frequency resources, i.e., so called anchor frequency resource,  and one or more non-anchor frequency resources can be visible and accessed by UE , both anchor and non-anchor frequency resource can be selected by UE for initial access and data transmission. </w:t>
      </w:r>
    </w:p>
    <w:p>
      <w:pPr>
        <w:pStyle w:val="113"/>
        <w:keepNext w:val="0"/>
        <w:keepLines w:val="0"/>
        <w:pageBreakBefore w:val="0"/>
        <w:widowControl w:val="0"/>
        <w:numPr>
          <w:ilvl w:val="0"/>
          <w:numId w:val="10"/>
        </w:numPr>
        <w:kinsoku/>
        <w:wordWrap/>
        <w:overflowPunct/>
        <w:topLinePunct w:val="0"/>
        <w:autoSpaceDE/>
        <w:autoSpaceDN/>
        <w:bidi w:val="0"/>
        <w:adjustRightInd/>
        <w:snapToGrid/>
        <w:spacing w:before="120"/>
        <w:textAlignment w:val="auto"/>
        <w:rPr>
          <w:rFonts w:hint="default" w:ascii="Times New Roman" w:hAnsi="Times New Roman" w:cs="Times New Roman" w:eastAsiaTheme="minorEastAsia"/>
        </w:rPr>
      </w:pPr>
      <w:r>
        <w:rPr>
          <w:rFonts w:hint="default" w:ascii="Times New Roman" w:hAnsi="Times New Roman" w:cs="Times New Roman" w:eastAsiaTheme="minorEastAsia"/>
        </w:rPr>
        <w:t xml:space="preserve">SSB transmission on non-anchor cell can be configured by anchor frequency resource, e.g. non-anchor frequency resource can be configured with SSB-less or long SSB periodicity to reduce SSB overhead, UE can access non-anchor cell with less SSB overhead than current default SSB periodicity. </w:t>
      </w:r>
    </w:p>
    <w:p>
      <w:pPr>
        <w:pStyle w:val="113"/>
        <w:keepNext w:val="0"/>
        <w:keepLines w:val="0"/>
        <w:pageBreakBefore w:val="0"/>
        <w:widowControl w:val="0"/>
        <w:numPr>
          <w:ilvl w:val="0"/>
          <w:numId w:val="10"/>
        </w:numPr>
        <w:kinsoku/>
        <w:wordWrap/>
        <w:overflowPunct/>
        <w:topLinePunct w:val="0"/>
        <w:autoSpaceDE/>
        <w:autoSpaceDN/>
        <w:bidi w:val="0"/>
        <w:adjustRightInd/>
        <w:snapToGrid/>
        <w:spacing w:before="120"/>
        <w:textAlignment w:val="auto"/>
        <w:rPr>
          <w:rFonts w:hint="default" w:ascii="Times New Roman" w:hAnsi="Times New Roman" w:cs="Times New Roman" w:eastAsiaTheme="minorEastAsia"/>
        </w:rPr>
      </w:pPr>
      <w:r>
        <w:rPr>
          <w:rFonts w:hint="default" w:ascii="Times New Roman" w:hAnsi="Times New Roman" w:cs="Times New Roman" w:eastAsiaTheme="minorEastAsia"/>
        </w:rPr>
        <w:t>Idle/inactive UEs only need to monitor paging on anchor frequency resource.</w:t>
      </w:r>
    </w:p>
    <w:p>
      <w:pPr>
        <w:pStyle w:val="113"/>
        <w:keepNext w:val="0"/>
        <w:keepLines w:val="0"/>
        <w:pageBreakBefore w:val="0"/>
        <w:widowControl w:val="0"/>
        <w:numPr>
          <w:ilvl w:val="0"/>
          <w:numId w:val="10"/>
        </w:numPr>
        <w:kinsoku/>
        <w:wordWrap/>
        <w:overflowPunct/>
        <w:topLinePunct w:val="0"/>
        <w:autoSpaceDE/>
        <w:autoSpaceDN/>
        <w:bidi w:val="0"/>
        <w:adjustRightInd/>
        <w:snapToGrid/>
        <w:spacing w:before="120"/>
        <w:textAlignment w:val="auto"/>
        <w:rPr>
          <w:rFonts w:hint="default" w:ascii="Times New Roman" w:hAnsi="Times New Roman" w:cs="Times New Roman" w:eastAsiaTheme="minorEastAsia"/>
        </w:rPr>
      </w:pPr>
      <w:r>
        <w:rPr>
          <w:rFonts w:hint="default" w:ascii="Times New Roman" w:hAnsi="Times New Roman" w:cs="Times New Roman" w:eastAsiaTheme="minorEastAsia"/>
        </w:rPr>
        <w:t>For connected mode, similar but more flexible behavior than CA is supported, for example, fast switching than CA can be achieved, since UE has all the SI information about multiple frequency resources in one elastic cell, L1/L2 based multiple frequency resources activation and deactivation can be studied, based on R18 L1/L2 mobility enhancement.</w:t>
      </w:r>
    </w:p>
    <w:p>
      <w:pPr>
        <w:keepNext w:val="0"/>
        <w:keepLines w:val="0"/>
        <w:pageBreakBefore w:val="0"/>
        <w:widowControl w:val="0"/>
        <w:kinsoku/>
        <w:wordWrap/>
        <w:overflowPunct/>
        <w:topLinePunct w:val="0"/>
        <w:autoSpaceDE/>
        <w:autoSpaceDN/>
        <w:bidi w:val="0"/>
        <w:adjustRightInd/>
        <w:snapToGrid/>
        <w:spacing w:before="120"/>
        <w:jc w:val="center"/>
        <w:textAlignment w:val="auto"/>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drawing>
          <wp:inline distT="0" distB="0" distL="114300" distR="114300">
            <wp:extent cx="2432685" cy="1728470"/>
            <wp:effectExtent l="0" t="0" r="571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432685" cy="17284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20"/>
        <w:jc w:val="center"/>
        <w:textAlignment w:val="auto"/>
        <w:rPr>
          <w:rFonts w:hint="default" w:ascii="Times New Roman" w:hAnsi="Times New Roman" w:cs="Times New Roman"/>
        </w:rPr>
      </w:pPr>
      <w:r>
        <w:rPr>
          <w:rFonts w:hint="default" w:ascii="Times New Roman" w:hAnsi="Times New Roman" w:cs="Times New Roman"/>
        </w:rPr>
        <w:t>Figure.2 frequency combination based elastic cell</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 xml:space="preserve">This is an extension of SUL scheme as a universal solution for multiple carrier operation, for both  IDLE/INACTIVE mode and CONNECTED mode UEs, where resource selection for initial access in a cell is no longer limited to the carrier on SUL bands, but also can be the carriers on existing TDD/FDD bands, coupling of DL and UL bands can be more flexible. </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b/>
          <w:bCs/>
        </w:rPr>
        <w:t>With frequency combination based elastic cell, cell management overhead will be largely reduced</w:t>
      </w:r>
      <w:r>
        <w:rPr>
          <w:rFonts w:hint="default" w:ascii="Times New Roman" w:hAnsi="Times New Roman" w:cs="Times New Roman"/>
        </w:rPr>
        <w:t>. Since multiple frequency resources constitute a single cell and UE can get system information for all the frequency resources within the elastic cell, handover among inter-cells under CA framework will transform to intra-cell switching of frequency resources. RRC reconfiguration signaling will be avoided. Neighboring cell configuration overhead will also be reduced since frequency resources in single elastic cell can share common configuration with anchor frequency resource. System broadcast signaling overhead can also be reduced when non anchor frequency resources are not served as Pcell for legacy UEs, since common system information, paging and even SSB can be broadcast only in the anchor frequency resource.</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b/>
          <w:bCs/>
        </w:rPr>
        <w:t>Another benefit is flexible offloading</w:t>
      </w:r>
      <w:r>
        <w:rPr>
          <w:rFonts w:hint="default" w:ascii="Times New Roman" w:hAnsi="Times New Roman" w:cs="Times New Roman"/>
        </w:rPr>
        <w:t xml:space="preserve">. Even when UEs camp on the same DL anchor frequency resource, they can initiate random access from different non anchor frequency resources, no need to wait until handover, offloading can be realized from initial access considering aspects such as traffic load, coverage, slice, service type, etc. As a result, system signaling overhead is reduced and spectrum efficiency is improved by frequency combination based elastic cell. </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b/>
          <w:bCs/>
        </w:rPr>
        <w:t>Besides the management overhead reduction and flexible offloading benefit, the frequency combination elastic cell can also provide network energy saving gain</w:t>
      </w:r>
      <w:r>
        <w:rPr>
          <w:rFonts w:hint="default" w:ascii="Times New Roman" w:hAnsi="Times New Roman" w:cs="Times New Roman"/>
        </w:rPr>
        <w:t xml:space="preserve">. The reason is that without SIB/paging on non-anchor frequency resources, and with sparse SSB or even no SSB which can be configured by anchor frequency resources, gNB will have more chances to sleep on non anchor frequency resource. During R18 NES SI, NES cell without SSB/SIB is studied, where UE can receive </w:t>
      </w:r>
      <w:r>
        <w:rPr>
          <w:rFonts w:hint="default" w:ascii="Times New Roman" w:hAnsi="Times New Roman" w:eastAsia="Times New Roman" w:cs="Times New Roman"/>
        </w:rPr>
        <w:t xml:space="preserve">SSB, system information and paging from anchor cell, while the </w:t>
      </w:r>
      <w:r>
        <w:rPr>
          <w:rFonts w:hint="default" w:ascii="Times New Roman" w:hAnsi="Times New Roman" w:cs="Times New Roman"/>
        </w:rPr>
        <w:t>access may occur only via anchor cell or also directly in the non-anchor NES cell. This is a similar concept as frequency combination based elastic cell proposed here except all the carriers are treated here as frequency resources, and they are operated in a single cell. Corresponding techniques is not further specified in R18 WI. But the power saving gain is evaluated during SI. The power saving gain is summarized as “In general, for SSB and/or SIB saved from one carrier of two carriers, 8 resources observed BS energy savings gain, by 5.1%~98.4% for empty load, 3.0%~58.4% for low load, and 1.0%~7.9% for light load, 0.3%~5.7% for medium load. When traffic load is low, network may turn off SCell for energy saving. The results are for FR1 only.” in section 6.2.1.2 of TR38.864.</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For clear description of elastic cell and CA, we provide the following table for comparison,</w:t>
      </w:r>
    </w:p>
    <w:p>
      <w:pPr>
        <w:keepNext w:val="0"/>
        <w:keepLines w:val="0"/>
        <w:pageBreakBefore w:val="0"/>
        <w:widowControl w:val="0"/>
        <w:kinsoku/>
        <w:wordWrap/>
        <w:overflowPunct/>
        <w:topLinePunct w:val="0"/>
        <w:autoSpaceDE/>
        <w:autoSpaceDN/>
        <w:bidi w:val="0"/>
        <w:adjustRightInd/>
        <w:snapToGrid/>
        <w:spacing w:before="120"/>
        <w:jc w:val="center"/>
        <w:textAlignment w:val="auto"/>
        <w:rPr>
          <w:rFonts w:hint="default" w:ascii="Times New Roman" w:hAnsi="Times New Roman" w:cs="Times New Roman"/>
        </w:rPr>
      </w:pPr>
      <w:r>
        <w:rPr>
          <w:rFonts w:hint="default" w:ascii="Times New Roman" w:hAnsi="Times New Roman" w:cs="Times New Roman"/>
        </w:rPr>
        <w:t>Table 1. Function comparison between CA and elastic cell</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6"/>
        <w:gridCol w:w="3396"/>
        <w:gridCol w:w="3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jc w:val="center"/>
              <w:textAlignment w:val="auto"/>
              <w:rPr>
                <w:rFonts w:hint="default" w:ascii="Times New Roman" w:hAnsi="Times New Roman" w:cs="Times New Roman"/>
              </w:rPr>
            </w:pPr>
            <w:r>
              <w:rPr>
                <w:rFonts w:hint="default" w:ascii="Times New Roman" w:hAnsi="Times New Roman" w:cs="Times New Roman"/>
              </w:rPr>
              <w:t>Functions</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jc w:val="center"/>
              <w:textAlignment w:val="auto"/>
              <w:rPr>
                <w:rFonts w:hint="default" w:ascii="Times New Roman" w:hAnsi="Times New Roman" w:cs="Times New Roman"/>
              </w:rPr>
            </w:pPr>
            <w:r>
              <w:rPr>
                <w:rFonts w:hint="default" w:ascii="Times New Roman" w:hAnsi="Times New Roman" w:cs="Times New Roman"/>
              </w:rPr>
              <w:t>CA</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jc w:val="center"/>
              <w:textAlignment w:val="auto"/>
              <w:rPr>
                <w:rFonts w:hint="default" w:ascii="Times New Roman" w:hAnsi="Times New Roman" w:cs="Times New Roman"/>
              </w:rPr>
            </w:pPr>
            <w:r>
              <w:rPr>
                <w:rFonts w:hint="default" w:ascii="Times New Roman" w:hAnsi="Times New Roman" w:cs="Times New Roman"/>
              </w:rPr>
              <w:t>Elastic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Flexible initial access carrier selection and offloading</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Camping and access from Pcell</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Camping on anchor frequency resource, access from either anchor or non-anchor frequency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 xml:space="preserve">Cell management </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Each carrier is managed as one cell, handover between cells requires RRC reconfiguration and large handover delay than L1/L2 switching</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Multiple frequency resources constitute a single cell, switching among intra-cell frequency resources will be much faster than handover, overhead will be reduced.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UE capability requirement</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UE has to support CA capability operation with multiple carriers</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Both single carrier or multiple carriers capability UEs can access to elastic cell, and benefit the flexibility of such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SSB overhead reduction</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 xml:space="preserve">NES support SSB-less Scell operation for </w:t>
            </w:r>
            <w:r>
              <w:rPr>
                <w:rFonts w:hint="default" w:ascii="Times New Roman" w:hAnsi="Times New Roman" w:cs="Times New Roman"/>
                <w:bCs/>
              </w:rPr>
              <w:t>inter-band co-located CA in FR1</w:t>
            </w:r>
            <w:r>
              <w:rPr>
                <w:rFonts w:hint="default" w:ascii="Times New Roman" w:hAnsi="Times New Roman" w:cs="Times New Roman"/>
              </w:rPr>
              <w:t>, this is only for connected operation</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Anchor frequency resource can provide SSB configuration for non-anchor frequency resources, can be accessed by UE from IDLE/INACTIVE mode with sparse SSB than R15 default SSB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DL and UL carrier coupling</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Fixed coupling between DL and UL</w:t>
            </w:r>
          </w:p>
        </w:tc>
        <w:tc>
          <w:tcPr>
            <w:tcW w:w="3396"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rPr>
            </w:pPr>
            <w:r>
              <w:rPr>
                <w:rFonts w:hint="default" w:ascii="Times New Roman" w:hAnsi="Times New Roman" w:cs="Times New Roman"/>
              </w:rPr>
              <w:t>Flexible DL and UL coupling among frequency resources in the elastic cell</w:t>
            </w:r>
          </w:p>
        </w:tc>
      </w:tr>
    </w:tbl>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Based on discussion above, we propose the following proposals,</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rPr>
      </w:pPr>
      <w:r>
        <w:rPr>
          <w:rFonts w:hint="default" w:ascii="Times New Roman" w:hAnsi="Times New Roman" w:cs="Times New Roman"/>
          <w:b/>
          <w:bCs/>
        </w:rPr>
        <w:t>Proposal 1: Study enhancements to support more general  multiple carrier/frequency resource utilization, applied to both IDLE/INACTIVE mode and CONNECTED mode.</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rPr>
      </w:pPr>
      <w:r>
        <w:rPr>
          <w:rFonts w:hint="default" w:ascii="Times New Roman" w:hAnsi="Times New Roman" w:cs="Times New Roman"/>
          <w:b/>
          <w:bCs/>
        </w:rPr>
        <w:t>Proposal 2: Study enhancements to simplify multiple carriers management effort and overhead.</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rPr>
      </w:pPr>
      <w:r>
        <w:rPr>
          <w:rFonts w:hint="default" w:ascii="Times New Roman" w:hAnsi="Times New Roman" w:cs="Times New Roman"/>
          <w:b/>
          <w:bCs/>
        </w:rPr>
        <w:t>Proposal 3: Frequency combination based elastic cell can be studied in R19 for multi-carrier enhancement.</w:t>
      </w:r>
    </w:p>
    <w:p>
      <w:pPr>
        <w:pStyle w:val="2"/>
        <w:rPr>
          <w:lang w:eastAsia="zh-CN"/>
        </w:rPr>
      </w:pPr>
      <w:r>
        <w:rPr>
          <w:rFonts w:hint="eastAsia"/>
          <w:lang w:val="en-US" w:eastAsia="zh-CN"/>
        </w:rPr>
        <w:t>SUL Enhancement</w:t>
      </w:r>
    </w:p>
    <w:p>
      <w:pPr>
        <w:keepNext/>
        <w:keepLines/>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 xml:space="preserve">In current NR design, only one SUL can be configured in one serving cell. With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are not very large, thus single SUL band may not fully comply with the fast increased UL usage demanded by the operator. </w:t>
      </w:r>
    </w:p>
    <w:p>
      <w:pPr>
        <w:keepNext/>
        <w:keepLines/>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In Rel-18, NR CA configurations with two SUL band combinations are specified, i.e. two SUL bands in two cells together with other TDD NR band(s), as the illustration as the figure.</w:t>
      </w:r>
      <w:r>
        <w:rPr>
          <w:rFonts w:hint="eastAsia" w:ascii="Times New Roman" w:hAnsi="Times New Roman" w:cs="Times New Roman"/>
          <w:lang w:val="en-US" w:eastAsia="zh-CN"/>
        </w:rPr>
        <w:t>3</w:t>
      </w:r>
      <w:r>
        <w:rPr>
          <w:rFonts w:hint="default" w:ascii="Times New Roman" w:hAnsi="Times New Roman" w:cs="Times New Roman"/>
        </w:rPr>
        <w:t>. However, due to the restriction that one serving cell can only configure one SUL carrier, the utilization of two SUL bands must be based on UE capability to support two carriers DL CA.</w:t>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628015</wp:posOffset>
                </wp:positionH>
                <wp:positionV relativeFrom="paragraph">
                  <wp:posOffset>344805</wp:posOffset>
                </wp:positionV>
                <wp:extent cx="922020" cy="335915"/>
                <wp:effectExtent l="6350" t="6350" r="16510" b="8255"/>
                <wp:wrapNone/>
                <wp:docPr id="10" name="矩形 10"/>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45pt;margin-top:27.15pt;height:26.45pt;width:72.6pt;z-index:251661312;v-text-anchor:middle;mso-width-relative:page;mso-height-relative:page;" fillcolor="#FFFFFF [3201]" filled="t" stroked="t" coordsize="21600,21600" o:gfxdata="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&#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8MIDH1gAAAAkBAAAPAAAAAAAAAAEAIAAAACIAAABk&#10;cnMvZG93bnJldi54bWxQSwECFAAUAAAACACHTuJA0ank3XoCAAAABQAADgAAAAAAAAABACAAAAAl&#10;AQAAZHJzL2Uyb0RvYy54bWxQSwUGAAAAAAYABgBZAQAAEQYAAAAA&#10;">
                <v:fill on="t" focussize="0,0"/>
                <v:stroke weight="1pt" color="#5B9BD5 [3204]" miterlimit="8" joinstyle="miter"/>
                <v:imagedata o:title=""/>
                <o:lock v:ext="edit" aspectratio="f"/>
                <v:textbox>
                  <w:txbxContent>
                    <w:p>
                      <w:r>
                        <w:t xml:space="preserve">Serving cell 1 </w:t>
                      </w:r>
                    </w:p>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1660525</wp:posOffset>
                </wp:positionH>
                <wp:positionV relativeFrom="paragraph">
                  <wp:posOffset>189230</wp:posOffset>
                </wp:positionV>
                <wp:extent cx="132080" cy="695325"/>
                <wp:effectExtent l="50800" t="6350" r="0" b="14605"/>
                <wp:wrapNone/>
                <wp:docPr id="8" name="左大括号 8"/>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0.75pt;margin-top:14.9pt;height:54.75pt;width:10.4pt;z-index:251659264;v-text-anchor:middle;mso-width-relative:page;mso-height-relative:page;" filled="f" stroked="t" coordsize="21600,21600" o:gfxdata="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BXtXXYAAAACgEAAA8AAAAAAAAAAQAgAAAAIgAA&#10;AGRycy9kb3ducmV2LnhtbFBLAQIUABQAAAAIAIdO4kBsCHY+egIAANUEAAAOAAAAAAAAAAEAIAAA&#10;ACcBAABkcnMvZTJvRG9jLnhtbFBLBQYAAAAABgAGAFkBAAATBgAAAAA=&#10;" adj="342,10800">
                <v:fill on="f" focussize="0,0"/>
                <v:stroke weight="1pt" color="#5B9BD5 [3204]" miterlimit="8" joinstyle="miter"/>
                <v:imagedata o:title=""/>
                <o:lock v:ext="edit" aspectratio="f"/>
              </v:shape>
            </w:pict>
          </mc:Fallback>
        </mc:AlternateContent>
      </w:r>
      <w:r>
        <w:rPr>
          <w:rFonts w:hint="default" w:ascii="Times New Roman" w:hAnsi="Times New Roman" w:cs="Times New Roman"/>
        </w:rPr>
        <w:drawing>
          <wp:inline distT="0" distB="0" distL="0" distR="0">
            <wp:extent cx="2423160" cy="4622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l="-3352" t="-5535" r="-1024" b="75161"/>
                    <a:stretch>
                      <a:fillRect/>
                    </a:stretch>
                  </pic:blipFill>
                  <pic:spPr>
                    <a:xfrm>
                      <a:off x="0" y="0"/>
                      <a:ext cx="2423160" cy="462486"/>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2421890" cy="385445"/>
            <wp:effectExtent l="0" t="0" r="127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l="-3352" t="53998" r="-1024" b="20650"/>
                    <a:stretch>
                      <a:fillRect/>
                    </a:stretch>
                  </pic:blipFill>
                  <pic:spPr>
                    <a:xfrm>
                      <a:off x="0" y="0"/>
                      <a:ext cx="2423160" cy="386007"/>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626110</wp:posOffset>
                </wp:positionH>
                <wp:positionV relativeFrom="paragraph">
                  <wp:posOffset>327025</wp:posOffset>
                </wp:positionV>
                <wp:extent cx="922020" cy="335915"/>
                <wp:effectExtent l="6350" t="6350" r="16510" b="8255"/>
                <wp:wrapNone/>
                <wp:docPr id="12" name="矩形 12"/>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2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3pt;margin-top:25.75pt;height:26.45pt;width:72.6pt;z-index:251662336;v-text-anchor:middle;mso-width-relative:page;mso-height-relative:page;" fillcolor="#FFFFFF [3201]" filled="t" stroked="t" coordsize="21600,21600" o:gfxdata="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FkJWp1wAAAAkBAAAPAAAAAAAAAAEAIAAAACIA&#10;AABkcnMvZG93bnJldi54bWxQSwECFAAUAAAACACHTuJArEeRbnwCAAAABQAADgAAAAAAAAABACAA&#10;AAAmAQAAZHJzL2Uyb0RvYy54bWxQSwUGAAAAAAYABgBZAQAAFAYAAAAA&#10;">
                <v:fill on="t" focussize="0,0"/>
                <v:stroke weight="1pt" color="#5B9BD5 [3204]" miterlimit="8" joinstyle="miter"/>
                <v:imagedata o:title=""/>
                <o:lock v:ext="edit" aspectratio="f"/>
                <v:textbox>
                  <w:txbxContent>
                    <w:p>
                      <w:r>
                        <w:t xml:space="preserve">Serving cell 2 </w:t>
                      </w:r>
                    </w:p>
                  </w:txbxContent>
                </v:textbox>
              </v:rect>
            </w:pict>
          </mc:Fallback>
        </mc:AlternateContent>
      </w: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1669415</wp:posOffset>
                </wp:positionH>
                <wp:positionV relativeFrom="paragraph">
                  <wp:posOffset>140335</wp:posOffset>
                </wp:positionV>
                <wp:extent cx="132080" cy="695325"/>
                <wp:effectExtent l="50800" t="6350" r="0" b="14605"/>
                <wp:wrapNone/>
                <wp:docPr id="9" name="左大括号 9"/>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1.45pt;margin-top:11.05pt;height:54.75pt;width:10.4pt;z-index:251660288;v-text-anchor:middle;mso-width-relative:page;mso-height-relative:page;" filled="f" stroked="t" coordsize="21600,21600" o:gfxdata="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k3nGrXAAAACgEAAA8AAAAAAAAAAQAgAAAAIgAA&#10;AGRycy9kb3ducmV2LnhtbFBLAQIUABQAAAAIAIdO4kAcNOsiewIAANUEAAAOAAAAAAAAAAEAIAAA&#10;ACYBAABkcnMvZTJvRG9jLnhtbFBLBQYAAAAABgAGAFkBAAATBgAAAAA=&#10;" adj="342,10800">
                <v:fill on="f" focussize="0,0"/>
                <v:stroke weight="1pt" color="#5B9BD5 [3204]" miterlimit="8" joinstyle="miter"/>
                <v:imagedata o:title=""/>
                <o:lock v:ext="edit" aspectratio="f"/>
              </v:shape>
            </w:pict>
          </mc:Fallback>
        </mc:AlternateContent>
      </w:r>
      <w:r>
        <w:rPr>
          <w:rFonts w:hint="default" w:ascii="Times New Roman" w:hAnsi="Times New Roman" w:cs="Times New Roman"/>
        </w:rPr>
        <w:drawing>
          <wp:inline distT="0" distB="0" distL="0" distR="0">
            <wp:extent cx="2421890" cy="46228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l="-3352" t="23797" r="-1024" b="45817"/>
                    <a:stretch>
                      <a:fillRect/>
                    </a:stretch>
                  </pic:blipFill>
                  <pic:spPr>
                    <a:xfrm>
                      <a:off x="0" y="0"/>
                      <a:ext cx="2423160" cy="462645"/>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2423160" cy="36195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l="-3352" t="78472" r="-1024" b="-2271"/>
                    <a:stretch>
                      <a:fillRect/>
                    </a:stretch>
                  </pic:blipFill>
                  <pic:spPr>
                    <a:xfrm>
                      <a:off x="0" y="0"/>
                      <a:ext cx="2423160" cy="362373"/>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w:t xml:space="preserve">Figure </w:t>
      </w:r>
      <w:r>
        <w:rPr>
          <w:rFonts w:hint="eastAsia" w:ascii="Times New Roman" w:hAnsi="Times New Roman" w:cs="Times New Roman"/>
          <w:lang w:val="en-US" w:eastAsia="zh-CN"/>
        </w:rPr>
        <w:t>3</w:t>
      </w:r>
      <w:r>
        <w:rPr>
          <w:rFonts w:hint="default" w:ascii="Times New Roman" w:hAnsi="Times New Roman" w:cs="Times New Roman"/>
        </w:rPr>
        <w:t>. CA configuration with SUL for each aggregated cell</w:t>
      </w:r>
    </w:p>
    <w:p>
      <w:pPr>
        <w:keepNext/>
        <w:keepLines/>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To decouple the higher DL CA complexity from the utilization of SUL bands, one solution is to allow one serving cell configured with multiple SUL carriers as the following:</w:t>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1659890</wp:posOffset>
                </wp:positionH>
                <wp:positionV relativeFrom="paragraph">
                  <wp:posOffset>180975</wp:posOffset>
                </wp:positionV>
                <wp:extent cx="187325" cy="1259840"/>
                <wp:effectExtent l="50800" t="6350" r="5715" b="13970"/>
                <wp:wrapNone/>
                <wp:docPr id="16" name="左大括号 16"/>
                <wp:cNvGraphicFramePr/>
                <a:graphic xmlns:a="http://schemas.openxmlformats.org/drawingml/2006/main">
                  <a:graphicData uri="http://schemas.microsoft.com/office/word/2010/wordprocessingShape">
                    <wps:wsp>
                      <wps:cNvSpPr/>
                      <wps:spPr>
                        <a:xfrm>
                          <a:off x="0" y="0"/>
                          <a:ext cx="187087" cy="1259856"/>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0.7pt;margin-top:14.25pt;height:99.2pt;width:14.75pt;z-index:251663360;v-text-anchor:middle;mso-width-relative:page;mso-height-relative:page;" filled="f" stroked="t" coordsize="21600,21600" o:gfxdata="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BRnhY2AAAAAoBAAAPAAAAAAAAAAEAIAAAACIA&#10;AABkcnMvZG93bnJldi54bWxQSwECFAAUAAAACACHTuJAUrPKw3sCAADYBAAADgAAAAAAAAABACAA&#10;AAAnAQAAZHJzL2Uyb0RvYy54bWxQSwUGAAAAAAYABgBZAQAAFAYAAAAA&#10;" adj="267,10800">
                <v:fill on="f" focussize="0,0"/>
                <v:stroke weight="1pt" color="#5B9BD5 [3204]" miterlimit="8" joinstyle="miter"/>
                <v:imagedata o:title=""/>
                <o:lock v:ext="edit" aspectratio="f"/>
              </v:shape>
            </w:pict>
          </mc:Fallback>
        </mc:AlternateContent>
      </w:r>
      <w:r>
        <w:rPr>
          <w:rFonts w:hint="default" w:ascii="Times New Roman" w:hAnsi="Times New Roman" w:cs="Times New Roman"/>
        </w:rPr>
        <w:drawing>
          <wp:inline distT="0" distB="0" distL="0" distR="0">
            <wp:extent cx="2423160" cy="4622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9" cstate="print">
                      <a:extLst>
                        <a:ext uri="{28A0092B-C50C-407E-A947-70E740481C1C}">
                          <a14:useLocalDpi xmlns:a14="http://schemas.microsoft.com/office/drawing/2010/main" val="0"/>
                        </a:ext>
                      </a:extLst>
                    </a:blip>
                    <a:srcRect l="-3352" t="-5535" r="-1024" b="75161"/>
                    <a:stretch>
                      <a:fillRect/>
                    </a:stretch>
                  </pic:blipFill>
                  <pic:spPr>
                    <a:xfrm>
                      <a:off x="0" y="0"/>
                      <a:ext cx="2423160" cy="462486"/>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664845</wp:posOffset>
                </wp:positionH>
                <wp:positionV relativeFrom="paragraph">
                  <wp:posOffset>101600</wp:posOffset>
                </wp:positionV>
                <wp:extent cx="922020" cy="335915"/>
                <wp:effectExtent l="6350" t="6350" r="16510" b="8255"/>
                <wp:wrapNone/>
                <wp:docPr id="17" name="矩形 17"/>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35pt;margin-top:8pt;height:26.45pt;width:72.6pt;z-index:251664384;v-text-anchor:middle;mso-width-relative:page;mso-height-relative:page;" fillcolor="#FFFFFF [3201]" filled="t" stroked="t" coordsize="21600,21600" o:gfxdata="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ChoosNYAAAAJAQAADwAAAAAAAAABACAAAAAiAAAA&#10;ZHJzL2Rvd25yZXYueG1sUEsBAhQAFAAAAAgAh07iQAnpCWd7AgAAAAUAAA4AAAAAAAAAAQAgAAAA&#10;JQEAAGRycy9lMm9Eb2MueG1sUEsFBgAAAAAGAAYAWQEAABIGAAAAAA==&#10;">
                <v:fill on="t" focussize="0,0"/>
                <v:stroke weight="1pt" color="#5B9BD5 [3204]" miterlimit="8" joinstyle="miter"/>
                <v:imagedata o:title=""/>
                <o:lock v:ext="edit" aspectratio="f"/>
                <v:textbox>
                  <w:txbxContent>
                    <w:p>
                      <w:r>
                        <w:t xml:space="preserve">Serving cell 1 </w:t>
                      </w:r>
                    </w:p>
                  </w:txbxContent>
                </v:textbox>
              </v:rect>
            </w:pict>
          </mc:Fallback>
        </mc:AlternateContent>
      </w:r>
      <w:r>
        <w:rPr>
          <w:rFonts w:hint="default" w:ascii="Times New Roman" w:hAnsi="Times New Roman" w:cs="Times New Roman"/>
        </w:rPr>
        <w:drawing>
          <wp:inline distT="0" distB="0" distL="0" distR="0">
            <wp:extent cx="2421890" cy="46228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l="-3352" t="23797" r="-1024" b="45817"/>
                    <a:stretch>
                      <a:fillRect/>
                    </a:stretch>
                  </pic:blipFill>
                  <pic:spPr>
                    <a:xfrm>
                      <a:off x="0" y="0"/>
                      <a:ext cx="2423160" cy="462645"/>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2421890" cy="385445"/>
            <wp:effectExtent l="0" t="0" r="1270" b="1143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l="-3352" t="53998" r="-1024" b="20650"/>
                    <a:stretch>
                      <a:fillRect/>
                    </a:stretch>
                  </pic:blipFill>
                  <pic:spPr>
                    <a:xfrm>
                      <a:off x="0" y="0"/>
                      <a:ext cx="2423160" cy="386007"/>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37" w:beforeLines="50"/>
        <w:jc w:val="center"/>
        <w:textAlignment w:val="auto"/>
        <w:rPr>
          <w:rFonts w:hint="default" w:ascii="Times New Roman" w:hAnsi="Times New Roman" w:cs="Times New Roman"/>
        </w:rPr>
      </w:pPr>
      <w:r>
        <w:rPr>
          <w:rFonts w:hint="default" w:ascii="Times New Roman" w:hAnsi="Times New Roman" w:cs="Times New Roman"/>
        </w:rPr>
        <w:t xml:space="preserve">Figure </w:t>
      </w:r>
      <w:r>
        <w:rPr>
          <w:rFonts w:hint="eastAsia" w:ascii="Times New Roman" w:hAnsi="Times New Roman" w:cs="Times New Roman"/>
          <w:lang w:val="en-US" w:eastAsia="zh-CN"/>
        </w:rPr>
        <w:t>4</w:t>
      </w:r>
      <w:r>
        <w:rPr>
          <w:rFonts w:hint="default" w:ascii="Times New Roman" w:hAnsi="Times New Roman" w:cs="Times New Roman"/>
        </w:rPr>
        <w:t>. Multiple SUL carrier for one cell</w:t>
      </w:r>
    </w:p>
    <w:p>
      <w:pPr>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rPr>
      </w:pPr>
      <w:r>
        <w:rPr>
          <w:rFonts w:hint="default" w:ascii="Times New Roman" w:hAnsi="Times New Roman" w:cs="Times New Roman"/>
        </w:rPr>
        <w:t>Therefore, to provide more flexible UL resources and support UL heavy traffic, one serving cell configured with multiple SUL carriers can be considered in Rel-19 multi carrier enhancements. Whether UE can transmit on only one SUL carrier or multiple SUL carriers simultaneously can be further discussed.</w:t>
      </w:r>
    </w:p>
    <w:p>
      <w:pPr>
        <w:pageBreakBefore w:val="0"/>
        <w:widowControl w:val="0"/>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hint="default" w:ascii="Times New Roman" w:hAnsi="Times New Roman" w:cs="Times New Roman"/>
          <w:b/>
          <w:bCs/>
        </w:rPr>
        <w:t>Proposal 4. Enhancement of SUL cell can be considered in Rel-19 multi-carrier enhancement, including the following objectives:</w:t>
      </w:r>
    </w:p>
    <w:p>
      <w:pPr>
        <w:pageBreakBefore w:val="0"/>
        <w:widowControl w:val="0"/>
        <w:numPr>
          <w:ilvl w:val="0"/>
          <w:numId w:val="11"/>
        </w:numPr>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hint="default" w:ascii="Times New Roman" w:hAnsi="Times New Roman" w:cs="Times New Roman"/>
          <w:b/>
          <w:bCs/>
        </w:rPr>
        <w:t>Support configuring multiple SUL carriers in one serving cell;</w:t>
      </w:r>
    </w:p>
    <w:p>
      <w:pPr>
        <w:pageBreakBefore w:val="0"/>
        <w:widowControl w:val="0"/>
        <w:numPr>
          <w:ilvl w:val="0"/>
          <w:numId w:val="11"/>
        </w:numPr>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hint="default" w:ascii="Times New Roman" w:hAnsi="Times New Roman" w:cs="Times New Roman"/>
          <w:b/>
          <w:bCs/>
        </w:rPr>
        <w:t xml:space="preserve">Support switched or concurrent transmission on multiple SUL carriers within one serving cell. </w:t>
      </w:r>
    </w:p>
    <w:p>
      <w:pPr>
        <w:rPr>
          <w:b/>
          <w:bCs/>
        </w:rPr>
      </w:pPr>
    </w:p>
    <w:p>
      <w:pPr>
        <w:pStyle w:val="2"/>
        <w:rPr>
          <w:lang w:eastAsia="zh-CN"/>
        </w:rPr>
      </w:pPr>
      <w:r>
        <w:rPr>
          <w:rFonts w:hint="eastAsia"/>
          <w:lang w:val="en-US" w:eastAsia="zh-CN"/>
        </w:rPr>
        <w:t>Multi-UE scheduling enhancement</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In our practical network deployment, we found that in some scenarios, such as gathering places for big show, or some hot tourist attractions, when the number of activated UEs increases and larger than for example two hundreds, the PRB utilization rate will decrease. One of the reasons is that large aggregation level will be used to overcome higher interference, and PDCCH blocking probability will also increase. As a result, there will be some UEs that can not be scheduled. This means the PDCCH resource limits the cell capacity.</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In the future, with increase of  UE numbers, especially for higher connection density application, such as with wide deployment of RedCap, the capacity of PDCCH is likely to be further limited.</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So enhancement to reduce PDCCH overhead is needed, which can save PDCCH resource and support more UEs scheduling.</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lang w:val="en-US" w:eastAsia="zh-CN"/>
        </w:rPr>
      </w:pPr>
      <w:r>
        <w:rPr>
          <w:rFonts w:hint="default" w:ascii="Times New Roman" w:hAnsi="Times New Roman" w:cs="Times New Roman"/>
        </w:rPr>
        <w:t>Multiple PDSCHs/PUSCHs scheduling for one UE can be one solution to save PDCCH overhead, and this is useful for UEs with large traffic which will last for several slots. However, when the packets of UE is not large, single slot scheduling may be enough, for such case, multi-UE scheduling with single DCI can be considered for PDCCH overhead reduction</w:t>
      </w:r>
      <w:r>
        <w:rPr>
          <w:rFonts w:hint="eastAsia" w:ascii="Times New Roman" w:hAnsi="Times New Roman" w:cs="Times New Roman"/>
          <w:lang w:val="en-US" w:eastAsia="zh-CN"/>
        </w:rPr>
        <w:t>. And the multi-UE scheduling can also combine with the m</w:t>
      </w:r>
      <w:r>
        <w:rPr>
          <w:rFonts w:hint="default" w:ascii="Times New Roman" w:hAnsi="Times New Roman" w:cs="Times New Roman"/>
        </w:rPr>
        <w:t xml:space="preserve">ultiple PDSCHs/PUSCHs scheduling </w:t>
      </w:r>
      <w:r>
        <w:rPr>
          <w:rFonts w:hint="eastAsia" w:ascii="Times New Roman" w:hAnsi="Times New Roman" w:cs="Times New Roman"/>
          <w:lang w:val="en-US" w:eastAsia="zh-CN"/>
        </w:rPr>
        <w:t>to further save PDCCH overhead. When</w:t>
      </w:r>
      <w:r>
        <w:rPr>
          <w:rFonts w:hint="default" w:ascii="Times New Roman" w:hAnsi="Times New Roman" w:cs="Times New Roman"/>
        </w:rPr>
        <w:t xml:space="preserve"> one DCI carries scheduling information for multiple UEs, some common fields can be used for multiple UEs to reduce the payload of DCI. Multi-carrier scheduling based on single DCI in R18 can be starting point for the multi-UE scheduling design.</w:t>
      </w:r>
      <w:r>
        <w:rPr>
          <w:rFonts w:hint="default"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In </w:t>
      </w:r>
      <w:r>
        <w:rPr>
          <w:rFonts w:hint="eastAsia" w:ascii="Times New Roman" w:hAnsi="Times New Roman" w:cs="Times New Roman"/>
          <w:lang w:val="en-US" w:eastAsia="zh-CN"/>
        </w:rPr>
        <w:t>T</w:t>
      </w:r>
      <w:r>
        <w:rPr>
          <w:rFonts w:hint="default" w:ascii="Times New Roman" w:hAnsi="Times New Roman" w:cs="Times New Roman"/>
          <w:lang w:val="en-US" w:eastAsia="zh-CN"/>
        </w:rPr>
        <w:t xml:space="preserve">able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we make some initial analysis of the DCI field for multi-UE PUSCH scheduling, since PUSCH scheduling will be more limited for such UL heavy scenarios. In last column of Table 2, </w:t>
      </w:r>
      <w:r>
        <w:rPr>
          <w:rFonts w:hint="default" w:ascii="Times New Roman" w:hAnsi="Times New Roman" w:cs="Times New Roman"/>
          <w:lang w:val="en-US" w:eastAsia="zh-CN"/>
        </w:rPr>
        <w:t>“</w:t>
      </w:r>
      <w:r>
        <w:rPr>
          <w:rFonts w:hint="eastAsia" w:ascii="Times New Roman" w:hAnsi="Times New Roman" w:cs="Times New Roman"/>
          <w:lang w:val="en-US" w:eastAsia="zh-CN"/>
        </w:rPr>
        <w:t>common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means the field can be common for diffierent UEs, </w:t>
      </w:r>
      <w:r>
        <w:rPr>
          <w:rFonts w:hint="default" w:ascii="Times New Roman" w:hAnsi="Times New Roman" w:cs="Times New Roman"/>
          <w:lang w:val="en-US" w:eastAsia="zh-CN"/>
        </w:rPr>
        <w:t>“</w:t>
      </w:r>
      <w:r>
        <w:rPr>
          <w:rFonts w:hint="eastAsia" w:ascii="Times New Roman" w:hAnsi="Times New Roman" w:cs="Times New Roman"/>
          <w:lang w:val="en-US" w:eastAsia="zh-CN"/>
        </w:rPr>
        <w:t>separate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means the field is better to be separate for different UEs, and </w:t>
      </w:r>
      <w:r>
        <w:rPr>
          <w:rFonts w:hint="default" w:ascii="Times New Roman" w:hAnsi="Times New Roman" w:cs="Times New Roman"/>
          <w:lang w:val="en-US" w:eastAsia="zh-CN"/>
        </w:rPr>
        <w:t>“</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r>
        <w:rPr>
          <w:rFonts w:hint="default" w:ascii="Times New Roman" w:hAnsi="Times New Roman" w:cs="Times New Roman"/>
          <w:sz w:val="20"/>
          <w:szCs w:val="20"/>
          <w:lang w:val="en-US" w:eastAsia="zh-CN"/>
        </w:rPr>
        <w:t xml:space="preserve">,may be </w:t>
      </w:r>
      <w:r>
        <w:rPr>
          <w:rFonts w:hint="default" w:ascii="Times New Roman" w:hAnsi="Times New Roman" w:cs="Times New Roman"/>
          <w:sz w:val="20"/>
          <w:szCs w:val="20"/>
        </w:rPr>
        <w:t>common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means if this field is common for UEs, some restriction may be needed.</w:t>
      </w:r>
    </w:p>
    <w:p>
      <w:pPr>
        <w:keepNext w:val="0"/>
        <w:keepLines w:val="0"/>
        <w:pageBreakBefore w:val="0"/>
        <w:widowControl w:val="0"/>
        <w:kinsoku/>
        <w:wordWrap/>
        <w:overflowPunct/>
        <w:topLinePunct w:val="0"/>
        <w:autoSpaceDE/>
        <w:autoSpaceDN/>
        <w:bidi w:val="0"/>
        <w:adjustRightInd/>
        <w:snapToGrid/>
        <w:spacing w:before="12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Table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I</w:t>
      </w:r>
      <w:r>
        <w:rPr>
          <w:rFonts w:hint="default" w:ascii="Times New Roman" w:hAnsi="Times New Roman" w:cs="Times New Roman"/>
          <w:lang w:val="en-US" w:eastAsia="zh-CN"/>
        </w:rPr>
        <w:t>nitial consideration on DCI field for multi-UE scheduling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2018"/>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DCI </w:t>
            </w:r>
            <w:r>
              <w:rPr>
                <w:rFonts w:hint="default" w:ascii="Times New Roman" w:hAnsi="Times New Roman" w:cs="Times New Roman"/>
                <w:sz w:val="20"/>
                <w:szCs w:val="20"/>
              </w:rPr>
              <w:t>field</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Type in DCI 0_3</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For multi-UE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Identifier for DCI formats</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C</w:t>
            </w:r>
            <w:r>
              <w:rPr>
                <w:rFonts w:hint="default" w:ascii="Times New Roman" w:hAnsi="Times New Roman" w:cs="Times New Roman"/>
                <w:sz w:val="20"/>
                <w:szCs w:val="20"/>
                <w:highlight w:val="none"/>
              </w:rPr>
              <w:t>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Scheduled cell 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Scheduled cells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Carrier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Bandwidth part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For large TBS case, BWP with full bandwidth can be configured, this field can be 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FDRA</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eastAsia" w:ascii="Times New Roman" w:hAnsi="Times New Roman" w:cs="Times New Roman"/>
                <w:sz w:val="20"/>
                <w:szCs w:val="20"/>
                <w:lang w:val="en-US" w:eastAsia="zh-CN"/>
              </w:rPr>
              <w:t>,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TDRA</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C</w:t>
            </w:r>
            <w:r>
              <w:rPr>
                <w:rFonts w:hint="default" w:ascii="Times New Roman" w:hAnsi="Times New Roman" w:cs="Times New Roman"/>
                <w:sz w:val="20"/>
                <w:szCs w:val="20"/>
                <w:highlight w:val="none"/>
              </w:rPr>
              <w:t>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Frequency hopping flag</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C</w:t>
            </w:r>
            <w:r>
              <w:rPr>
                <w:rFonts w:hint="default" w:ascii="Times New Roman" w:hAnsi="Times New Roman" w:cs="Times New Roman"/>
                <w:sz w:val="20"/>
                <w:szCs w:val="20"/>
                <w:highlight w:val="none"/>
              </w:rPr>
              <w:t>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Modulation and coding scheme</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eastAsia" w:ascii="Times New Roman" w:hAnsi="Times New Roman" w:cs="Times New Roman"/>
                <w:sz w:val="20"/>
                <w:szCs w:val="20"/>
                <w:lang w:val="en-US" w:eastAsia="zh-CN"/>
              </w:rPr>
              <w:t>,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New data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Redundancy version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HARQ process number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Downlink assignment index</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may be </w:t>
            </w:r>
            <w:r>
              <w:rPr>
                <w:rFonts w:hint="default" w:ascii="Times New Roman" w:hAnsi="Times New Roman" w:cs="Times New Roman"/>
                <w:sz w:val="20"/>
                <w:szCs w:val="20"/>
              </w:rPr>
              <w:t>common</w:t>
            </w:r>
            <w:r>
              <w:rPr>
                <w:rFonts w:hint="eastAsia" w:ascii="Times New Roman" w:hAnsi="Times New Roman" w:cs="Times New Roman"/>
                <w:sz w:val="20"/>
                <w:szCs w:val="20"/>
                <w:lang w:val="en-US" w:eastAsia="zh-CN"/>
              </w:rPr>
              <w:t xml:space="preserve">, need to consider </w:t>
            </w:r>
            <w:r>
              <w:rPr>
                <w:rFonts w:hint="default" w:ascii="Times New Roman" w:hAnsi="Times New Roman" w:cs="Times New Roman"/>
                <w:sz w:val="20"/>
                <w:szCs w:val="20"/>
              </w:rPr>
              <w:t>codebook design issue</w:t>
            </w:r>
            <w:r>
              <w:rPr>
                <w:rFonts w:hint="eastAsia" w:ascii="Times New Roman" w:hAnsi="Times New Roman" w:cs="Times New Roman"/>
                <w:sz w:val="20"/>
                <w:szCs w:val="20"/>
                <w:lang w:val="en-US" w:eastAsia="zh-CN"/>
              </w:rPr>
              <w:t xml:space="preserve"> for common field.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TPC command for scheduled PUSCH</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SRS resource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 or 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Precoding information and number of layers</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 or 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Antenna port(s)</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 or 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SRS request</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SRS offset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CSI request</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1C</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PTRS-DMRS association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beta_offset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DMRS sequence initialization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C</w:t>
            </w:r>
            <w:r>
              <w:rPr>
                <w:rFonts w:hint="default" w:ascii="Times New Roman" w:hAnsi="Times New Roman" w:cs="Times New Roman"/>
                <w:sz w:val="20"/>
                <w:szCs w:val="20"/>
                <w:highlight w:val="none"/>
              </w:rPr>
              <w:t>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UL-SCH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1C</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or 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ChannelAccess-CPext-CAPC</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Open-loop power control parameter set indication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Priority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eastAsia" w:ascii="Times New Roman" w:hAnsi="Times New Roman" w:cs="Times New Roman"/>
                <w:sz w:val="20"/>
                <w:szCs w:val="20"/>
                <w:lang w:val="en-US" w:eastAsia="zh-CN"/>
              </w:rPr>
              <w:t xml:space="preserve"> or 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Minimum applicable scheduling offset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highlight w:val="none"/>
                <w:lang w:val="en-US" w:eastAsia="zh-CN"/>
              </w:rPr>
            </w:pPr>
            <w:r>
              <w:rPr>
                <w:rFonts w:hint="eastAsia" w:ascii="Times New Roman" w:hAnsi="Times New Roman" w:cs="Times New Roman"/>
                <w:sz w:val="20"/>
                <w:szCs w:val="20"/>
                <w:highlight w:val="none"/>
                <w:lang w:val="en-US" w:eastAsia="zh-CN"/>
              </w:rPr>
              <w:t>No conclusion yet</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SCell dormancy indication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highlight w:val="none"/>
                <w:lang w:val="en-US" w:eastAsia="zh-CN"/>
              </w:rPr>
              <w:t>No conclusion yet</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PDCCH monitoring adaptation indication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highlight w:val="none"/>
                <w:lang w:val="en-US" w:eastAsia="zh-CN"/>
              </w:rPr>
              <w:t>No</w:t>
            </w:r>
            <w:bookmarkStart w:id="1" w:name="_GoBack"/>
            <w:bookmarkEnd w:id="1"/>
            <w:r>
              <w:rPr>
                <w:rFonts w:hint="eastAsia" w:ascii="Times New Roman" w:hAnsi="Times New Roman" w:cs="Times New Roman"/>
                <w:sz w:val="20"/>
                <w:szCs w:val="20"/>
                <w:highlight w:val="none"/>
                <w:lang w:val="en-US" w:eastAsia="zh-CN"/>
              </w:rPr>
              <w:t xml:space="preserve"> conclusion yet</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bl>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Based on above initial analysis, </w:t>
      </w:r>
      <w:r>
        <w:rPr>
          <w:rFonts w:hint="default" w:ascii="Times New Roman" w:hAnsi="Times New Roman" w:cs="Times New Roman"/>
          <w:b w:val="0"/>
          <w:bCs w:val="0"/>
          <w:highlight w:val="none"/>
          <w:lang w:val="en-US" w:eastAsia="zh-CN"/>
        </w:rPr>
        <w:t>when one DCI scheduling multiple UEs’ PUSCH, at least the following field can be common for different UEs,</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TDRA</w:t>
      </w:r>
      <w:r>
        <w:rPr>
          <w:rFonts w:hint="eastAsia" w:ascii="Times New Roman" w:hAnsi="Times New Roman" w:cs="Times New Roman"/>
          <w:b w:val="0"/>
          <w:bCs w:val="0"/>
          <w:highlight w:val="none"/>
          <w:lang w:val="en-US" w:eastAsia="zh-CN"/>
        </w:rPr>
        <w:t>, the scheduled UEs can also be in different slots, then K2 may be different.</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rPr>
      </w:pPr>
      <w:r>
        <w:rPr>
          <w:rFonts w:hint="default" w:ascii="Times New Roman" w:hAnsi="Times New Roman" w:cs="Times New Roman"/>
          <w:highlight w:val="none"/>
        </w:rPr>
        <w:t>Frequency hopping flag</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rPr>
      </w:pPr>
      <w:r>
        <w:rPr>
          <w:rFonts w:hint="default" w:ascii="Times New Roman" w:hAnsi="Times New Roman" w:cs="Times New Roman"/>
          <w:highlight w:val="none"/>
        </w:rPr>
        <w:t>DMRS sequence initialization</w:t>
      </w:r>
    </w:p>
    <w:p>
      <w:pPr>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rPr>
          <w:rFonts w:hint="default" w:ascii="Times New Roman" w:hAnsi="Times New Roman" w:cs="Times New Roman"/>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And when UEs are quasi-stationary</w:t>
      </w:r>
      <w:r>
        <w:rPr>
          <w:rFonts w:hint="eastAsia" w:ascii="Times New Roman" w:hAnsi="Times New Roman" w:cs="Times New Roman"/>
          <w:highlight w:val="none"/>
          <w:lang w:val="en-US" w:eastAsia="zh-CN"/>
        </w:rPr>
        <w:t xml:space="preserve"> for </w:t>
      </w:r>
      <w:r>
        <w:rPr>
          <w:rFonts w:hint="default" w:ascii="Times New Roman" w:hAnsi="Times New Roman" w:cs="Times New Roman"/>
        </w:rPr>
        <w:t xml:space="preserve">gathering places </w:t>
      </w:r>
      <w:r>
        <w:rPr>
          <w:rFonts w:hint="eastAsia" w:ascii="Times New Roman" w:hAnsi="Times New Roman" w:cs="Times New Roman"/>
          <w:lang w:val="en-US" w:eastAsia="zh-CN"/>
        </w:rPr>
        <w:t>of</w:t>
      </w:r>
      <w:r>
        <w:rPr>
          <w:rFonts w:hint="default" w:ascii="Times New Roman" w:hAnsi="Times New Roman" w:cs="Times New Roman"/>
        </w:rPr>
        <w:t xml:space="preserve"> big show</w:t>
      </w:r>
      <w:r>
        <w:rPr>
          <w:rFonts w:hint="default" w:ascii="Times New Roman" w:hAnsi="Times New Roman" w:cs="Times New Roman"/>
          <w:highlight w:val="none"/>
          <w:lang w:val="en-US" w:eastAsia="zh-CN"/>
        </w:rPr>
        <w:t>, and the locations are adjacent, for example, UEs’ seats are close to each other, then the channel conditions will be similar, so they can be grouped together and scheduled by single DCI, for such case, the following fields can be further shared by UEs,</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FDRA</w:t>
      </w:r>
      <w:r>
        <w:rPr>
          <w:rFonts w:hint="eastAsia" w:ascii="Times New Roman" w:hAnsi="Times New Roman" w:cs="Times New Roman"/>
          <w:highlight w:val="none"/>
          <w:lang w:val="en-US" w:eastAsia="zh-CN"/>
        </w:rPr>
        <w:t>,  for example, the co-scheduled UEs share the same number of scheduled RBs in same slot of different slots</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SRS resource indicator</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Precoding information and number of layers</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rPr>
        <w:t>Open-loop power control parameter set indication</w:t>
      </w:r>
    </w:p>
    <w:p>
      <w:pPr>
        <w:keepNext w:val="0"/>
        <w:keepLines w:val="0"/>
        <w:pageBreakBefore w:val="0"/>
        <w:widowControl w:val="0"/>
        <w:numPr>
          <w:ilvl w:val="0"/>
          <w:numId w:val="12"/>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rPr>
        <w:t>Modulation and coding scheme</w:t>
      </w:r>
      <w:r>
        <w:rPr>
          <w:rFonts w:hint="eastAsia" w:ascii="Times New Roman" w:hAnsi="Times New Roman" w:cs="Times New Roman"/>
          <w:highlight w:val="none"/>
          <w:lang w:val="en-US" w:eastAsia="zh-CN"/>
        </w:rPr>
        <w:t xml:space="preserve"> may or may not be same</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highlight w:val="yellow"/>
        </w:rPr>
      </w:pP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highlight w:val="none"/>
        </w:rPr>
      </w:pPr>
      <w:r>
        <w:rPr>
          <w:rFonts w:hint="default" w:ascii="Times New Roman" w:hAnsi="Times New Roman" w:cs="Times New Roman"/>
          <w:b/>
          <w:bCs/>
          <w:highlight w:val="none"/>
        </w:rPr>
        <w:t xml:space="preserve">Proposal 5: Support multi-UE scheduling with single DCI to reduce PDCCH overhead. </w:t>
      </w:r>
    </w:p>
    <w:p>
      <w:pPr>
        <w:rPr>
          <w:b w:val="0"/>
          <w:bCs w:val="0"/>
        </w:rPr>
      </w:pPr>
    </w:p>
    <w:p>
      <w:pPr>
        <w:pStyle w:val="2"/>
        <w:rPr>
          <w:lang w:eastAsia="zh-CN"/>
        </w:rPr>
      </w:pPr>
      <w:r>
        <w:rPr>
          <w:lang w:eastAsia="zh-CN"/>
        </w:rPr>
        <w:t>Conclusion</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lang w:val="en-GB"/>
        </w:rPr>
      </w:pPr>
      <w:r>
        <w:rPr>
          <w:rFonts w:hint="default" w:ascii="Times New Roman" w:hAnsi="Times New Roman" w:cs="Times New Roman"/>
          <w:lang w:val="en-GB"/>
        </w:rPr>
        <w:t xml:space="preserve">In this contribution, we discussed the </w:t>
      </w:r>
      <w:r>
        <w:rPr>
          <w:rFonts w:hint="default" w:ascii="Times New Roman" w:hAnsi="Times New Roman" w:cs="Times New Roman"/>
        </w:rPr>
        <w:t>motivation of further enhancement for multiple carrier schemes</w:t>
      </w:r>
      <w:r>
        <w:rPr>
          <w:rFonts w:hint="default" w:ascii="Times New Roman" w:hAnsi="Times New Roman" w:cs="Times New Roman"/>
          <w:lang w:val="en-GB"/>
        </w:rPr>
        <w:t xml:space="preserve">, </w:t>
      </w:r>
      <w:r>
        <w:rPr>
          <w:rFonts w:hint="default" w:ascii="Times New Roman" w:hAnsi="Times New Roman" w:cs="Times New Roman"/>
        </w:rPr>
        <w:t>and a frequency combination based elastic cell structure is proposed, t</w:t>
      </w:r>
      <w:r>
        <w:rPr>
          <w:rFonts w:hint="default" w:ascii="Times New Roman" w:hAnsi="Times New Roman" w:cs="Times New Roman"/>
          <w:lang w:val="en-GB"/>
        </w:rPr>
        <w:t>he following</w:t>
      </w:r>
      <w:r>
        <w:rPr>
          <w:rFonts w:hint="default" w:ascii="Times New Roman" w:hAnsi="Times New Roman" w:cs="Times New Roman"/>
        </w:rPr>
        <w:t xml:space="preserve"> observation and</w:t>
      </w:r>
      <w:r>
        <w:rPr>
          <w:rFonts w:hint="default" w:ascii="Times New Roman" w:hAnsi="Times New Roman" w:cs="Times New Roman"/>
          <w:lang w:val="en-GB"/>
        </w:rPr>
        <w:t xml:space="preserve"> </w:t>
      </w:r>
      <w:r>
        <w:rPr>
          <w:rFonts w:hint="default" w:ascii="Times New Roman" w:hAnsi="Times New Roman" w:cs="Times New Roman"/>
        </w:rPr>
        <w:t>proposal are</w:t>
      </w:r>
      <w:r>
        <w:rPr>
          <w:rFonts w:hint="default" w:ascii="Times New Roman" w:hAnsi="Times New Roman" w:cs="Times New Roman"/>
          <w:lang w:eastAsia="ja-JP"/>
        </w:rPr>
        <w:t xml:space="preserve"> made</w:t>
      </w:r>
      <w:r>
        <w:rPr>
          <w:rFonts w:hint="default" w:ascii="Times New Roman" w:hAnsi="Times New Roman" w:cs="Times New Roman"/>
          <w:lang w:val="en-GB"/>
        </w:rPr>
        <w:t xml:space="preserve">, </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b/>
          <w:bCs/>
        </w:rPr>
      </w:pPr>
      <w:r>
        <w:rPr>
          <w:rFonts w:hint="default" w:ascii="Times New Roman" w:hAnsi="Times New Roman" w:cs="Times New Roman"/>
          <w:b/>
          <w:bCs/>
        </w:rPr>
        <w:t>Observation: Enhancements to multi-carrier operation is needed to provide efficient and flexible IDLE/INACTIVE UEs mode multiple carrier operation and to reduce cell management overhead of existing CA framework.</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b/>
          <w:bCs/>
        </w:rPr>
      </w:pPr>
      <w:r>
        <w:rPr>
          <w:rFonts w:hint="default" w:ascii="Times New Roman" w:hAnsi="Times New Roman" w:cs="Times New Roman"/>
          <w:b/>
          <w:bCs/>
        </w:rPr>
        <w:t>Proposal 1: Study enhancements to support more general  multiple carrier/frequency resource utilization, applied to both IDLE/INACTIVE mode and CONNECTED mode.</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b/>
          <w:bCs/>
        </w:rPr>
      </w:pPr>
      <w:r>
        <w:rPr>
          <w:rFonts w:hint="default" w:ascii="Times New Roman" w:hAnsi="Times New Roman" w:cs="Times New Roman"/>
          <w:b/>
          <w:bCs/>
        </w:rPr>
        <w:t>Proposal 2: Study enhancements to simplify multiple carriers management effort and overhead.</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b/>
          <w:bCs/>
        </w:rPr>
      </w:pPr>
      <w:r>
        <w:rPr>
          <w:rFonts w:hint="default" w:ascii="Times New Roman" w:hAnsi="Times New Roman" w:cs="Times New Roman"/>
          <w:b/>
          <w:bCs/>
        </w:rPr>
        <w:t>Proposal 3: Frequency combination based elastic cell can be studied in R19 for multi-carrier enhancement.</w:t>
      </w:r>
    </w:p>
    <w:p>
      <w:pPr>
        <w:keepNext w:val="0"/>
        <w:keepLines w:val="0"/>
        <w:pageBreakBefore w:val="0"/>
        <w:widowControl w:val="0"/>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hint="default" w:ascii="Times New Roman" w:hAnsi="Times New Roman" w:cs="Times New Roman"/>
          <w:b/>
          <w:bCs/>
        </w:rPr>
        <w:t>Proposal 4. Enhancement of SUL cell can be considered in Rel-19 multi-carrier enhancement, including the following objectives:</w:t>
      </w:r>
    </w:p>
    <w:p>
      <w:pPr>
        <w:keepNext w:val="0"/>
        <w:keepLines w:val="0"/>
        <w:pageBreakBefore w:val="0"/>
        <w:widowControl w:val="0"/>
        <w:numPr>
          <w:ilvl w:val="0"/>
          <w:numId w:val="11"/>
        </w:numPr>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hint="default" w:ascii="Times New Roman" w:hAnsi="Times New Roman" w:cs="Times New Roman"/>
          <w:b/>
          <w:bCs/>
        </w:rPr>
        <w:t>Support configuring multiple SUL carriers in one serving cell;</w:t>
      </w:r>
    </w:p>
    <w:p>
      <w:pPr>
        <w:keepNext w:val="0"/>
        <w:keepLines w:val="0"/>
        <w:pageBreakBefore w:val="0"/>
        <w:widowControl w:val="0"/>
        <w:numPr>
          <w:ilvl w:val="0"/>
          <w:numId w:val="11"/>
        </w:numPr>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hint="default" w:ascii="Times New Roman" w:hAnsi="Times New Roman" w:cs="Times New Roman"/>
          <w:b/>
          <w:bCs/>
        </w:rPr>
        <w:t xml:space="preserve">Support switched or concurrent transmission on multiple SUL carriers within one serving cell. </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b/>
          <w:bCs/>
        </w:rPr>
      </w:pPr>
      <w:r>
        <w:rPr>
          <w:rFonts w:hint="default" w:ascii="Times New Roman" w:hAnsi="Times New Roman" w:cs="Times New Roman"/>
          <w:b/>
          <w:bCs/>
        </w:rPr>
        <w:t xml:space="preserve">Proposal 5: Support multi-UE scheduling with single DCI to reduce PDCCH overhead. </w:t>
      </w:r>
    </w:p>
    <w:p>
      <w:pPr>
        <w:rPr>
          <w:b/>
          <w:bCs/>
        </w:rPr>
      </w:pPr>
    </w:p>
    <w:p>
      <w:pPr>
        <w:tabs>
          <w:tab w:val="center" w:pos="4536"/>
          <w:tab w:val="right" w:pos="8280"/>
          <w:tab w:val="right" w:pos="9639"/>
        </w:tabs>
        <w:spacing w:line="276" w:lineRule="auto"/>
        <w:ind w:right="2"/>
      </w:pPr>
    </w:p>
    <w:sectPr>
      <w:footerReference r:id="rId4" w:type="default"/>
      <w:headerReference r:id="rId3" w:type="even"/>
      <w:footerReference r:id="rId5"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SimSun-ExtB">
    <w:panose1 w:val="02010609060101010101"/>
    <w:charset w:val="86"/>
    <w:family w:val="modern"/>
    <w:pitch w:val="default"/>
    <w:sig w:usb0="00000001" w:usb1="02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42162"/>
    <w:multiLevelType w:val="multilevel"/>
    <w:tmpl w:val="9B242162"/>
    <w:lvl w:ilvl="0" w:tentative="0">
      <w:start w:val="1"/>
      <w:numFmt w:val="decimal"/>
      <w:pStyle w:val="2"/>
      <w:lvlText w:val="%1."/>
      <w:lvlJc w:val="left"/>
      <w:pPr>
        <w:ind w:left="432" w:hanging="432"/>
      </w:pPr>
      <w:rPr>
        <w:rFonts w:hint="default" w:ascii="Times New Roman" w:hAnsi="Times New Roman" w:eastAsia="宋体" w:cs="宋体"/>
      </w:rPr>
    </w:lvl>
    <w:lvl w:ilvl="1" w:tentative="0">
      <w:start w:val="1"/>
      <w:numFmt w:val="decimal"/>
      <w:pStyle w:val="3"/>
      <w:lvlText w:val="%1.%2"/>
      <w:lvlJc w:val="left"/>
      <w:pPr>
        <w:ind w:left="1002" w:hanging="576"/>
      </w:pPr>
      <w:rPr>
        <w:rFonts w:hint="default" w:ascii="Times New Roman" w:hAnsi="Times New Roman" w:eastAsia="宋体" w:cs="Times New Roman"/>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BA37067D"/>
    <w:multiLevelType w:val="multilevel"/>
    <w:tmpl w:val="BA37067D"/>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w:hAnsi="Times" w:eastAsia="Batang" w:cs="Malgun Gothic"/>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9FBAA98"/>
    <w:multiLevelType w:val="singleLevel"/>
    <w:tmpl w:val="09FBAA98"/>
    <w:lvl w:ilvl="0" w:tentative="0">
      <w:start w:val="1"/>
      <w:numFmt w:val="bullet"/>
      <w:lvlText w:val=""/>
      <w:lvlJc w:val="left"/>
      <w:pPr>
        <w:ind w:left="420" w:hanging="420"/>
      </w:pPr>
      <w:rPr>
        <w:rFonts w:hint="default" w:ascii="Wingdings" w:hAnsi="Wingdings"/>
      </w:rPr>
    </w:lvl>
  </w:abstractNum>
  <w:abstractNum w:abstractNumId="3">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4">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6">
    <w:nsid w:val="4880947D"/>
    <w:multiLevelType w:val="singleLevel"/>
    <w:tmpl w:val="4880947D"/>
    <w:lvl w:ilvl="0" w:tentative="0">
      <w:start w:val="1"/>
      <w:numFmt w:val="bullet"/>
      <w:lvlText w:val="•"/>
      <w:lvlJc w:val="left"/>
      <w:pPr>
        <w:ind w:left="420" w:leftChars="0" w:hanging="420" w:firstLineChars="0"/>
      </w:pPr>
      <w:rPr>
        <w:rFonts w:hint="default" w:ascii="Arial" w:hAnsi="Arial" w:cs="Arial"/>
      </w:rPr>
    </w:lvl>
  </w:abstractNum>
  <w:abstractNum w:abstractNumId="7">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8">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76B1B08"/>
    <w:multiLevelType w:val="multilevel"/>
    <w:tmpl w:val="776B1B0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4"/>
  </w:num>
  <w:num w:numId="4">
    <w:abstractNumId w:val="8"/>
  </w:num>
  <w:num w:numId="5">
    <w:abstractNumId w:val="10"/>
  </w:num>
  <w:num w:numId="6">
    <w:abstractNumId w:val="7"/>
  </w:num>
  <w:num w:numId="7">
    <w:abstractNumId w:val="9"/>
  </w:num>
  <w:num w:numId="8">
    <w:abstractNumId w:val="5"/>
  </w:num>
  <w:num w:numId="9">
    <w:abstractNumId w:val="2"/>
  </w:num>
  <w:num w:numId="10">
    <w:abstractNumId w:val="11"/>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19B4"/>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37"/>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27"/>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99C"/>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B2A"/>
    <w:rsid w:val="003A4E82"/>
    <w:rsid w:val="003A523B"/>
    <w:rsid w:val="003A5865"/>
    <w:rsid w:val="003A590E"/>
    <w:rsid w:val="003A5EC6"/>
    <w:rsid w:val="003A6330"/>
    <w:rsid w:val="003A6619"/>
    <w:rsid w:val="003A6CC0"/>
    <w:rsid w:val="003A70FA"/>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57C"/>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26F"/>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475"/>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86D"/>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52"/>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4E"/>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D8F"/>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1C"/>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3D6"/>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37B"/>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37D7"/>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744"/>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BBA"/>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92F"/>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DEC"/>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12D"/>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2113C4D"/>
    <w:rsid w:val="02D14AA7"/>
    <w:rsid w:val="0311773D"/>
    <w:rsid w:val="03E51953"/>
    <w:rsid w:val="03EF5E3C"/>
    <w:rsid w:val="041A1201"/>
    <w:rsid w:val="048B65DB"/>
    <w:rsid w:val="054E0AE2"/>
    <w:rsid w:val="056C48D3"/>
    <w:rsid w:val="05DC2648"/>
    <w:rsid w:val="05E70D01"/>
    <w:rsid w:val="06236CC8"/>
    <w:rsid w:val="06790EE8"/>
    <w:rsid w:val="081E4CC5"/>
    <w:rsid w:val="08EF2AC4"/>
    <w:rsid w:val="09877B1A"/>
    <w:rsid w:val="0A03162D"/>
    <w:rsid w:val="0BA713E7"/>
    <w:rsid w:val="0BF3451E"/>
    <w:rsid w:val="0E2BE4CE"/>
    <w:rsid w:val="0F6C6022"/>
    <w:rsid w:val="0F875FA0"/>
    <w:rsid w:val="10E327E0"/>
    <w:rsid w:val="112E1165"/>
    <w:rsid w:val="120F3667"/>
    <w:rsid w:val="12B63559"/>
    <w:rsid w:val="132D6A30"/>
    <w:rsid w:val="138328B3"/>
    <w:rsid w:val="14D6364D"/>
    <w:rsid w:val="161E6859"/>
    <w:rsid w:val="16360838"/>
    <w:rsid w:val="164F7028"/>
    <w:rsid w:val="170E3533"/>
    <w:rsid w:val="17297898"/>
    <w:rsid w:val="17845313"/>
    <w:rsid w:val="180A51BF"/>
    <w:rsid w:val="18200128"/>
    <w:rsid w:val="1949272F"/>
    <w:rsid w:val="1CE85B68"/>
    <w:rsid w:val="1D300464"/>
    <w:rsid w:val="1D366DAB"/>
    <w:rsid w:val="1DCF3D35"/>
    <w:rsid w:val="1E511BAF"/>
    <w:rsid w:val="1FD30CD6"/>
    <w:rsid w:val="20C35775"/>
    <w:rsid w:val="20C37953"/>
    <w:rsid w:val="20D70CFF"/>
    <w:rsid w:val="237842F5"/>
    <w:rsid w:val="24E66A82"/>
    <w:rsid w:val="261B72CD"/>
    <w:rsid w:val="26210AA2"/>
    <w:rsid w:val="28545A36"/>
    <w:rsid w:val="28A5267A"/>
    <w:rsid w:val="29682EFC"/>
    <w:rsid w:val="2B080C74"/>
    <w:rsid w:val="2D216DF1"/>
    <w:rsid w:val="2DC05B90"/>
    <w:rsid w:val="2DC5554E"/>
    <w:rsid w:val="2DC83B29"/>
    <w:rsid w:val="2E0B42FD"/>
    <w:rsid w:val="300B6E23"/>
    <w:rsid w:val="304A4CA8"/>
    <w:rsid w:val="316E5FCD"/>
    <w:rsid w:val="323E71CC"/>
    <w:rsid w:val="33DC0CB2"/>
    <w:rsid w:val="33E73517"/>
    <w:rsid w:val="343B16F8"/>
    <w:rsid w:val="34A014E0"/>
    <w:rsid w:val="355433D3"/>
    <w:rsid w:val="361A6360"/>
    <w:rsid w:val="376D1B58"/>
    <w:rsid w:val="3AA56AE1"/>
    <w:rsid w:val="3AEF20EA"/>
    <w:rsid w:val="3D11396A"/>
    <w:rsid w:val="3DD550D9"/>
    <w:rsid w:val="3E0E5FDB"/>
    <w:rsid w:val="3E710FD7"/>
    <w:rsid w:val="3EF4219B"/>
    <w:rsid w:val="3EFD138F"/>
    <w:rsid w:val="40597A9B"/>
    <w:rsid w:val="40A67BAB"/>
    <w:rsid w:val="41732588"/>
    <w:rsid w:val="42117FD8"/>
    <w:rsid w:val="42560B89"/>
    <w:rsid w:val="429E50CA"/>
    <w:rsid w:val="43800E3E"/>
    <w:rsid w:val="43F32E89"/>
    <w:rsid w:val="44F478DF"/>
    <w:rsid w:val="471B6394"/>
    <w:rsid w:val="474520E1"/>
    <w:rsid w:val="476305AE"/>
    <w:rsid w:val="479C166A"/>
    <w:rsid w:val="479F1017"/>
    <w:rsid w:val="488618DF"/>
    <w:rsid w:val="49BB7B88"/>
    <w:rsid w:val="49F62572"/>
    <w:rsid w:val="4A326C6E"/>
    <w:rsid w:val="4A55403D"/>
    <w:rsid w:val="4B501B2A"/>
    <w:rsid w:val="4CEA3F70"/>
    <w:rsid w:val="4EA03A92"/>
    <w:rsid w:val="4EAA4EA9"/>
    <w:rsid w:val="4FF6098F"/>
    <w:rsid w:val="50A2019C"/>
    <w:rsid w:val="5119295C"/>
    <w:rsid w:val="51CD65C3"/>
    <w:rsid w:val="52A1087D"/>
    <w:rsid w:val="52BB0165"/>
    <w:rsid w:val="533D321D"/>
    <w:rsid w:val="53BD067C"/>
    <w:rsid w:val="5413475E"/>
    <w:rsid w:val="54BB1E7A"/>
    <w:rsid w:val="55BE3094"/>
    <w:rsid w:val="57171175"/>
    <w:rsid w:val="57FF7BEA"/>
    <w:rsid w:val="58F76A8B"/>
    <w:rsid w:val="59ED7FC0"/>
    <w:rsid w:val="5A6A5EEC"/>
    <w:rsid w:val="5BAA4BA9"/>
    <w:rsid w:val="5C1D259C"/>
    <w:rsid w:val="5C5225CF"/>
    <w:rsid w:val="5E4B29F2"/>
    <w:rsid w:val="5F433D76"/>
    <w:rsid w:val="5FC85030"/>
    <w:rsid w:val="5FF505AE"/>
    <w:rsid w:val="60083E64"/>
    <w:rsid w:val="60D652C2"/>
    <w:rsid w:val="61891805"/>
    <w:rsid w:val="624501CC"/>
    <w:rsid w:val="632307A5"/>
    <w:rsid w:val="635213CD"/>
    <w:rsid w:val="63CD6B7E"/>
    <w:rsid w:val="643718AE"/>
    <w:rsid w:val="64424AFB"/>
    <w:rsid w:val="650B3714"/>
    <w:rsid w:val="655679DA"/>
    <w:rsid w:val="65D36C51"/>
    <w:rsid w:val="676D37E9"/>
    <w:rsid w:val="68360E8F"/>
    <w:rsid w:val="68580BCC"/>
    <w:rsid w:val="6C337BCB"/>
    <w:rsid w:val="6DF07092"/>
    <w:rsid w:val="70A3154F"/>
    <w:rsid w:val="70CB6C95"/>
    <w:rsid w:val="70F7708B"/>
    <w:rsid w:val="72127040"/>
    <w:rsid w:val="72E4477B"/>
    <w:rsid w:val="73714E13"/>
    <w:rsid w:val="739F0086"/>
    <w:rsid w:val="73F043B0"/>
    <w:rsid w:val="75406AFC"/>
    <w:rsid w:val="769A009D"/>
    <w:rsid w:val="76B615EA"/>
    <w:rsid w:val="77202353"/>
    <w:rsid w:val="78DA098C"/>
    <w:rsid w:val="78EB31EA"/>
    <w:rsid w:val="79621F9C"/>
    <w:rsid w:val="7A2A1EFF"/>
    <w:rsid w:val="7B31541B"/>
    <w:rsid w:val="7B7D2122"/>
    <w:rsid w:val="7E1E4A67"/>
    <w:rsid w:val="7F6E7FB3"/>
    <w:rsid w:val="7FF4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time"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ind w:left="0" w:firstLine="0"/>
      <w:outlineLvl w:val="1"/>
    </w:pPr>
    <w:rPr>
      <w:rFonts w:ascii="Arial" w:hAnsi="Arial"/>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pPr>
    <w:rPr>
      <w:rFonts w:ascii="Times" w:hAnsi="Times"/>
      <w:szCs w:val="24"/>
    </w:rPr>
  </w:style>
  <w:style w:type="paragraph" w:styleId="33">
    <w:name w:val="Plain Text"/>
    <w:basedOn w:val="1"/>
    <w:link w:val="160"/>
    <w:qFormat/>
    <w:uiPriority w:val="0"/>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spacing w:before="360" w:after="240"/>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pPr>
    <w:rPr>
      <w:rFonts w:ascii="Arial" w:hAnsi="Arial"/>
      <w:sz w:val="22"/>
    </w:rPr>
  </w:style>
  <w:style w:type="paragraph" w:styleId="47">
    <w:name w:val="Normal (Web)"/>
    <w:basedOn w:val="1"/>
    <w:unhideWhenUsed/>
    <w:qFormat/>
    <w:uiPriority w:val="99"/>
    <w:pPr>
      <w:spacing w:before="100" w:beforeAutospacing="1" w:after="100" w:afterAutospacing="1"/>
    </w:pPr>
    <w:rPr>
      <w:sz w:val="24"/>
      <w:szCs w:val="24"/>
    </w:rPr>
  </w:style>
  <w:style w:type="paragraph" w:styleId="48">
    <w:name w:val="index 1"/>
    <w:basedOn w:val="1"/>
    <w:next w:val="1"/>
    <w:semiHidden/>
    <w:qFormat/>
    <w:uiPriority w:val="0"/>
    <w:pPr>
      <w:keepLines/>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style>
  <w:style w:type="paragraph" w:customStyle="1" w:styleId="72">
    <w:name w:val="EW"/>
    <w:basedOn w:val="68"/>
    <w:qFormat/>
    <w:uiPriority w:val="0"/>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pPr>
    <w:rPr>
      <w:sz w:val="24"/>
    </w:rPr>
  </w:style>
  <w:style w:type="paragraph" w:customStyle="1" w:styleId="95">
    <w:name w:val="Equation"/>
    <w:basedOn w:val="1"/>
    <w:next w:val="1"/>
    <w:qFormat/>
    <w:uiPriority w:val="0"/>
    <w:pPr>
      <w:tabs>
        <w:tab w:val="right" w:pos="10206"/>
      </w:tabs>
      <w:spacing w:after="220"/>
      <w:ind w:left="1298"/>
    </w:pPr>
    <w:rPr>
      <w:rFonts w:ascii="Arial" w:hAnsi="Arial"/>
      <w:sz w:val="22"/>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Times New Roman" w:hAnsi="Times New Roman" w:eastAsia="time"/>
      <w:sz w:val="36"/>
      <w:lang w:val="en-GB" w:eastAsia="en-US"/>
    </w:rPr>
  </w:style>
  <w:style w:type="character" w:customStyle="1" w:styleId="104">
    <w:name w:val="标题 2 字符"/>
    <w:link w:val="3"/>
    <w:qFormat/>
    <w:uiPriority w:val="0"/>
    <w:rPr>
      <w:rFonts w:ascii="Arial" w:hAnsi="Arial" w:eastAsia="time"/>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spacing w:before="120"/>
      <w:ind w:left="720"/>
    </w:pPr>
    <w:rPr>
      <w:rFonts w:eastAsia="Times New Roman"/>
    </w:rPr>
  </w:style>
  <w:style w:type="paragraph" w:customStyle="1" w:styleId="114">
    <w:name w:val="Reference"/>
    <w:basedOn w:val="68"/>
    <w:qFormat/>
    <w:uiPriority w:val="0"/>
    <w:pPr>
      <w:tabs>
        <w:tab w:val="left" w:pos="360"/>
      </w:tabs>
      <w:suppressAutoHyphens/>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修订1"/>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snapToGrid w:val="0"/>
      <w:spacing w:afterLines="50" w:line="264" w:lineRule="auto"/>
    </w:pPr>
    <w:rPr>
      <w:rFonts w:eastAsia="Batang"/>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表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snapToGrid w:val="0"/>
      <w:spacing w:after="60"/>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spacing w:after="120"/>
    </w:pPr>
    <w:rPr>
      <w:rFonts w:eastAsia="MS Mincho"/>
      <w:sz w:val="24"/>
    </w:rPr>
  </w:style>
  <w:style w:type="paragraph" w:customStyle="1" w:styleId="153">
    <w:name w:val="INDENT1"/>
    <w:basedOn w:val="1"/>
    <w:qFormat/>
    <w:uiPriority w:val="0"/>
    <w:pPr>
      <w:ind w:left="851"/>
    </w:pPr>
    <w:rPr>
      <w:rFonts w:eastAsia="Malgun Gothic"/>
      <w:lang w:val="en-GB"/>
    </w:rPr>
  </w:style>
  <w:style w:type="paragraph" w:customStyle="1" w:styleId="154">
    <w:name w:val="INDENT2"/>
    <w:basedOn w:val="1"/>
    <w:qFormat/>
    <w:uiPriority w:val="0"/>
    <w:pPr>
      <w:ind w:left="1135" w:hanging="284"/>
    </w:pPr>
    <w:rPr>
      <w:rFonts w:eastAsia="Malgun Gothic"/>
      <w:lang w:val="en-GB"/>
    </w:rPr>
  </w:style>
  <w:style w:type="paragraph" w:customStyle="1" w:styleId="155">
    <w:name w:val="INDENT3"/>
    <w:basedOn w:val="1"/>
    <w:qFormat/>
    <w:uiPriority w:val="0"/>
    <w:pPr>
      <w:ind w:left="1701" w:hanging="567"/>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spacing w:before="120" w:after="480"/>
      <w:jc w:val="center"/>
    </w:pPr>
    <w:rPr>
      <w:rFonts w:eastAsia="Malgun Gothic"/>
      <w:b/>
      <w:sz w:val="24"/>
      <w:lang w:val="en-GB"/>
    </w:rPr>
  </w:style>
  <w:style w:type="paragraph" w:customStyle="1" w:styleId="157">
    <w:name w:val="Rec_CCITT_#"/>
    <w:basedOn w:val="1"/>
    <w:qFormat/>
    <w:uiPriority w:val="0"/>
    <w:pPr>
      <w:keepNext/>
      <w:keepLines/>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spacing w:before="86"/>
      <w:ind w:left="1588" w:hanging="397"/>
    </w:pPr>
    <w:rPr>
      <w:rFonts w:eastAsia="Malgun Gothic"/>
    </w:rPr>
  </w:style>
  <w:style w:type="paragraph" w:customStyle="1" w:styleId="159">
    <w:name w:val="Couv Rec Title"/>
    <w:basedOn w:val="1"/>
    <w:qFormat/>
    <w:uiPriority w:val="0"/>
    <w:pPr>
      <w:keepNext/>
      <w:keepLines/>
      <w:spacing w:before="240"/>
      <w:ind w:left="1418"/>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rPr>
      <w:rFonts w:eastAsia="Malgun Gothic"/>
      <w:lang w:val="en-GB"/>
    </w:rPr>
  </w:style>
  <w:style w:type="paragraph" w:customStyle="1" w:styleId="162">
    <w:name w:val="Guidance"/>
    <w:basedOn w:val="1"/>
    <w:qFormat/>
    <w:uiPriority w:val="0"/>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spacing w:before="40"/>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numPr>
        <w:ilvl w:val="0"/>
        <w:numId w:val="7"/>
      </w:numPr>
      <w:spacing w:before="60" w:after="60" w:line="288" w:lineRule="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pPr>
    <w:rPr>
      <w:sz w:val="22"/>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 w:type="paragraph" w:customStyle="1" w:styleId="171">
    <w:name w:val="Revision"/>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80E46-DE1C-4AE7-82E4-32E4F7E8D908}">
  <ds:schemaRefs/>
</ds:datastoreItem>
</file>

<file path=customXml/itemProps3.xml><?xml version="1.0" encoding="utf-8"?>
<ds:datastoreItem xmlns:ds="http://schemas.openxmlformats.org/officeDocument/2006/customXml" ds:itemID="{8B85540C-FE5C-4354-BE5A-E0652EDA2CF6}">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6F45A92A-9E75-4A75-BF61-66929B64B2AA}">
  <ds:schemaRefs/>
</ds:datastoreItem>
</file>

<file path=customXml/itemProps6.xml><?xml version="1.0" encoding="utf-8"?>
<ds:datastoreItem xmlns:ds="http://schemas.openxmlformats.org/officeDocument/2006/customXml" ds:itemID="{087A3EDA-4F7D-4DAE-B91C-C7325A9311B1}">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7</Pages>
  <Words>2485</Words>
  <Characters>14170</Characters>
  <Lines>118</Lines>
  <Paragraphs>33</Paragraphs>
  <TotalTime>5</TotalTime>
  <ScaleCrop>false</ScaleCrop>
  <LinksUpToDate>false</LinksUpToDate>
  <CharactersWithSpaces>16622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2023-09-08T04:50:00Z</dcterms:created>
  <dc:creator>CMCC</dc:creator>
  <cp:lastModifiedBy>CMCC-hulijie</cp:lastModifiedBy>
  <cp:lastPrinted>2017-03-25T00:57:00Z</cp:lastPrinted>
  <dcterms:modified xsi:type="dcterms:W3CDTF">2023-09-09T01:39:31Z</dcterms:modified>
  <dc:title>3GPP TSG-RAN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2052-11.8.2.12085</vt:lpwstr>
  </property>
  <property fmtid="{D5CDD505-2E9C-101B-9397-08002B2CF9AE}" pid="23" name="ICV">
    <vt:lpwstr>90A4FF36827A4C7C83794295B33D059E</vt:lpwstr>
  </property>
</Properties>
</file>