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18242" w14:textId="64113970" w:rsidR="009D76A0" w:rsidRPr="00C02CCE" w:rsidRDefault="009D76A0" w:rsidP="009D76A0">
      <w:pPr>
        <w:keepLines/>
        <w:tabs>
          <w:tab w:val="left" w:pos="567"/>
        </w:tabs>
        <w:autoSpaceDE/>
        <w:autoSpaceDN/>
        <w:spacing w:after="0"/>
        <w:rPr>
          <w:rFonts w:ascii="Arial" w:eastAsia="MS Mincho" w:hAnsi="Arial" w:cs="Arial"/>
          <w:b/>
          <w:sz w:val="28"/>
          <w:szCs w:val="28"/>
        </w:rPr>
      </w:pPr>
      <w:r w:rsidRPr="00C02CCE">
        <w:rPr>
          <w:rFonts w:ascii="Arial" w:hAnsi="Arial" w:cs="Arial"/>
          <w:b/>
          <w:sz w:val="28"/>
          <w:szCs w:val="28"/>
        </w:rPr>
        <w:t>3GPP TSG RAN Meeting #10</w:t>
      </w:r>
      <w:r w:rsidR="00073FE2">
        <w:rPr>
          <w:rFonts w:ascii="Arial" w:hAnsi="Arial" w:cs="Arial"/>
          <w:b/>
          <w:sz w:val="28"/>
          <w:szCs w:val="28"/>
        </w:rPr>
        <w:t>1</w:t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bookmarkStart w:id="0" w:name="_GoBack"/>
      <w:r w:rsidR="00427EA5" w:rsidRPr="00427EA5">
        <w:rPr>
          <w:rFonts w:ascii="Arial" w:hAnsi="Arial" w:cs="Arial"/>
          <w:b/>
          <w:sz w:val="28"/>
          <w:szCs w:val="28"/>
        </w:rPr>
        <w:t>RP-232116</w:t>
      </w:r>
      <w:bookmarkEnd w:id="0"/>
    </w:p>
    <w:p w14:paraId="5CBED9A8" w14:textId="2354FF07" w:rsidR="009D76A0" w:rsidRPr="00C02CCE" w:rsidRDefault="00073FE2" w:rsidP="009D76A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Bangalore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September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 1</w:t>
      </w:r>
      <w:r>
        <w:rPr>
          <w:rFonts w:ascii="Arial" w:hAnsi="Arial" w:cs="Arial"/>
          <w:b/>
          <w:sz w:val="28"/>
          <w:szCs w:val="28"/>
        </w:rPr>
        <w:t>1</w:t>
      </w:r>
      <w:r w:rsidR="009D76A0" w:rsidRPr="00C02CCE">
        <w:rPr>
          <w:rFonts w:ascii="Arial" w:hAnsi="Arial" w:cs="Arial"/>
          <w:b/>
          <w:sz w:val="28"/>
          <w:szCs w:val="28"/>
        </w:rPr>
        <w:t>-1</w:t>
      </w:r>
      <w:r>
        <w:rPr>
          <w:rFonts w:ascii="Arial" w:hAnsi="Arial" w:cs="Arial"/>
          <w:b/>
          <w:sz w:val="28"/>
          <w:szCs w:val="28"/>
        </w:rPr>
        <w:t>5</w:t>
      </w:r>
      <w:r w:rsidR="009D76A0" w:rsidRPr="00C02CCE">
        <w:rPr>
          <w:rFonts w:ascii="Arial" w:hAnsi="Arial" w:cs="Arial"/>
          <w:b/>
          <w:sz w:val="28"/>
          <w:szCs w:val="28"/>
        </w:rPr>
        <w:t>, 2023</w:t>
      </w:r>
    </w:p>
    <w:p w14:paraId="21EA94FD" w14:textId="77777777" w:rsidR="001836E6" w:rsidRPr="00C02CCE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</w:p>
    <w:p w14:paraId="39C0B62F" w14:textId="1DD806EC" w:rsidR="001836E6" w:rsidRPr="00C02CCE" w:rsidRDefault="001836E6" w:rsidP="00073FE2">
      <w:pPr>
        <w:tabs>
          <w:tab w:val="left" w:pos="1985"/>
        </w:tabs>
        <w:rPr>
          <w:rFonts w:ascii="Arial" w:eastAsia="PMingLiU" w:hAnsi="Arial"/>
          <w:b/>
          <w:color w:val="000000"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>Agenda item:</w:t>
      </w:r>
      <w:r w:rsidRPr="00C02CCE">
        <w:rPr>
          <w:rFonts w:ascii="Arial" w:hAnsi="Arial"/>
          <w:b/>
          <w:sz w:val="24"/>
        </w:rPr>
        <w:tab/>
      </w:r>
      <w:r w:rsidR="00075597" w:rsidRPr="00075597">
        <w:rPr>
          <w:rFonts w:ascii="Arial" w:hAnsi="Arial"/>
          <w:b/>
          <w:sz w:val="24"/>
        </w:rPr>
        <w:t>8A.2.15</w:t>
      </w:r>
    </w:p>
    <w:p w14:paraId="3119F919" w14:textId="1BFD7820" w:rsidR="001836E6" w:rsidRPr="00C02CCE" w:rsidRDefault="001836E6" w:rsidP="001836E6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Source: 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eastAsia="PMingLiU" w:hAnsi="Arial"/>
          <w:sz w:val="24"/>
          <w:lang w:eastAsia="zh-TW"/>
        </w:rPr>
        <w:t>Huawei, HiSilicon</w:t>
      </w:r>
    </w:p>
    <w:p w14:paraId="4C760D9F" w14:textId="20CA951D" w:rsidR="001836E6" w:rsidRPr="00A90E34" w:rsidRDefault="001836E6" w:rsidP="00073FE2">
      <w:pPr>
        <w:tabs>
          <w:tab w:val="left" w:pos="1985"/>
        </w:tabs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 xml:space="preserve">Title: </w:t>
      </w:r>
      <w:r w:rsidRPr="00C02CCE">
        <w:rPr>
          <w:rFonts w:ascii="Arial" w:hAnsi="Arial"/>
          <w:b/>
          <w:sz w:val="24"/>
        </w:rPr>
        <w:tab/>
      </w:r>
      <w:r w:rsidR="00A90E34" w:rsidRPr="00A90E34">
        <w:rPr>
          <w:rFonts w:ascii="Arial" w:hAnsi="Arial"/>
          <w:sz w:val="24"/>
        </w:rPr>
        <w:t>High Accuracy Timing Services in Rel-19</w:t>
      </w:r>
    </w:p>
    <w:p w14:paraId="67F568EC" w14:textId="1035C962" w:rsidR="001836E6" w:rsidRPr="00C02CCE" w:rsidRDefault="001836E6" w:rsidP="001836E6">
      <w:pPr>
        <w:tabs>
          <w:tab w:val="left" w:pos="1985"/>
        </w:tabs>
        <w:spacing w:after="240"/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>Document for: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hAnsi="Arial"/>
          <w:sz w:val="24"/>
        </w:rPr>
        <w:t>Discussion</w:t>
      </w:r>
      <w:r w:rsidR="00073FE2">
        <w:rPr>
          <w:rFonts w:ascii="Arial" w:hAnsi="Arial"/>
          <w:sz w:val="24"/>
        </w:rPr>
        <w:t>/Decision</w:t>
      </w:r>
    </w:p>
    <w:p w14:paraId="08ADBF60" w14:textId="6A844C68" w:rsidR="00EF64AA" w:rsidRPr="00C02CCE" w:rsidRDefault="009C0564" w:rsidP="001836E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bookmarkStart w:id="1" w:name="_Ref124589705"/>
      <w:bookmarkStart w:id="2" w:name="_Ref129681862"/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Introduction</w:t>
      </w:r>
      <w:bookmarkEnd w:id="1"/>
      <w:bookmarkEnd w:id="2"/>
    </w:p>
    <w:p w14:paraId="29E52F53" w14:textId="03D561F2" w:rsidR="00E728FB" w:rsidRPr="00C02CCE" w:rsidRDefault="00E728FB" w:rsidP="00AF2D19">
      <w:pPr>
        <w:rPr>
          <w:lang w:eastAsia="zh-CN"/>
        </w:rPr>
      </w:pPr>
      <w:bookmarkStart w:id="3" w:name="_Ref129681832"/>
      <w:r>
        <w:rPr>
          <w:lang w:eastAsia="zh-CN"/>
        </w:rPr>
        <w:t xml:space="preserve">High accuracy timing service (HATS) is considered to be </w:t>
      </w:r>
      <w:r w:rsidR="00260E7C">
        <w:rPr>
          <w:lang w:eastAsia="zh-CN"/>
        </w:rPr>
        <w:t xml:space="preserve">an </w:t>
      </w:r>
      <w:r>
        <w:rPr>
          <w:lang w:eastAsia="zh-CN"/>
        </w:rPr>
        <w:t xml:space="preserve">essential </w:t>
      </w:r>
      <w:r w:rsidR="00260E7C">
        <w:rPr>
          <w:lang w:eastAsia="zh-CN"/>
        </w:rPr>
        <w:t xml:space="preserve">technology </w:t>
      </w:r>
      <w:r w:rsidR="005E413A">
        <w:rPr>
          <w:lang w:eastAsia="zh-CN"/>
        </w:rPr>
        <w:t xml:space="preserve">for 3GPP </w:t>
      </w:r>
      <w:r>
        <w:rPr>
          <w:lang w:eastAsia="zh-CN"/>
        </w:rPr>
        <w:t xml:space="preserve">to </w:t>
      </w:r>
      <w:r w:rsidR="00260E7C">
        <w:rPr>
          <w:lang w:eastAsia="zh-CN"/>
        </w:rPr>
        <w:t>open</w:t>
      </w:r>
      <w:r>
        <w:rPr>
          <w:lang w:eastAsia="zh-CN"/>
        </w:rPr>
        <w:t xml:space="preserve"> </w:t>
      </w:r>
      <w:r w:rsidR="00A4776C">
        <w:rPr>
          <w:lang w:eastAsia="zh-CN"/>
        </w:rPr>
        <w:t xml:space="preserve">for </w:t>
      </w:r>
      <w:r>
        <w:rPr>
          <w:lang w:eastAsia="zh-CN"/>
        </w:rPr>
        <w:t xml:space="preserve">wide use cases including IIOT, Smart Grid, Finance, GPS/GNSS backup, </w:t>
      </w:r>
      <w:r w:rsidR="00273EBC">
        <w:rPr>
          <w:lang w:eastAsia="zh-CN"/>
        </w:rPr>
        <w:t>and it</w:t>
      </w:r>
      <w:r>
        <w:rPr>
          <w:lang w:eastAsia="zh-CN"/>
        </w:rPr>
        <w:t xml:space="preserve"> has been studied </w:t>
      </w:r>
      <w:r w:rsidR="000920E9">
        <w:rPr>
          <w:lang w:eastAsia="zh-CN"/>
        </w:rPr>
        <w:t xml:space="preserve">and developed </w:t>
      </w:r>
      <w:r>
        <w:rPr>
          <w:lang w:eastAsia="zh-CN"/>
        </w:rPr>
        <w:t xml:space="preserve">in RAN1/2/3 since Rel-16. In this </w:t>
      </w:r>
      <w:r w:rsidR="008F1EF1">
        <w:rPr>
          <w:lang w:eastAsia="zh-CN"/>
        </w:rPr>
        <w:t>contribution</w:t>
      </w:r>
      <w:r>
        <w:rPr>
          <w:lang w:eastAsia="zh-CN"/>
        </w:rPr>
        <w:t>, we provide our considerations on HATS in Rel-19.</w:t>
      </w:r>
    </w:p>
    <w:p w14:paraId="5C45204F" w14:textId="0837BDB2" w:rsidR="00E728FB" w:rsidRPr="000C43D0" w:rsidRDefault="00E728FB" w:rsidP="000C43D0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 xml:space="preserve">Discussion </w:t>
      </w:r>
      <w:r w:rsidRPr="000C43D0">
        <w:rPr>
          <w:rFonts w:ascii="Arial" w:eastAsiaTheme="minorEastAsia" w:hAnsi="Arial"/>
          <w:b w:val="0"/>
          <w:bCs w:val="0"/>
          <w:sz w:val="32"/>
          <w:szCs w:val="20"/>
          <w:lang w:val="en-GB" w:eastAsia="ja-JP"/>
        </w:rPr>
        <w:t xml:space="preserve"> </w:t>
      </w:r>
    </w:p>
    <w:p w14:paraId="5D74FD13" w14:textId="102D4123" w:rsidR="000C43D0" w:rsidRPr="000C43D0" w:rsidRDefault="000C43D0" w:rsidP="000C43D0">
      <w:pPr>
        <w:pStyle w:val="2"/>
        <w:rPr>
          <w:rFonts w:ascii="Arial" w:hAnsi="Arial" w:cs="Arial"/>
          <w:b w:val="0"/>
          <w:sz w:val="32"/>
          <w:szCs w:val="32"/>
        </w:rPr>
      </w:pPr>
      <w:r w:rsidRPr="000C43D0">
        <w:rPr>
          <w:rFonts w:ascii="Arial" w:hAnsi="Arial" w:cs="Arial"/>
          <w:b w:val="0"/>
          <w:sz w:val="32"/>
          <w:szCs w:val="32"/>
        </w:rPr>
        <w:t>2.1</w:t>
      </w:r>
      <w:r w:rsidRPr="000C43D0">
        <w:rPr>
          <w:rFonts w:ascii="Arial" w:hAnsi="Arial" w:cs="Arial"/>
          <w:b w:val="0"/>
          <w:sz w:val="32"/>
          <w:szCs w:val="32"/>
        </w:rPr>
        <w:tab/>
      </w:r>
      <w:r>
        <w:rPr>
          <w:rFonts w:ascii="Arial" w:hAnsi="Arial" w:cs="Arial"/>
          <w:b w:val="0"/>
          <w:sz w:val="32"/>
          <w:szCs w:val="32"/>
        </w:rPr>
        <w:t>Motivation</w:t>
      </w:r>
    </w:p>
    <w:p w14:paraId="79F1FEC9" w14:textId="2C1B35BD" w:rsidR="00BF1CE7" w:rsidRPr="003414EC" w:rsidRDefault="00BB1FD5" w:rsidP="003414EC">
      <w:pPr>
        <w:rPr>
          <w:lang w:eastAsia="zh-CN"/>
        </w:rPr>
      </w:pPr>
      <w:r>
        <w:rPr>
          <w:lang w:eastAsia="zh-CN"/>
        </w:rPr>
        <w:t>High a</w:t>
      </w:r>
      <w:r w:rsidR="003414EC" w:rsidRPr="003414EC">
        <w:rPr>
          <w:lang w:eastAsia="zh-CN"/>
        </w:rPr>
        <w:t xml:space="preserve">ccuracy timing was first studied in Rel-16 </w:t>
      </w:r>
      <w:r w:rsidR="0077251F">
        <w:rPr>
          <w:lang w:eastAsia="zh-CN"/>
        </w:rPr>
        <w:t>in support of TSC synchronization</w:t>
      </w:r>
      <w:r w:rsidR="003414EC" w:rsidRPr="003414EC">
        <w:rPr>
          <w:lang w:eastAsia="zh-CN"/>
        </w:rPr>
        <w:t xml:space="preserve"> </w:t>
      </w:r>
      <w:r w:rsidR="008B42D0">
        <w:rPr>
          <w:lang w:eastAsia="zh-CN"/>
        </w:rPr>
        <w:t xml:space="preserve">for IIOT </w:t>
      </w:r>
      <w:r w:rsidR="0006291B">
        <w:rPr>
          <w:lang w:eastAsia="zh-CN"/>
        </w:rPr>
        <w:t xml:space="preserve">with the </w:t>
      </w:r>
      <w:r w:rsidR="003414EC" w:rsidRPr="003414EC">
        <w:rPr>
          <w:lang w:eastAsia="zh-CN"/>
        </w:rPr>
        <w:t xml:space="preserve">target </w:t>
      </w:r>
      <w:r w:rsidR="008211F0">
        <w:rPr>
          <w:lang w:eastAsia="zh-CN"/>
        </w:rPr>
        <w:t xml:space="preserve">E2E </w:t>
      </w:r>
      <w:r w:rsidR="0077251F">
        <w:rPr>
          <w:lang w:eastAsia="zh-CN"/>
        </w:rPr>
        <w:t>synchronicity of</w:t>
      </w:r>
      <w:r w:rsidR="00BF1CE7">
        <w:rPr>
          <w:lang w:eastAsia="zh-CN"/>
        </w:rPr>
        <w:t xml:space="preserve"> 1us where Uu budget is ~900ns, which is illustrated in the figure 1 below.</w:t>
      </w:r>
    </w:p>
    <w:p w14:paraId="09C0841A" w14:textId="5C78B6C3" w:rsidR="000C43D0" w:rsidRDefault="00BF1CE7" w:rsidP="00BF1CE7">
      <w:pPr>
        <w:overflowPunct w:val="0"/>
        <w:spacing w:before="120"/>
        <w:ind w:left="432"/>
        <w:jc w:val="center"/>
        <w:textAlignment w:val="baseline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6232167" wp14:editId="1081BE93">
            <wp:extent cx="2883535" cy="14751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147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22378A" w14:textId="4AB64C21" w:rsidR="00BF1CE7" w:rsidRDefault="00BF1CE7" w:rsidP="00FE7737">
      <w:pPr>
        <w:overflowPunct w:val="0"/>
        <w:spacing w:before="120"/>
        <w:ind w:left="432"/>
        <w:jc w:val="center"/>
        <w:textAlignment w:val="baseline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igure 1. Accuracy timing for TSC synchronization</w:t>
      </w:r>
    </w:p>
    <w:p w14:paraId="03EB6401" w14:textId="2AE96FAC" w:rsidR="00FE7737" w:rsidRDefault="00FE7737" w:rsidP="00FE7737">
      <w:pPr>
        <w:rPr>
          <w:lang w:eastAsia="zh-CN"/>
        </w:rPr>
      </w:pPr>
      <w:r>
        <w:rPr>
          <w:lang w:eastAsia="zh-CN"/>
        </w:rPr>
        <w:t>In Rel-17 and continued Rel-18, accuracy timing has been further enhanced to support more use cases beyond Rel-16 TSN, e.g. UL timing where the sync master is located in the UE/End-station side, and GPS/GNSS backup. Propagation delay compensation (PDC) was introduced to improve the timing accuracy, especially for out-door scenario, e.g. Smart Grid with 1us</w:t>
      </w:r>
      <w:r w:rsidR="008211F0">
        <w:rPr>
          <w:lang w:eastAsia="zh-CN"/>
        </w:rPr>
        <w:t xml:space="preserve"> E2E requirement</w:t>
      </w:r>
      <w:r>
        <w:rPr>
          <w:lang w:eastAsia="zh-CN"/>
        </w:rPr>
        <w:t xml:space="preserve">, and synchronization status awareness has been agreed to improve the timing resiliency when GPS/GNSS is not available or reliable. </w:t>
      </w:r>
    </w:p>
    <w:p w14:paraId="4C62715C" w14:textId="464C4374" w:rsidR="00C04C1F" w:rsidRDefault="00504486" w:rsidP="00FE7737">
      <w:pPr>
        <w:rPr>
          <w:lang w:eastAsia="zh-CN"/>
        </w:rPr>
      </w:pPr>
      <w:r>
        <w:rPr>
          <w:lang w:eastAsia="zh-CN"/>
        </w:rPr>
        <w:t>From the perspective of</w:t>
      </w:r>
      <w:r w:rsidR="002D37EF">
        <w:rPr>
          <w:lang w:eastAsia="zh-CN"/>
        </w:rPr>
        <w:t xml:space="preserve"> </w:t>
      </w:r>
      <w:r>
        <w:rPr>
          <w:lang w:eastAsia="zh-CN"/>
        </w:rPr>
        <w:t xml:space="preserve">high accuracy timing being a </w:t>
      </w:r>
      <w:r w:rsidR="002D37EF">
        <w:rPr>
          <w:lang w:eastAsia="zh-CN"/>
        </w:rPr>
        <w:t>commercial service</w:t>
      </w:r>
      <w:r>
        <w:rPr>
          <w:lang w:eastAsia="zh-CN"/>
        </w:rPr>
        <w:t xml:space="preserve"> (i.e. HATS)</w:t>
      </w:r>
      <w:r w:rsidR="002D37EF">
        <w:rPr>
          <w:lang w:eastAsia="zh-CN"/>
        </w:rPr>
        <w:t>, we observe that m</w:t>
      </w:r>
      <w:r w:rsidR="001C74E2" w:rsidRPr="001C74E2">
        <w:rPr>
          <w:lang w:eastAsia="zh-CN"/>
        </w:rPr>
        <w:t xml:space="preserve">ore requirements for various use cases need to be addressed to help </w:t>
      </w:r>
      <w:r w:rsidR="002D37EF">
        <w:rPr>
          <w:lang w:eastAsia="zh-CN"/>
        </w:rPr>
        <w:t xml:space="preserve">the </w:t>
      </w:r>
      <w:r>
        <w:rPr>
          <w:lang w:eastAsia="zh-CN"/>
        </w:rPr>
        <w:t>deployments in p</w:t>
      </w:r>
      <w:r w:rsidR="000B140B">
        <w:rPr>
          <w:lang w:eastAsia="zh-CN"/>
        </w:rPr>
        <w:t>ractice</w:t>
      </w:r>
      <w:r w:rsidR="00747E0E">
        <w:rPr>
          <w:lang w:eastAsia="zh-CN"/>
        </w:rPr>
        <w:t xml:space="preserve"> for Smart Grid and IIOT</w:t>
      </w:r>
      <w:r w:rsidR="000B140B">
        <w:rPr>
          <w:lang w:eastAsia="zh-CN"/>
        </w:rPr>
        <w:t xml:space="preserve">. </w:t>
      </w:r>
      <w:r w:rsidR="00C04C1F">
        <w:rPr>
          <w:lang w:eastAsia="zh-CN"/>
        </w:rPr>
        <w:t xml:space="preserve">For instance, </w:t>
      </w:r>
      <w:r w:rsidR="00807102">
        <w:rPr>
          <w:lang w:eastAsia="zh-CN"/>
        </w:rPr>
        <w:t xml:space="preserve">SA1 Rel-18 has adopted the stringent requirement of 5GS synchronicity budget with 250ns-1us </w:t>
      </w:r>
      <w:r w:rsidR="00390203">
        <w:rPr>
          <w:lang w:eastAsia="zh-CN"/>
        </w:rPr>
        <w:t>for Smart Grid</w:t>
      </w:r>
      <w:r w:rsidR="00E44F6C">
        <w:rPr>
          <w:lang w:eastAsia="zh-CN"/>
        </w:rPr>
        <w:t xml:space="preserve"> [1]</w:t>
      </w:r>
      <w:r w:rsidR="00807102">
        <w:rPr>
          <w:lang w:eastAsia="zh-CN"/>
        </w:rPr>
        <w:t>, as illustrated in Figu</w:t>
      </w:r>
      <w:r w:rsidR="00E44F6C">
        <w:rPr>
          <w:lang w:eastAsia="zh-CN"/>
        </w:rPr>
        <w:t xml:space="preserve">re 2. It is noted that </w:t>
      </w:r>
      <w:r w:rsidR="00807102">
        <w:rPr>
          <w:lang w:eastAsia="zh-CN"/>
        </w:rPr>
        <w:t xml:space="preserve">numerous </w:t>
      </w:r>
      <w:r w:rsidR="007D6EF9">
        <w:rPr>
          <w:lang w:eastAsia="zh-CN"/>
        </w:rPr>
        <w:t xml:space="preserve">power end-stations </w:t>
      </w:r>
      <w:r w:rsidR="00807102">
        <w:rPr>
          <w:lang w:eastAsia="zh-CN"/>
        </w:rPr>
        <w:t xml:space="preserve">are </w:t>
      </w:r>
      <w:r w:rsidR="00E44F6C">
        <w:rPr>
          <w:lang w:eastAsia="zh-CN"/>
        </w:rPr>
        <w:t>connected</w:t>
      </w:r>
      <w:r w:rsidR="00807102">
        <w:rPr>
          <w:lang w:eastAsia="zh-CN"/>
        </w:rPr>
        <w:t xml:space="preserve"> </w:t>
      </w:r>
      <w:r w:rsidR="00E44F6C">
        <w:rPr>
          <w:lang w:eastAsia="zh-CN"/>
        </w:rPr>
        <w:t>to enable</w:t>
      </w:r>
      <w:r w:rsidR="00807102">
        <w:rPr>
          <w:lang w:eastAsia="zh-CN"/>
        </w:rPr>
        <w:t xml:space="preserve"> complicated digital operation</w:t>
      </w:r>
      <w:r w:rsidR="007D6EF9">
        <w:rPr>
          <w:lang w:eastAsia="zh-CN"/>
        </w:rPr>
        <w:t>s</w:t>
      </w:r>
      <w:r w:rsidR="00807102">
        <w:rPr>
          <w:lang w:eastAsia="zh-CN"/>
        </w:rPr>
        <w:t xml:space="preserve">, e.g. sampled values </w:t>
      </w:r>
      <w:r w:rsidR="007D6EF9">
        <w:rPr>
          <w:lang w:eastAsia="zh-CN"/>
        </w:rPr>
        <w:t>in IEC 61850-9-2, where the UE-side time distribution accuracy can be up to 750ns</w:t>
      </w:r>
      <w:r w:rsidR="00E44F6C">
        <w:rPr>
          <w:lang w:eastAsia="zh-CN"/>
        </w:rPr>
        <w:t xml:space="preserve"> and cannot be ignored</w:t>
      </w:r>
      <w:r w:rsidR="007D6EF9">
        <w:rPr>
          <w:lang w:eastAsia="zh-CN"/>
        </w:rPr>
        <w:t>.</w:t>
      </w:r>
      <w:r w:rsidR="00E44F6C">
        <w:rPr>
          <w:lang w:eastAsia="zh-CN"/>
        </w:rPr>
        <w:t xml:space="preserve"> </w:t>
      </w:r>
      <w:r w:rsidR="00F716FC">
        <w:rPr>
          <w:lang w:eastAsia="zh-CN"/>
        </w:rPr>
        <w:t xml:space="preserve">In addition, the impact of </w:t>
      </w:r>
      <w:r w:rsidR="00890EEA">
        <w:rPr>
          <w:lang w:eastAsia="zh-CN"/>
        </w:rPr>
        <w:t xml:space="preserve">challenging </w:t>
      </w:r>
      <w:r w:rsidR="00AB5884">
        <w:rPr>
          <w:lang w:eastAsia="zh-CN"/>
        </w:rPr>
        <w:t xml:space="preserve">radio </w:t>
      </w:r>
      <w:r w:rsidR="00F716FC">
        <w:rPr>
          <w:lang w:eastAsia="zh-CN"/>
        </w:rPr>
        <w:t xml:space="preserve">environment and mobility </w:t>
      </w:r>
      <w:r w:rsidR="00BF00B8">
        <w:rPr>
          <w:lang w:eastAsia="zh-CN"/>
        </w:rPr>
        <w:t>requirement of</w:t>
      </w:r>
      <w:r w:rsidR="00F716FC">
        <w:rPr>
          <w:lang w:eastAsia="zh-CN"/>
        </w:rPr>
        <w:t xml:space="preserve"> mobile robots/AGV to the timing performance should be also considered in Rel-19. </w:t>
      </w:r>
      <w:r w:rsidR="00E44F6C">
        <w:rPr>
          <w:lang w:eastAsia="zh-CN"/>
        </w:rPr>
        <w:t xml:space="preserve">Therefore, a more holistic E2E approach </w:t>
      </w:r>
      <w:r w:rsidR="00F927A0">
        <w:rPr>
          <w:lang w:eastAsia="zh-CN"/>
        </w:rPr>
        <w:t>can be co</w:t>
      </w:r>
      <w:r w:rsidR="00945890">
        <w:rPr>
          <w:lang w:eastAsia="zh-CN"/>
        </w:rPr>
        <w:t>nsidered for HATS in Rel-19</w:t>
      </w:r>
      <w:r w:rsidR="007C2833">
        <w:rPr>
          <w:lang w:eastAsia="zh-CN"/>
        </w:rPr>
        <w:t xml:space="preserve"> for </w:t>
      </w:r>
      <w:r w:rsidR="00F927A0">
        <w:rPr>
          <w:lang w:eastAsia="zh-CN"/>
        </w:rPr>
        <w:t>accuracy enforcement</w:t>
      </w:r>
      <w:r w:rsidR="00D40F2A">
        <w:rPr>
          <w:lang w:eastAsia="zh-CN"/>
        </w:rPr>
        <w:t xml:space="preserve"> and timing performance enhancements</w:t>
      </w:r>
      <w:r w:rsidR="00F927A0">
        <w:rPr>
          <w:lang w:eastAsia="zh-CN"/>
        </w:rPr>
        <w:t xml:space="preserve">. </w:t>
      </w:r>
    </w:p>
    <w:p w14:paraId="77A3A6D1" w14:textId="3FB3D701" w:rsidR="00C04C1F" w:rsidRPr="001C74E2" w:rsidRDefault="00C04C1F" w:rsidP="00C04C1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7E09237" wp14:editId="18D85EA6">
            <wp:extent cx="4249420" cy="143256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EE4BAA" w14:textId="56FD6D81" w:rsidR="00C04C1F" w:rsidRDefault="00C04C1F" w:rsidP="00C04C1F">
      <w:pPr>
        <w:overflowPunct w:val="0"/>
        <w:spacing w:before="120"/>
        <w:ind w:left="432"/>
        <w:jc w:val="center"/>
        <w:textAlignment w:val="baseline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igure 2. Power distribution substation for Smart Grid (IEC 61850)</w:t>
      </w:r>
    </w:p>
    <w:p w14:paraId="3182A623" w14:textId="77777777" w:rsidR="00C04C1F" w:rsidRDefault="00C04C1F" w:rsidP="00C04C1F">
      <w:pPr>
        <w:overflowPunct w:val="0"/>
        <w:spacing w:before="120"/>
        <w:ind w:left="432"/>
        <w:jc w:val="center"/>
        <w:textAlignment w:val="baseline"/>
        <w:rPr>
          <w:lang w:val="en-GB" w:eastAsia="zh-CN"/>
        </w:rPr>
      </w:pPr>
    </w:p>
    <w:p w14:paraId="101B0ED6" w14:textId="77777777" w:rsidR="00C04C1F" w:rsidRPr="00C04C1F" w:rsidRDefault="00C04C1F" w:rsidP="00C04C1F">
      <w:pPr>
        <w:keepNext/>
        <w:keepLines/>
        <w:overflowPunct w:val="0"/>
        <w:snapToGrid/>
        <w:spacing w:before="60" w:after="180"/>
        <w:jc w:val="center"/>
        <w:textAlignment w:val="baseline"/>
        <w:rPr>
          <w:rFonts w:ascii="Arial" w:eastAsia="MS Mincho" w:hAnsi="Arial"/>
          <w:b/>
          <w:sz w:val="20"/>
          <w:szCs w:val="20"/>
          <w:lang w:val="en-GB" w:eastAsia="en-GB"/>
        </w:rPr>
      </w:pPr>
      <w:r w:rsidRPr="00C04C1F">
        <w:rPr>
          <w:rFonts w:ascii="Arial" w:eastAsia="MS Mincho" w:hAnsi="Arial"/>
          <w:b/>
          <w:sz w:val="20"/>
          <w:szCs w:val="20"/>
          <w:lang w:val="en-GB" w:eastAsia="en-GB"/>
        </w:rPr>
        <w:t>Table 5.6.2-1: Clock synchronization service performance requirements</w:t>
      </w:r>
      <w:r w:rsidRPr="00C04C1F">
        <w:rPr>
          <w:rFonts w:ascii="Arial" w:hAnsi="Arial"/>
          <w:b/>
          <w:sz w:val="20"/>
          <w:szCs w:val="20"/>
          <w:lang w:val="en-GB" w:eastAsia="en-GB"/>
        </w:rPr>
        <w:t xml:space="preserve"> </w:t>
      </w:r>
      <w:r w:rsidRPr="00C04C1F">
        <w:rPr>
          <w:rFonts w:ascii="Arial" w:eastAsia="MS Mincho" w:hAnsi="Arial"/>
          <w:b/>
          <w:sz w:val="20"/>
          <w:szCs w:val="20"/>
          <w:lang w:val="en-GB" w:eastAsia="en-GB"/>
        </w:rPr>
        <w:t>for 5G System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2468"/>
        <w:gridCol w:w="1766"/>
        <w:gridCol w:w="1653"/>
        <w:gridCol w:w="2107"/>
      </w:tblGrid>
      <w:tr w:rsidR="00C04C1F" w:rsidRPr="00C04C1F" w14:paraId="31950145" w14:textId="77777777" w:rsidTr="00FF14C4">
        <w:tc>
          <w:tcPr>
            <w:tcW w:w="913" w:type="pct"/>
            <w:shd w:val="clear" w:color="auto" w:fill="auto"/>
          </w:tcPr>
          <w:p w14:paraId="7914E94E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 xml:space="preserve">User-specific clock synchronicity accuracy level </w:t>
            </w:r>
          </w:p>
        </w:tc>
        <w:tc>
          <w:tcPr>
            <w:tcW w:w="1262" w:type="pct"/>
            <w:shd w:val="clear" w:color="auto" w:fill="auto"/>
          </w:tcPr>
          <w:p w14:paraId="324743B5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Number of devices in one communication group for clock synchronisation</w:t>
            </w:r>
          </w:p>
        </w:tc>
        <w:tc>
          <w:tcPr>
            <w:tcW w:w="903" w:type="pct"/>
            <w:shd w:val="clear" w:color="auto" w:fill="auto"/>
          </w:tcPr>
          <w:p w14:paraId="72FD3FA8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 xml:space="preserve">5GS synchronicity budget requirement </w:t>
            </w:r>
          </w:p>
          <w:p w14:paraId="7880061D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(note 1)</w:t>
            </w:r>
          </w:p>
        </w:tc>
        <w:tc>
          <w:tcPr>
            <w:tcW w:w="845" w:type="pct"/>
          </w:tcPr>
          <w:p w14:paraId="627790ED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 xml:space="preserve">Service area </w:t>
            </w:r>
          </w:p>
        </w:tc>
        <w:tc>
          <w:tcPr>
            <w:tcW w:w="1078" w:type="pct"/>
            <w:shd w:val="clear" w:color="auto" w:fill="auto"/>
          </w:tcPr>
          <w:p w14:paraId="1FFFC0D2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Scenario</w:t>
            </w:r>
          </w:p>
        </w:tc>
      </w:tr>
      <w:tr w:rsidR="00C04C1F" w:rsidRPr="00C04C1F" w14:paraId="4C7BDD6A" w14:textId="77777777" w:rsidTr="00FF14C4">
        <w:tc>
          <w:tcPr>
            <w:tcW w:w="913" w:type="pct"/>
            <w:shd w:val="clear" w:color="auto" w:fill="auto"/>
          </w:tcPr>
          <w:p w14:paraId="3C5E8AC2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1</w:t>
            </w:r>
          </w:p>
        </w:tc>
        <w:tc>
          <w:tcPr>
            <w:tcW w:w="1262" w:type="pct"/>
            <w:shd w:val="clear" w:color="auto" w:fill="auto"/>
          </w:tcPr>
          <w:p w14:paraId="11FE1463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up to 300 UEs</w:t>
            </w:r>
          </w:p>
        </w:tc>
        <w:tc>
          <w:tcPr>
            <w:tcW w:w="903" w:type="pct"/>
            <w:shd w:val="clear" w:color="auto" w:fill="auto"/>
          </w:tcPr>
          <w:p w14:paraId="5B60E09F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 w:cs="Arial"/>
                <w:sz w:val="18"/>
                <w:szCs w:val="24"/>
                <w:lang w:val="en-GB" w:eastAsia="en-GB"/>
              </w:rPr>
              <w:t>≤ </w:t>
            </w: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900 ns</w:t>
            </w:r>
          </w:p>
        </w:tc>
        <w:tc>
          <w:tcPr>
            <w:tcW w:w="845" w:type="pct"/>
          </w:tcPr>
          <w:p w14:paraId="2E96189E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≤ 100 m x 100 m</w:t>
            </w:r>
          </w:p>
        </w:tc>
        <w:tc>
          <w:tcPr>
            <w:tcW w:w="1078" w:type="pct"/>
            <w:shd w:val="clear" w:color="auto" w:fill="auto"/>
          </w:tcPr>
          <w:p w14:paraId="4F3B2B9B" w14:textId="77777777" w:rsidR="00C04C1F" w:rsidRPr="00C04C1F" w:rsidRDefault="00C04C1F" w:rsidP="00C04C1F">
            <w:pPr>
              <w:keepNext/>
              <w:keepLines/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Motion control (A.2.2.1)</w:t>
            </w:r>
          </w:p>
          <w:p w14:paraId="2C04BAB8" w14:textId="77777777" w:rsidR="00C04C1F" w:rsidRPr="00C04C1F" w:rsidRDefault="00C04C1F" w:rsidP="00C04C1F">
            <w:pPr>
              <w:keepNext/>
              <w:keepLines/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Control-to-control communication for industrial controller (A.2.2.2)</w:t>
            </w:r>
          </w:p>
        </w:tc>
      </w:tr>
      <w:tr w:rsidR="00C04C1F" w:rsidRPr="00C04C1F" w14:paraId="2FCAD2C2" w14:textId="77777777" w:rsidTr="00FF14C4">
        <w:tc>
          <w:tcPr>
            <w:tcW w:w="913" w:type="pct"/>
            <w:shd w:val="clear" w:color="auto" w:fill="auto"/>
          </w:tcPr>
          <w:p w14:paraId="46EA0AAB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2</w:t>
            </w:r>
          </w:p>
        </w:tc>
        <w:tc>
          <w:tcPr>
            <w:tcW w:w="1262" w:type="pct"/>
            <w:shd w:val="clear" w:color="auto" w:fill="auto"/>
          </w:tcPr>
          <w:p w14:paraId="1BA80FD3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up to 300 UEs</w:t>
            </w:r>
          </w:p>
        </w:tc>
        <w:tc>
          <w:tcPr>
            <w:tcW w:w="903" w:type="pct"/>
            <w:shd w:val="clear" w:color="auto" w:fill="auto"/>
          </w:tcPr>
          <w:p w14:paraId="1973D2FE" w14:textId="77777777" w:rsidR="00C04C1F" w:rsidRPr="00C04C1F" w:rsidRDefault="00C04C1F" w:rsidP="00C04C1F">
            <w:pPr>
              <w:keepNext/>
              <w:keepLines/>
              <w:tabs>
                <w:tab w:val="left" w:pos="1018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 w:cs="Arial"/>
                <w:sz w:val="18"/>
                <w:szCs w:val="24"/>
                <w:lang w:val="en-GB" w:eastAsia="en-GB"/>
              </w:rPr>
              <w:t>≤ </w:t>
            </w: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900 ns</w:t>
            </w:r>
          </w:p>
        </w:tc>
        <w:tc>
          <w:tcPr>
            <w:tcW w:w="845" w:type="pct"/>
          </w:tcPr>
          <w:p w14:paraId="0B721CBD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≤ 1,000 m x 100 m</w:t>
            </w:r>
          </w:p>
        </w:tc>
        <w:tc>
          <w:tcPr>
            <w:tcW w:w="1078" w:type="pct"/>
            <w:shd w:val="clear" w:color="auto" w:fill="auto"/>
          </w:tcPr>
          <w:p w14:paraId="33C5368F" w14:textId="77777777" w:rsidR="00C04C1F" w:rsidRPr="00C04C1F" w:rsidRDefault="00C04C1F" w:rsidP="00C04C1F">
            <w:pPr>
              <w:keepNext/>
              <w:keepLines/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Control-to-control communication for industrial controller (A.2.2.2)</w:t>
            </w:r>
          </w:p>
        </w:tc>
      </w:tr>
      <w:tr w:rsidR="00C04C1F" w:rsidRPr="00C04C1F" w14:paraId="6CB2F1BD" w14:textId="77777777" w:rsidTr="00FF14C4">
        <w:tc>
          <w:tcPr>
            <w:tcW w:w="913" w:type="pct"/>
            <w:shd w:val="clear" w:color="auto" w:fill="auto"/>
          </w:tcPr>
          <w:p w14:paraId="130428E8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3</w:t>
            </w:r>
          </w:p>
        </w:tc>
        <w:tc>
          <w:tcPr>
            <w:tcW w:w="1262" w:type="pct"/>
            <w:shd w:val="clear" w:color="auto" w:fill="auto"/>
          </w:tcPr>
          <w:p w14:paraId="21A20A40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up to 10 UEs</w:t>
            </w:r>
          </w:p>
        </w:tc>
        <w:tc>
          <w:tcPr>
            <w:tcW w:w="903" w:type="pct"/>
            <w:shd w:val="clear" w:color="auto" w:fill="auto"/>
          </w:tcPr>
          <w:p w14:paraId="606FF50B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&lt; 10 µs</w:t>
            </w:r>
          </w:p>
        </w:tc>
        <w:tc>
          <w:tcPr>
            <w:tcW w:w="845" w:type="pct"/>
          </w:tcPr>
          <w:p w14:paraId="42187EE3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eastAsia="MS Mincho" w:hAnsi="Arial"/>
                <w:sz w:val="18"/>
                <w:szCs w:val="24"/>
                <w:lang w:val="en-GB" w:eastAsia="en-GB"/>
              </w:rPr>
              <w:t>≤ 2,500 m</w:t>
            </w:r>
            <w:r w:rsidRPr="00C04C1F">
              <w:rPr>
                <w:rFonts w:ascii="Arial" w:eastAsia="MS Mincho" w:hAnsi="Arial"/>
                <w:sz w:val="18"/>
                <w:szCs w:val="24"/>
                <w:vertAlign w:val="superscript"/>
                <w:lang w:val="en-GB" w:eastAsia="en-GB"/>
              </w:rPr>
              <w:t>2</w:t>
            </w:r>
          </w:p>
        </w:tc>
        <w:tc>
          <w:tcPr>
            <w:tcW w:w="1078" w:type="pct"/>
            <w:shd w:val="clear" w:color="auto" w:fill="auto"/>
          </w:tcPr>
          <w:p w14:paraId="40C8A6C7" w14:textId="77777777" w:rsidR="00C04C1F" w:rsidRPr="00C04C1F" w:rsidRDefault="00C04C1F" w:rsidP="00C04C1F">
            <w:pPr>
              <w:keepNext/>
              <w:keepLines/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High data rate video streaming</w:t>
            </w:r>
          </w:p>
        </w:tc>
      </w:tr>
      <w:tr w:rsidR="00C04C1F" w:rsidRPr="00C04C1F" w14:paraId="7460B300" w14:textId="77777777" w:rsidTr="00FF14C4">
        <w:tc>
          <w:tcPr>
            <w:tcW w:w="913" w:type="pct"/>
            <w:shd w:val="clear" w:color="auto" w:fill="auto"/>
          </w:tcPr>
          <w:p w14:paraId="27F0CA82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3a</w:t>
            </w:r>
          </w:p>
        </w:tc>
        <w:tc>
          <w:tcPr>
            <w:tcW w:w="1262" w:type="pct"/>
            <w:shd w:val="clear" w:color="auto" w:fill="auto"/>
          </w:tcPr>
          <w:p w14:paraId="5B95B7F7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up to 100 UEs</w:t>
            </w:r>
          </w:p>
        </w:tc>
        <w:tc>
          <w:tcPr>
            <w:tcW w:w="903" w:type="pct"/>
            <w:shd w:val="clear" w:color="auto" w:fill="auto"/>
          </w:tcPr>
          <w:p w14:paraId="19BF574C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&lt; 1 µs</w:t>
            </w:r>
          </w:p>
        </w:tc>
        <w:tc>
          <w:tcPr>
            <w:tcW w:w="845" w:type="pct"/>
          </w:tcPr>
          <w:p w14:paraId="5C84CCE8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MS Mincho" w:hAnsi="Arial"/>
                <w:sz w:val="18"/>
                <w:szCs w:val="24"/>
                <w:lang w:val="en-GB" w:eastAsia="en-GB"/>
              </w:rPr>
            </w:pPr>
            <w:r w:rsidRPr="00C04C1F">
              <w:rPr>
                <w:rFonts w:ascii="Arial" w:eastAsia="MS Mincho" w:hAnsi="Arial"/>
                <w:sz w:val="18"/>
                <w:szCs w:val="24"/>
                <w:lang w:val="en-GB" w:eastAsia="en-GB"/>
              </w:rPr>
              <w:t xml:space="preserve">≤ 10 </w:t>
            </w:r>
            <w:r w:rsidRPr="00C04C1F">
              <w:rPr>
                <w:rFonts w:ascii="Arial" w:eastAsia="微软雅黑" w:hAnsi="Arial" w:cs="Arial"/>
                <w:color w:val="000000"/>
                <w:sz w:val="18"/>
                <w:szCs w:val="18"/>
                <w:lang w:val="en-GB" w:eastAsia="en-GB"/>
              </w:rPr>
              <w:t>km</w:t>
            </w:r>
            <w:r w:rsidRPr="00C04C1F">
              <w:rPr>
                <w:rFonts w:ascii="Arial" w:eastAsia="微软雅黑" w:hAnsi="Arial" w:cs="Arial"/>
                <w:color w:val="000000"/>
                <w:sz w:val="18"/>
                <w:szCs w:val="18"/>
                <w:vertAlign w:val="superscript"/>
                <w:lang w:val="en-GB" w:eastAsia="en-GB"/>
              </w:rPr>
              <w:t>2</w:t>
            </w:r>
          </w:p>
        </w:tc>
        <w:tc>
          <w:tcPr>
            <w:tcW w:w="1078" w:type="pct"/>
            <w:shd w:val="clear" w:color="auto" w:fill="auto"/>
          </w:tcPr>
          <w:p w14:paraId="6DB5D95D" w14:textId="77777777" w:rsidR="00C04C1F" w:rsidRPr="00C04C1F" w:rsidRDefault="00C04C1F" w:rsidP="00C04C1F">
            <w:pPr>
              <w:keepNext/>
              <w:keepLines/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AVPROD synchronisation and packet timing</w:t>
            </w:r>
          </w:p>
        </w:tc>
      </w:tr>
      <w:tr w:rsidR="00C04C1F" w:rsidRPr="00C04C1F" w14:paraId="0857CA29" w14:textId="77777777" w:rsidTr="00FF14C4">
        <w:tc>
          <w:tcPr>
            <w:tcW w:w="913" w:type="pct"/>
            <w:shd w:val="clear" w:color="auto" w:fill="auto"/>
          </w:tcPr>
          <w:p w14:paraId="3CC00EB2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04C1F">
              <w:rPr>
                <w:rFonts w:ascii="Arial" w:hAnsi="Arial" w:cs="Arial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262" w:type="pct"/>
            <w:shd w:val="clear" w:color="auto" w:fill="auto"/>
          </w:tcPr>
          <w:p w14:paraId="2F009AB5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04C1F">
              <w:rPr>
                <w:rFonts w:ascii="Arial" w:hAnsi="Arial" w:cs="Arial"/>
                <w:sz w:val="18"/>
                <w:szCs w:val="18"/>
                <w:lang w:val="en-GB" w:eastAsia="en-GB"/>
              </w:rPr>
              <w:t>up to 100 UEs</w:t>
            </w:r>
          </w:p>
        </w:tc>
        <w:tc>
          <w:tcPr>
            <w:tcW w:w="903" w:type="pct"/>
            <w:shd w:val="clear" w:color="auto" w:fill="auto"/>
          </w:tcPr>
          <w:p w14:paraId="453BD5A4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04C1F">
              <w:rPr>
                <w:rFonts w:ascii="Arial" w:hAnsi="Arial" w:cs="Arial"/>
                <w:sz w:val="18"/>
                <w:szCs w:val="18"/>
                <w:lang w:val="en-GB" w:eastAsia="en-GB"/>
              </w:rPr>
              <w:t>&lt; 1</w:t>
            </w:r>
            <w:r w:rsidRPr="00C04C1F" w:rsidDel="005A46E7">
              <w:rPr>
                <w:rFonts w:ascii="Arial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C04C1F">
              <w:rPr>
                <w:rFonts w:ascii="Arial" w:hAnsi="Arial" w:cs="Arial"/>
                <w:sz w:val="18"/>
                <w:szCs w:val="18"/>
                <w:lang w:val="en-GB" w:eastAsia="en-GB"/>
              </w:rPr>
              <w:t>µs</w:t>
            </w:r>
          </w:p>
        </w:tc>
        <w:tc>
          <w:tcPr>
            <w:tcW w:w="845" w:type="pct"/>
          </w:tcPr>
          <w:p w14:paraId="237FBDC9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微软雅黑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4C1F">
              <w:rPr>
                <w:rFonts w:ascii="Arial" w:eastAsia="微软雅黑" w:hAnsi="Arial" w:cs="Arial"/>
                <w:color w:val="000000"/>
                <w:sz w:val="18"/>
                <w:szCs w:val="18"/>
                <w:lang w:val="en-GB" w:eastAsia="en-GB"/>
              </w:rPr>
              <w:t>&lt; 20 km</w:t>
            </w:r>
            <w:r w:rsidRPr="00C04C1F">
              <w:rPr>
                <w:rFonts w:ascii="Arial" w:eastAsia="微软雅黑" w:hAnsi="Arial" w:cs="Arial"/>
                <w:color w:val="000000"/>
                <w:sz w:val="18"/>
                <w:szCs w:val="18"/>
                <w:vertAlign w:val="superscript"/>
                <w:lang w:val="en-GB" w:eastAsia="en-GB"/>
              </w:rPr>
              <w:t>2</w:t>
            </w:r>
          </w:p>
        </w:tc>
        <w:tc>
          <w:tcPr>
            <w:tcW w:w="1078" w:type="pct"/>
            <w:shd w:val="clear" w:color="auto" w:fill="auto"/>
          </w:tcPr>
          <w:p w14:paraId="76A08D40" w14:textId="77777777" w:rsidR="00C04C1F" w:rsidRPr="00C04C1F" w:rsidRDefault="00C04C1F" w:rsidP="00C04C1F">
            <w:pPr>
              <w:keepNext/>
              <w:keepLines/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Smart Grid: synchronicity between PMUs</w:t>
            </w:r>
          </w:p>
        </w:tc>
      </w:tr>
      <w:tr w:rsidR="00C04C1F" w:rsidRPr="00C04C1F" w14:paraId="779FD981" w14:textId="77777777" w:rsidTr="00FF14C4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2AF34EC1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4</w:t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a</w:t>
            </w:r>
          </w:p>
        </w:tc>
        <w:tc>
          <w:tcPr>
            <w:tcW w:w="1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320FD02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up to 100 UEs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339706BA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&lt; 250 ns to 1 µs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3E9CE9C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&lt; 20 km</w:t>
            </w: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²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BA8039F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Smart Grid: IEC 61850-9-2 Sampled Values</w:t>
            </w:r>
            <w:r w:rsidRPr="00C04C1F" w:rsidDel="009902B3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</w:t>
            </w:r>
          </w:p>
        </w:tc>
      </w:tr>
      <w:tr w:rsidR="00C04C1F" w:rsidRPr="00C04C1F" w14:paraId="4137238F" w14:textId="77777777" w:rsidTr="00FF14C4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5AF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4</w:t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b</w:t>
            </w:r>
          </w:p>
        </w:tc>
        <w:tc>
          <w:tcPr>
            <w:tcW w:w="1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4C31A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up to 100 UEs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D7ED5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&lt;10-20 µs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788AC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&lt; 20 km</w:t>
            </w: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²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2F96A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Smart Grid: IEC 61850-9-2 Sampled Values – Power system protection in digital substation </w:t>
            </w:r>
          </w:p>
        </w:tc>
      </w:tr>
      <w:tr w:rsidR="00C04C1F" w:rsidRPr="00C04C1F" w14:paraId="3C911E19" w14:textId="77777777" w:rsidTr="00FF14C4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0CCC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4</w:t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c</w:t>
            </w:r>
          </w:p>
        </w:tc>
        <w:tc>
          <w:tcPr>
            <w:tcW w:w="1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63E4E0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5</w:t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4/km</w:t>
            </w: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²</w:t>
            </w: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 xml:space="preserve"> </w:t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(note 2)</w:t>
            </w:r>
          </w:p>
          <w:p w14:paraId="3450151B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78/km</w:t>
            </w:r>
            <w:r w:rsidRPr="00C04C1F">
              <w:rPr>
                <w:rFonts w:ascii="Arial" w:hAnsi="Arial"/>
                <w:sz w:val="18"/>
                <w:szCs w:val="20"/>
                <w:vertAlign w:val="superscript"/>
                <w:lang w:val="en-GB" w:eastAsia="en-GB"/>
              </w:rPr>
              <w:t>2</w:t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(note 3)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67B54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&lt; </w:t>
            </w: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10 µs</w:t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65381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several km</w:t>
            </w: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²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E5DCB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Smart Grid: Intelligent Distributed Feeder Automation (A.4.4.3)</w:t>
            </w:r>
          </w:p>
        </w:tc>
      </w:tr>
      <w:tr w:rsidR="00C04C1F" w:rsidRPr="00C04C1F" w14:paraId="12A28472" w14:textId="77777777" w:rsidTr="00FF14C4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678C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4</w:t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d</w:t>
            </w:r>
          </w:p>
        </w:tc>
        <w:tc>
          <w:tcPr>
            <w:tcW w:w="1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D1DC1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up to 100 UEs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6248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&lt;1 ms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65707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&lt; 20 km</w:t>
            </w:r>
            <w:r w:rsidRPr="00C04C1F">
              <w:rPr>
                <w:rFonts w:ascii="Arial" w:hAnsi="Arial" w:hint="eastAsia"/>
                <w:sz w:val="18"/>
                <w:szCs w:val="20"/>
                <w:lang w:val="en-GB" w:eastAsia="en-GB"/>
              </w:rPr>
              <w:t>²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54631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Smart Grid: IEC 61850-9-2 Sampled Values – Event reporting and Disturbance recording </w:t>
            </w:r>
          </w:p>
        </w:tc>
      </w:tr>
      <w:tr w:rsidR="00C04C1F" w:rsidRPr="00C04C1F" w14:paraId="580A7F49" w14:textId="77777777" w:rsidTr="00FF14C4">
        <w:tc>
          <w:tcPr>
            <w:tcW w:w="913" w:type="pct"/>
            <w:shd w:val="clear" w:color="auto" w:fill="auto"/>
          </w:tcPr>
          <w:p w14:paraId="7FBFC4D9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04C1F">
              <w:rPr>
                <w:rFonts w:ascii="Arial" w:hAnsi="Arial" w:cs="Arial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262" w:type="pct"/>
            <w:shd w:val="clear" w:color="auto" w:fill="auto"/>
          </w:tcPr>
          <w:p w14:paraId="7AEFB2C1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4"/>
                <w:lang w:val="en-GB" w:eastAsia="en-GB"/>
              </w:rPr>
              <w:t>up to 10 UEs</w:t>
            </w:r>
          </w:p>
        </w:tc>
        <w:tc>
          <w:tcPr>
            <w:tcW w:w="903" w:type="pct"/>
            <w:shd w:val="clear" w:color="auto" w:fill="auto"/>
          </w:tcPr>
          <w:p w14:paraId="58A9A2E7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04C1F">
              <w:rPr>
                <w:rFonts w:ascii="Arial" w:hAnsi="Arial" w:cs="Arial"/>
                <w:sz w:val="18"/>
                <w:szCs w:val="18"/>
                <w:lang w:val="en-GB" w:eastAsia="en-GB"/>
              </w:rPr>
              <w:t>&lt; 50 µs</w:t>
            </w:r>
          </w:p>
        </w:tc>
        <w:tc>
          <w:tcPr>
            <w:tcW w:w="845" w:type="pct"/>
          </w:tcPr>
          <w:p w14:paraId="7EDB5D71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微软雅黑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4C1F">
              <w:rPr>
                <w:rFonts w:ascii="Arial" w:eastAsia="微软雅黑" w:hAnsi="Arial" w:cs="Arial"/>
                <w:color w:val="000000"/>
                <w:sz w:val="18"/>
                <w:szCs w:val="18"/>
                <w:lang w:val="en-GB" w:eastAsia="en-GB"/>
              </w:rPr>
              <w:t>400 km</w:t>
            </w:r>
          </w:p>
        </w:tc>
        <w:tc>
          <w:tcPr>
            <w:tcW w:w="1078" w:type="pct"/>
            <w:shd w:val="clear" w:color="auto" w:fill="auto"/>
          </w:tcPr>
          <w:p w14:paraId="409CBCF9" w14:textId="77777777" w:rsidR="00C04C1F" w:rsidRPr="00C04C1F" w:rsidRDefault="00C04C1F" w:rsidP="00C04C1F">
            <w:pPr>
              <w:keepNext/>
              <w:keepLines/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after="0"/>
              <w:ind w:left="240" w:hanging="24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Telesurgery (A.6.2) and telediagnosis (A.6.3)</w:t>
            </w:r>
          </w:p>
        </w:tc>
      </w:tr>
      <w:tr w:rsidR="00C04C1F" w:rsidRPr="00C04C1F" w14:paraId="615C6B06" w14:textId="77777777" w:rsidTr="00FF14C4">
        <w:tc>
          <w:tcPr>
            <w:tcW w:w="5000" w:type="pct"/>
            <w:gridSpan w:val="5"/>
            <w:shd w:val="clear" w:color="auto" w:fill="auto"/>
          </w:tcPr>
          <w:p w14:paraId="25C203C4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851" w:hanging="851"/>
              <w:jc w:val="left"/>
              <w:textAlignment w:val="baseline"/>
              <w:rPr>
                <w:rFonts w:ascii="Arial" w:eastAsia="Calibri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eastAsia="Calibri" w:hAnsi="Arial"/>
                <w:sz w:val="18"/>
                <w:lang w:val="en-GB" w:eastAsia="en-GB"/>
              </w:rPr>
              <w:t>NOTE</w:t>
            </w:r>
            <w:r w:rsidRPr="00C04C1F">
              <w:rPr>
                <w:rFonts w:ascii="Arial" w:eastAsia="Calibri" w:hAnsi="Arial"/>
                <w:sz w:val="18"/>
                <w:szCs w:val="20"/>
                <w:lang w:val="en-GB" w:eastAsia="en-GB"/>
              </w:rPr>
              <w:t xml:space="preserve"> 1</w:t>
            </w:r>
            <w:r w:rsidRPr="00C04C1F">
              <w:rPr>
                <w:rFonts w:ascii="Arial" w:eastAsia="Calibri" w:hAnsi="Arial"/>
                <w:sz w:val="18"/>
                <w:lang w:val="en-GB" w:eastAsia="en-GB"/>
              </w:rPr>
              <w:t>:</w:t>
            </w:r>
            <w:r w:rsidRPr="00C04C1F">
              <w:rPr>
                <w:rFonts w:ascii="Arial" w:eastAsia="Calibri" w:hAnsi="Arial"/>
                <w:sz w:val="18"/>
                <w:lang w:val="en-GB" w:eastAsia="en-GB"/>
              </w:rPr>
              <w:tab/>
              <w:t>The clock synchronicity requirement refers to the clock synchronicity budget for the 5G system, as described in Clause 5.6.1.</w:t>
            </w:r>
          </w:p>
          <w:p w14:paraId="1F172D6D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851" w:hanging="851"/>
              <w:jc w:val="left"/>
              <w:textAlignment w:val="baseline"/>
              <w:rPr>
                <w:rFonts w:ascii="Arial" w:eastAsia="Calibri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eastAsia="Calibri" w:hAnsi="Arial"/>
                <w:sz w:val="18"/>
                <w:szCs w:val="20"/>
                <w:lang w:val="en-GB" w:eastAsia="en-GB"/>
              </w:rPr>
              <w:t xml:space="preserve">NOTE 2: </w:t>
            </w:r>
            <w:r w:rsidRPr="00C04C1F">
              <w:rPr>
                <w:rFonts w:ascii="Arial" w:eastAsia="Calibri" w:hAnsi="Arial"/>
                <w:sz w:val="18"/>
                <w:szCs w:val="20"/>
                <w:lang w:val="en-GB" w:eastAsia="en-GB"/>
              </w:rPr>
              <w:tab/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When the distributed terminals are deployed along overhead line, about 54 terminals will be distributed along overhead lines in one square kilometre. The resulting power load density is 20 MW/km</w:t>
            </w:r>
            <w:r w:rsidRPr="00C04C1F">
              <w:rPr>
                <w:rFonts w:ascii="Arial" w:hAnsi="Arial"/>
                <w:sz w:val="18"/>
                <w:szCs w:val="20"/>
                <w:vertAlign w:val="superscript"/>
                <w:lang w:val="en-GB" w:eastAsia="en-GB"/>
              </w:rPr>
              <w:t>2</w:t>
            </w:r>
            <w:r w:rsidRPr="00C04C1F">
              <w:rPr>
                <w:rFonts w:ascii="Arial" w:eastAsia="Calibri" w:hAnsi="Arial"/>
                <w:sz w:val="18"/>
                <w:szCs w:val="20"/>
                <w:lang w:val="en-GB" w:eastAsia="en-GB"/>
              </w:rPr>
              <w:t>.</w:t>
            </w:r>
          </w:p>
          <w:p w14:paraId="5736836A" w14:textId="77777777" w:rsidR="00C04C1F" w:rsidRPr="00C04C1F" w:rsidRDefault="00C04C1F" w:rsidP="00C04C1F">
            <w:pPr>
              <w:keepNext/>
              <w:keepLines/>
              <w:overflowPunct w:val="0"/>
              <w:snapToGrid/>
              <w:spacing w:after="0"/>
              <w:ind w:left="851" w:hanging="851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C04C1F">
              <w:rPr>
                <w:rFonts w:ascii="Arial" w:eastAsia="Calibri" w:hAnsi="Arial"/>
                <w:sz w:val="18"/>
                <w:szCs w:val="20"/>
                <w:lang w:val="en-GB" w:eastAsia="en-GB"/>
              </w:rPr>
              <w:t xml:space="preserve">NOTE 3: </w:t>
            </w:r>
            <w:r w:rsidRPr="00C04C1F">
              <w:rPr>
                <w:rFonts w:ascii="Arial" w:eastAsia="Calibri" w:hAnsi="Arial"/>
                <w:sz w:val="18"/>
                <w:szCs w:val="20"/>
                <w:lang w:val="en-GB" w:eastAsia="en-GB"/>
              </w:rPr>
              <w:tab/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ab/>
              <w:t>When the distributed terminals are deployed in power distribution cabinets, there are about 78 terminals in one square kilometre. The resulting power load density is 20 MW/km</w:t>
            </w:r>
            <w:r w:rsidRPr="00C04C1F">
              <w:rPr>
                <w:rFonts w:ascii="Arial" w:hAnsi="Arial"/>
                <w:sz w:val="18"/>
                <w:szCs w:val="20"/>
                <w:vertAlign w:val="superscript"/>
                <w:lang w:val="en-GB" w:eastAsia="en-GB"/>
              </w:rPr>
              <w:t>2</w:t>
            </w:r>
            <w:r w:rsidRPr="00C04C1F">
              <w:rPr>
                <w:rFonts w:ascii="Arial" w:hAnsi="Arial"/>
                <w:sz w:val="18"/>
                <w:szCs w:val="20"/>
                <w:lang w:val="en-GB" w:eastAsia="en-GB"/>
              </w:rPr>
              <w:t>,</w:t>
            </w:r>
          </w:p>
        </w:tc>
      </w:tr>
    </w:tbl>
    <w:p w14:paraId="0B55DB69" w14:textId="77777777" w:rsidR="00FE7737" w:rsidRDefault="00FE7737" w:rsidP="00FE7737">
      <w:pPr>
        <w:overflowPunct w:val="0"/>
        <w:spacing w:before="120"/>
        <w:ind w:left="432"/>
        <w:jc w:val="center"/>
        <w:textAlignment w:val="baseline"/>
        <w:rPr>
          <w:lang w:val="en-GB" w:eastAsia="zh-CN"/>
        </w:rPr>
      </w:pPr>
    </w:p>
    <w:p w14:paraId="34EC045B" w14:textId="55E68CB3" w:rsidR="00A663EF" w:rsidRDefault="000C43D0" w:rsidP="00A663EF">
      <w:pPr>
        <w:pStyle w:val="2"/>
        <w:rPr>
          <w:rFonts w:ascii="Arial" w:hAnsi="Arial" w:cs="Arial"/>
          <w:b w:val="0"/>
          <w:sz w:val="32"/>
          <w:szCs w:val="32"/>
        </w:rPr>
      </w:pPr>
      <w:r w:rsidRPr="000C43D0">
        <w:rPr>
          <w:rFonts w:ascii="Arial" w:hAnsi="Arial" w:cs="Arial"/>
          <w:b w:val="0"/>
          <w:sz w:val="32"/>
          <w:szCs w:val="32"/>
        </w:rPr>
        <w:lastRenderedPageBreak/>
        <w:t>2.</w:t>
      </w:r>
      <w:r w:rsidR="008C4061">
        <w:rPr>
          <w:rFonts w:ascii="Arial" w:hAnsi="Arial" w:cs="Arial"/>
          <w:b w:val="0"/>
          <w:sz w:val="32"/>
          <w:szCs w:val="32"/>
        </w:rPr>
        <w:t>2</w:t>
      </w:r>
      <w:r w:rsidRPr="000C43D0">
        <w:rPr>
          <w:rFonts w:ascii="Arial" w:hAnsi="Arial" w:cs="Arial"/>
          <w:b w:val="0"/>
          <w:sz w:val="32"/>
          <w:szCs w:val="32"/>
        </w:rPr>
        <w:tab/>
      </w:r>
      <w:r>
        <w:rPr>
          <w:rFonts w:ascii="Arial" w:hAnsi="Arial" w:cs="Arial"/>
          <w:b w:val="0"/>
          <w:sz w:val="32"/>
          <w:szCs w:val="32"/>
        </w:rPr>
        <w:t>Objectives</w:t>
      </w:r>
    </w:p>
    <w:p w14:paraId="7A5BD41C" w14:textId="676E7981" w:rsidR="00A663EF" w:rsidRDefault="003D44B9" w:rsidP="003D44B9">
      <w:pPr>
        <w:pStyle w:val="3"/>
        <w:numPr>
          <w:ilvl w:val="0"/>
          <w:numId w:val="0"/>
        </w:numPr>
        <w:rPr>
          <w:rFonts w:ascii="Arial" w:hAnsi="Arial" w:cs="Arial"/>
          <w:b w:val="0"/>
          <w:sz w:val="28"/>
          <w:lang w:val="en-GB"/>
        </w:rPr>
      </w:pPr>
      <w:r>
        <w:rPr>
          <w:rFonts w:ascii="Arial" w:hAnsi="Arial" w:cs="Arial"/>
          <w:b w:val="0"/>
          <w:sz w:val="28"/>
          <w:lang w:val="en-GB"/>
        </w:rPr>
        <w:t xml:space="preserve">2.2.1 </w:t>
      </w:r>
      <w:r w:rsidR="002F3DDA">
        <w:rPr>
          <w:rFonts w:ascii="Arial" w:hAnsi="Arial" w:cs="Arial"/>
          <w:b w:val="0"/>
          <w:sz w:val="28"/>
          <w:lang w:val="en-GB"/>
        </w:rPr>
        <w:t>Timing accuracy enforcement</w:t>
      </w:r>
    </w:p>
    <w:p w14:paraId="348CB147" w14:textId="1B75960B" w:rsidR="002F3DDA" w:rsidRDefault="00A045C7" w:rsidP="002F3DDA">
      <w:pPr>
        <w:rPr>
          <w:lang w:val="en-GB"/>
        </w:rPr>
      </w:pPr>
      <w:r>
        <w:rPr>
          <w:lang w:val="en-GB"/>
        </w:rPr>
        <w:t xml:space="preserve">In earlier E2E performance analysis of RTT-based PDC method, </w:t>
      </w:r>
      <w:r w:rsidR="00F1448A" w:rsidRPr="00F1448A">
        <w:rPr>
          <w:lang w:val="en-GB"/>
        </w:rPr>
        <w:t xml:space="preserve">propagation delay </w:t>
      </w:r>
      <w:r w:rsidR="006A63E4">
        <w:rPr>
          <w:lang w:val="en-GB"/>
        </w:rPr>
        <w:t xml:space="preserve">is well-designed in the specification, which </w:t>
      </w:r>
      <w:r w:rsidR="00F1448A">
        <w:rPr>
          <w:lang w:val="en-GB"/>
        </w:rPr>
        <w:t xml:space="preserve">is </w:t>
      </w:r>
      <w:r w:rsidR="00F1448A" w:rsidRPr="00F1448A">
        <w:rPr>
          <w:lang w:val="en-GB"/>
        </w:rPr>
        <w:t xml:space="preserve">measured and compensated by </w:t>
      </w:r>
      <w:r>
        <w:rPr>
          <w:lang w:val="en-GB"/>
        </w:rPr>
        <w:t xml:space="preserve">RTT-based </w:t>
      </w:r>
      <w:r w:rsidR="00F1448A">
        <w:rPr>
          <w:lang w:val="en-GB"/>
        </w:rPr>
        <w:t>PDC via [T1’, T2’, T3’ and T4’]</w:t>
      </w:r>
      <w:r>
        <w:rPr>
          <w:lang w:val="en-GB"/>
        </w:rPr>
        <w:t xml:space="preserve">, i.e. the delay </w:t>
      </w:r>
      <w:r w:rsidR="00F1448A">
        <w:rPr>
          <w:lang w:val="en-GB"/>
        </w:rPr>
        <w:t>spans from gN</w:t>
      </w:r>
      <w:r>
        <w:rPr>
          <w:lang w:val="en-GB"/>
        </w:rPr>
        <w:t xml:space="preserve">B antenna and UE antenna, </w:t>
      </w:r>
      <w:r w:rsidR="00F1448A">
        <w:rPr>
          <w:lang w:val="en-GB"/>
        </w:rPr>
        <w:t xml:space="preserve">as shown </w:t>
      </w:r>
      <w:r w:rsidR="006A63E4">
        <w:rPr>
          <w:lang w:val="en-GB"/>
        </w:rPr>
        <w:t xml:space="preserve">in </w:t>
      </w:r>
      <w:r w:rsidR="00F1448A">
        <w:rPr>
          <w:lang w:val="en-GB"/>
        </w:rPr>
        <w:t xml:space="preserve">Figure 3. </w:t>
      </w:r>
      <w:r w:rsidR="00AE17F1">
        <w:rPr>
          <w:lang w:val="en-GB"/>
        </w:rPr>
        <w:t>T</w:t>
      </w:r>
      <w:r w:rsidR="00FF4CD7">
        <w:rPr>
          <w:lang w:val="en-GB"/>
        </w:rPr>
        <w:t xml:space="preserve">he UE-side delay/inaccuracy is not carefully considered and it is simply assumed </w:t>
      </w:r>
      <w:r w:rsidR="00AE17F1">
        <w:rPr>
          <w:lang w:val="en-GB"/>
        </w:rPr>
        <w:t>that</w:t>
      </w:r>
      <w:r w:rsidR="00E648D6">
        <w:rPr>
          <w:lang w:val="en-GB"/>
        </w:rPr>
        <w:t xml:space="preserve"> </w:t>
      </w:r>
      <w:r w:rsidR="007D088E">
        <w:rPr>
          <w:lang w:val="en-GB"/>
        </w:rPr>
        <w:t xml:space="preserve">there is </w:t>
      </w:r>
      <w:r w:rsidR="00E648D6">
        <w:rPr>
          <w:lang w:val="en-GB"/>
        </w:rPr>
        <w:t>only on</w:t>
      </w:r>
      <w:r w:rsidR="00AE17F1">
        <w:rPr>
          <w:lang w:val="en-GB"/>
        </w:rPr>
        <w:t xml:space="preserve">e TSN end-station outside 5G system and adopt </w:t>
      </w:r>
      <w:r w:rsidR="00FF4CD7">
        <w:rPr>
          <w:lang w:val="en-GB"/>
        </w:rPr>
        <w:t xml:space="preserve">50-100ns for calculation. </w:t>
      </w:r>
      <w:r w:rsidR="00AE17F1">
        <w:rPr>
          <w:lang w:val="en-GB"/>
        </w:rPr>
        <w:t>However, c</w:t>
      </w:r>
      <w:r w:rsidR="00FF4CD7">
        <w:rPr>
          <w:lang w:val="en-GB"/>
        </w:rPr>
        <w:t>onsidering the commercial use cases and diverse hardware embedded</w:t>
      </w:r>
      <w:r w:rsidR="00E648D6">
        <w:rPr>
          <w:lang w:val="en-GB"/>
        </w:rPr>
        <w:t xml:space="preserve"> at the UE</w:t>
      </w:r>
      <w:r w:rsidR="00FF4CD7">
        <w:rPr>
          <w:lang w:val="en-GB"/>
        </w:rPr>
        <w:t xml:space="preserve">, this part is one noticeable component of E2E synchronicity. </w:t>
      </w:r>
      <w:r w:rsidR="006A63E4">
        <w:rPr>
          <w:lang w:val="en-GB"/>
        </w:rPr>
        <w:t xml:space="preserve">For instance, as illustrated in Figure 2, </w:t>
      </w:r>
      <w:r w:rsidR="006A63E4">
        <w:rPr>
          <w:lang w:eastAsia="zh-CN"/>
        </w:rPr>
        <w:t>the (g)PTP sync packet</w:t>
      </w:r>
      <w:r w:rsidR="00FF4CD7">
        <w:rPr>
          <w:lang w:eastAsia="zh-CN"/>
        </w:rPr>
        <w:t xml:space="preserve"> can pass by at maximum 15 hop end-stations</w:t>
      </w:r>
      <w:r w:rsidR="006A63E4">
        <w:rPr>
          <w:lang w:eastAsia="zh-CN"/>
        </w:rPr>
        <w:t>,</w:t>
      </w:r>
      <w:r w:rsidR="00FF4CD7">
        <w:rPr>
          <w:lang w:eastAsia="zh-CN"/>
        </w:rPr>
        <w:t xml:space="preserve"> thereby causing</w:t>
      </w:r>
      <w:r w:rsidR="006A63E4">
        <w:rPr>
          <w:lang w:eastAsia="zh-CN"/>
        </w:rPr>
        <w:t xml:space="preserve"> the time distribution </w:t>
      </w:r>
      <w:r w:rsidR="00FF4CD7">
        <w:rPr>
          <w:lang w:eastAsia="zh-CN"/>
        </w:rPr>
        <w:t>delay/in</w:t>
      </w:r>
      <w:r w:rsidR="006A63E4">
        <w:rPr>
          <w:lang w:eastAsia="zh-CN"/>
        </w:rPr>
        <w:t xml:space="preserve">accuracy </w:t>
      </w:r>
      <w:r w:rsidR="00FF4CD7">
        <w:rPr>
          <w:lang w:eastAsia="zh-CN"/>
        </w:rPr>
        <w:t xml:space="preserve">to be </w:t>
      </w:r>
      <w:r w:rsidR="006A63E4">
        <w:rPr>
          <w:lang w:eastAsia="zh-CN"/>
        </w:rPr>
        <w:t>up to 750ns</w:t>
      </w:r>
      <w:r w:rsidR="00AE17F1">
        <w:rPr>
          <w:lang w:eastAsia="zh-CN"/>
        </w:rPr>
        <w:t xml:space="preserve"> (PTP instance [1-5.1.8.2] time error is +/-50ns). </w:t>
      </w:r>
      <w:r w:rsidR="00C772FB">
        <w:rPr>
          <w:lang w:eastAsia="zh-CN"/>
        </w:rPr>
        <w:t xml:space="preserve"> </w:t>
      </w:r>
    </w:p>
    <w:p w14:paraId="1479D1FA" w14:textId="5E7C7418" w:rsidR="002F3DDA" w:rsidRDefault="002F3DDA" w:rsidP="002F3DDA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23B9E16C" wp14:editId="1F01F6AB">
            <wp:extent cx="3288392" cy="2757471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700" cy="2768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138BF" w14:textId="3D4E5D3A" w:rsidR="002F3DDA" w:rsidRDefault="002F3DDA" w:rsidP="002F3DDA">
      <w:pPr>
        <w:overflowPunct w:val="0"/>
        <w:spacing w:before="120"/>
        <w:ind w:left="432"/>
        <w:jc w:val="center"/>
        <w:textAlignment w:val="baseline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igure 3. </w:t>
      </w:r>
      <w:r w:rsidR="00F1448A">
        <w:rPr>
          <w:lang w:val="en-GB" w:eastAsia="zh-CN"/>
        </w:rPr>
        <w:t>I</w:t>
      </w:r>
      <w:r w:rsidR="00F1448A">
        <w:rPr>
          <w:rFonts w:hint="eastAsia"/>
          <w:lang w:val="en-GB" w:eastAsia="zh-CN"/>
        </w:rPr>
        <w:t>llustration</w:t>
      </w:r>
      <w:r w:rsidR="00F1448A">
        <w:rPr>
          <w:lang w:val="en-GB" w:eastAsia="zh-CN"/>
        </w:rPr>
        <w:t xml:space="preserve"> of E2E synchronicity</w:t>
      </w:r>
    </w:p>
    <w:p w14:paraId="4352888E" w14:textId="2A6D74FB" w:rsidR="000C43D0" w:rsidRDefault="00C772FB" w:rsidP="000C43D0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herefore, it is required for the UE to</w:t>
      </w:r>
      <w:r w:rsidRPr="00C772FB">
        <w:rPr>
          <w:lang w:val="en-GB" w:eastAsia="zh-CN"/>
        </w:rPr>
        <w:t xml:space="preserve"> </w:t>
      </w:r>
      <w:r>
        <w:rPr>
          <w:lang w:val="en-GB" w:eastAsia="zh-CN"/>
        </w:rPr>
        <w:t>indicate</w:t>
      </w:r>
      <w:r w:rsidRPr="00C772FB">
        <w:rPr>
          <w:lang w:val="en-GB" w:eastAsia="zh-CN"/>
        </w:rPr>
        <w:t xml:space="preserve"> the related UE-side timing distribution accuracy to gNB for </w:t>
      </w:r>
      <w:r>
        <w:rPr>
          <w:lang w:val="en-GB" w:eastAsia="zh-CN"/>
        </w:rPr>
        <w:t>a holistic E2E synchronicity budget balance and more efficient radio resource utilization for providing the timing service</w:t>
      </w:r>
      <w:r w:rsidR="007C20B9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7C20B9">
        <w:rPr>
          <w:lang w:val="en-GB" w:eastAsia="zh-CN"/>
        </w:rPr>
        <w:t xml:space="preserve">The </w:t>
      </w:r>
      <w:r>
        <w:rPr>
          <w:lang w:val="en-GB" w:eastAsia="zh-CN"/>
        </w:rPr>
        <w:t>existing delay measurement and compensation mechanism</w:t>
      </w:r>
      <w:r w:rsidRPr="00C772FB">
        <w:rPr>
          <w:lang w:val="en-GB" w:eastAsia="zh-CN"/>
        </w:rPr>
        <w:t xml:space="preserve"> </w:t>
      </w:r>
      <w:r>
        <w:rPr>
          <w:lang w:val="en-GB" w:eastAsia="zh-CN"/>
        </w:rPr>
        <w:t>can be</w:t>
      </w:r>
      <w:r w:rsidRPr="00C772FB">
        <w:rPr>
          <w:lang w:val="en-GB" w:eastAsia="zh-CN"/>
        </w:rPr>
        <w:t xml:space="preserve"> </w:t>
      </w:r>
      <w:r w:rsidR="00A43470">
        <w:rPr>
          <w:lang w:val="en-GB" w:eastAsia="zh-CN"/>
        </w:rPr>
        <w:t xml:space="preserve">further </w:t>
      </w:r>
      <w:r w:rsidRPr="00C772FB">
        <w:rPr>
          <w:lang w:val="en-GB" w:eastAsia="zh-CN"/>
        </w:rPr>
        <w:t>enhanced by taking</w:t>
      </w:r>
      <w:r>
        <w:rPr>
          <w:lang w:val="en-GB" w:eastAsia="zh-CN"/>
        </w:rPr>
        <w:t xml:space="preserve"> the UE indication into account for timing accuracy enforcement. </w:t>
      </w:r>
    </w:p>
    <w:p w14:paraId="0728768F" w14:textId="2475E8CB" w:rsidR="004902F6" w:rsidRPr="004902F6" w:rsidRDefault="004902F6" w:rsidP="004902F6">
      <w:pPr>
        <w:rPr>
          <w:b/>
          <w:lang w:eastAsia="zh-CN"/>
        </w:rPr>
      </w:pPr>
      <w:r w:rsidRPr="004902F6">
        <w:rPr>
          <w:b/>
          <w:lang w:eastAsia="zh-CN"/>
        </w:rPr>
        <w:t xml:space="preserve">Proposal 1: </w:t>
      </w:r>
      <w:r w:rsidR="00321885">
        <w:rPr>
          <w:b/>
          <w:lang w:eastAsia="zh-CN"/>
        </w:rPr>
        <w:t>To introduce the indication from the t</w:t>
      </w:r>
      <w:r w:rsidRPr="004902F6">
        <w:rPr>
          <w:b/>
          <w:lang w:eastAsia="zh-CN"/>
        </w:rPr>
        <w:t xml:space="preserve">he UE </w:t>
      </w:r>
      <w:r w:rsidR="00321885">
        <w:rPr>
          <w:b/>
          <w:lang w:eastAsia="zh-CN"/>
        </w:rPr>
        <w:t>of</w:t>
      </w:r>
      <w:r w:rsidRPr="004902F6">
        <w:rPr>
          <w:b/>
          <w:lang w:eastAsia="zh-CN"/>
        </w:rPr>
        <w:t xml:space="preserve"> the related UE-side timing distribution accuracy to gNB for E2E timing accuracy enforcement.</w:t>
      </w:r>
    </w:p>
    <w:p w14:paraId="12594E95" w14:textId="5A707E39" w:rsidR="004902F6" w:rsidRPr="004902F6" w:rsidRDefault="004902F6" w:rsidP="000C43D0">
      <w:pPr>
        <w:rPr>
          <w:b/>
          <w:lang w:eastAsia="zh-CN"/>
        </w:rPr>
      </w:pPr>
      <w:r w:rsidRPr="004902F6">
        <w:rPr>
          <w:b/>
          <w:lang w:eastAsia="zh-CN"/>
        </w:rPr>
        <w:t xml:space="preserve">Proposal 2: </w:t>
      </w:r>
      <w:r w:rsidR="00321885">
        <w:rPr>
          <w:b/>
          <w:lang w:eastAsia="zh-CN"/>
        </w:rPr>
        <w:t xml:space="preserve">To enhance the </w:t>
      </w:r>
      <w:r w:rsidRPr="004902F6">
        <w:rPr>
          <w:b/>
          <w:lang w:eastAsia="zh-CN"/>
        </w:rPr>
        <w:t>E2E delay measurement and compensation by taking the UE indication into account.</w:t>
      </w:r>
    </w:p>
    <w:p w14:paraId="4847B430" w14:textId="28A73FAD" w:rsidR="00A025B5" w:rsidRDefault="004279A5" w:rsidP="004279A5">
      <w:pPr>
        <w:rPr>
          <w:lang w:val="en-GB" w:eastAsia="zh-CN"/>
        </w:rPr>
      </w:pPr>
      <w:r>
        <w:rPr>
          <w:lang w:val="en-GB" w:eastAsia="zh-CN"/>
        </w:rPr>
        <w:t>With respect to HATS, t</w:t>
      </w:r>
      <w:r w:rsidR="00694718">
        <w:rPr>
          <w:lang w:val="en-GB" w:eastAsia="zh-CN"/>
        </w:rPr>
        <w:t xml:space="preserve">he challenging radio condition is </w:t>
      </w:r>
      <w:r w:rsidR="00C83F19">
        <w:rPr>
          <w:lang w:val="en-GB" w:eastAsia="zh-CN"/>
        </w:rPr>
        <w:t>also important factor related to the timing accuracy. Fo</w:t>
      </w:r>
      <w:r>
        <w:rPr>
          <w:lang w:val="en-GB" w:eastAsia="zh-CN"/>
        </w:rPr>
        <w:t>r power distribution substations whose site</w:t>
      </w:r>
      <w:r w:rsidR="00E222E1">
        <w:rPr>
          <w:lang w:val="en-GB" w:eastAsia="zh-CN"/>
        </w:rPr>
        <w:t>s</w:t>
      </w:r>
      <w:r>
        <w:rPr>
          <w:lang w:val="en-GB" w:eastAsia="zh-CN"/>
        </w:rPr>
        <w:t xml:space="preserve"> are normally </w:t>
      </w:r>
      <w:r w:rsidRPr="004279A5">
        <w:rPr>
          <w:lang w:val="en-GB" w:eastAsia="zh-CN"/>
        </w:rPr>
        <w:t>surround</w:t>
      </w:r>
      <w:r>
        <w:rPr>
          <w:lang w:val="en-GB" w:eastAsia="zh-CN"/>
        </w:rPr>
        <w:t>ed by buildings in urban</w:t>
      </w:r>
      <w:r w:rsidR="00E222E1">
        <w:rPr>
          <w:lang w:val="en-GB" w:eastAsia="zh-CN"/>
        </w:rPr>
        <w:t xml:space="preserve"> areas</w:t>
      </w:r>
      <w:r>
        <w:rPr>
          <w:lang w:val="en-GB" w:eastAsia="zh-CN"/>
        </w:rPr>
        <w:t xml:space="preserve">, it is a typical NLOS radio environment which is subject to multi-paths at the detection. </w:t>
      </w:r>
      <w:r w:rsidRPr="004279A5">
        <w:rPr>
          <w:lang w:val="en-GB" w:eastAsia="zh-CN"/>
        </w:rPr>
        <w:t xml:space="preserve">Currently, </w:t>
      </w:r>
      <w:r w:rsidR="00495C0E">
        <w:rPr>
          <w:lang w:val="en-GB" w:eastAsia="zh-CN"/>
        </w:rPr>
        <w:t xml:space="preserve">only </w:t>
      </w:r>
      <w:r w:rsidRPr="004279A5">
        <w:rPr>
          <w:lang w:val="en-GB" w:eastAsia="zh-CN"/>
        </w:rPr>
        <w:t>the first arrival path (FAP) for both UL and DL are used for RTT</w:t>
      </w:r>
      <w:r>
        <w:rPr>
          <w:lang w:val="en-GB" w:eastAsia="zh-CN"/>
        </w:rPr>
        <w:t>-based PDC</w:t>
      </w:r>
      <w:r w:rsidRPr="004279A5">
        <w:rPr>
          <w:lang w:val="en-GB" w:eastAsia="zh-CN"/>
        </w:rPr>
        <w:t xml:space="preserve"> calcu</w:t>
      </w:r>
      <w:r>
        <w:rPr>
          <w:lang w:val="en-GB" w:eastAsia="zh-CN"/>
        </w:rPr>
        <w:t>lation</w:t>
      </w:r>
      <w:r w:rsidR="00495C0E">
        <w:rPr>
          <w:lang w:val="en-GB" w:eastAsia="zh-CN"/>
        </w:rPr>
        <w:t xml:space="preserve"> where </w:t>
      </w:r>
      <w:r w:rsidR="00321885">
        <w:rPr>
          <w:lang w:val="en-GB" w:eastAsia="zh-CN"/>
        </w:rPr>
        <w:t xml:space="preserve">the </w:t>
      </w:r>
      <w:r w:rsidR="00495C0E">
        <w:rPr>
          <w:lang w:val="en-GB" w:eastAsia="zh-CN"/>
        </w:rPr>
        <w:t>UE report</w:t>
      </w:r>
      <w:r w:rsidR="00E222E1">
        <w:rPr>
          <w:lang w:val="en-GB" w:eastAsia="zh-CN"/>
        </w:rPr>
        <w:t>s</w:t>
      </w:r>
      <w:r w:rsidR="00495C0E">
        <w:rPr>
          <w:lang w:val="en-GB" w:eastAsia="zh-CN"/>
        </w:rPr>
        <w:t xml:space="preserve"> </w:t>
      </w:r>
      <w:r w:rsidR="00321885">
        <w:rPr>
          <w:lang w:val="en-GB" w:eastAsia="zh-CN"/>
        </w:rPr>
        <w:t>its</w:t>
      </w:r>
      <w:r w:rsidR="00495C0E">
        <w:rPr>
          <w:lang w:val="en-GB" w:eastAsia="zh-CN"/>
        </w:rPr>
        <w:t xml:space="preserve"> RX-TX time difference</w:t>
      </w:r>
      <w:r>
        <w:rPr>
          <w:lang w:val="en-GB" w:eastAsia="zh-CN"/>
        </w:rPr>
        <w:t>.</w:t>
      </w:r>
      <w:r w:rsidR="00495C0E">
        <w:rPr>
          <w:lang w:val="en-GB" w:eastAsia="zh-CN"/>
        </w:rPr>
        <w:t xml:space="preserve"> In LOS environment, FAP can be simply assumed to be aligned between UL and DL because of channel reciprocity.</w:t>
      </w:r>
      <w:r>
        <w:rPr>
          <w:lang w:val="en-GB" w:eastAsia="zh-CN"/>
        </w:rPr>
        <w:t xml:space="preserve"> However, </w:t>
      </w:r>
      <w:r w:rsidR="00495C0E">
        <w:rPr>
          <w:lang w:val="en-GB" w:eastAsia="zh-CN"/>
        </w:rPr>
        <w:t>in NLOS environment</w:t>
      </w:r>
      <w:r>
        <w:rPr>
          <w:lang w:val="en-GB" w:eastAsia="zh-CN"/>
        </w:rPr>
        <w:t xml:space="preserve">, it is </w:t>
      </w:r>
      <w:r w:rsidRPr="004279A5">
        <w:rPr>
          <w:lang w:val="en-GB" w:eastAsia="zh-CN"/>
        </w:rPr>
        <w:t>prone to cause misalignment of FAP between DL and UL</w:t>
      </w:r>
      <w:r w:rsidR="00495C0E">
        <w:rPr>
          <w:lang w:val="en-GB" w:eastAsia="zh-CN"/>
        </w:rPr>
        <w:t xml:space="preserve"> thereby causing synchronicity errors</w:t>
      </w:r>
      <w:r w:rsidRPr="004279A5">
        <w:rPr>
          <w:lang w:val="en-GB" w:eastAsia="zh-CN"/>
        </w:rPr>
        <w:t>.</w:t>
      </w:r>
      <w:r w:rsidR="00495C0E">
        <w:rPr>
          <w:lang w:val="en-GB" w:eastAsia="zh-CN"/>
        </w:rPr>
        <w:t xml:space="preserve"> According to our observation</w:t>
      </w:r>
      <w:r w:rsidR="00027EC3">
        <w:rPr>
          <w:lang w:val="en-GB" w:eastAsia="zh-CN"/>
        </w:rPr>
        <w:t>s</w:t>
      </w:r>
      <w:r w:rsidR="00495C0E">
        <w:rPr>
          <w:lang w:val="en-GB" w:eastAsia="zh-CN"/>
        </w:rPr>
        <w:t xml:space="preserve"> on the dataset of practical NLOS radio channel</w:t>
      </w:r>
      <w:r w:rsidR="00E222E1">
        <w:rPr>
          <w:lang w:val="en-GB" w:eastAsia="zh-CN"/>
        </w:rPr>
        <w:t>s</w:t>
      </w:r>
      <w:r w:rsidR="0069026A">
        <w:rPr>
          <w:lang w:val="en-GB" w:eastAsia="zh-CN"/>
        </w:rPr>
        <w:t xml:space="preserve"> in Figure 5</w:t>
      </w:r>
      <w:r w:rsidR="00495C0E">
        <w:rPr>
          <w:lang w:val="en-GB" w:eastAsia="zh-CN"/>
        </w:rPr>
        <w:t>, the misalignment error can be up to 80ns for the unaligned UL and DL pat</w:t>
      </w:r>
      <w:r w:rsidR="003B0B2C">
        <w:rPr>
          <w:lang w:val="en-GB" w:eastAsia="zh-CN"/>
        </w:rPr>
        <w:t>h</w:t>
      </w:r>
      <w:r w:rsidR="00495C0E">
        <w:rPr>
          <w:lang w:val="en-GB" w:eastAsia="zh-CN"/>
        </w:rPr>
        <w:t>. Thus</w:t>
      </w:r>
      <w:r w:rsidR="00E222E1">
        <w:rPr>
          <w:lang w:val="en-GB" w:eastAsia="zh-CN"/>
        </w:rPr>
        <w:t>,</w:t>
      </w:r>
      <w:r w:rsidR="00495C0E">
        <w:rPr>
          <w:lang w:val="en-GB" w:eastAsia="zh-CN"/>
        </w:rPr>
        <w:t xml:space="preserve"> the existing UE RX-TX time difference report used in RTT-based PDC should be extended by considering the multi-path information</w:t>
      </w:r>
      <w:r w:rsidR="00D746BB">
        <w:rPr>
          <w:lang w:val="en-GB" w:eastAsia="zh-CN"/>
        </w:rPr>
        <w:t xml:space="preserve"> report</w:t>
      </w:r>
      <w:r w:rsidR="00495C0E">
        <w:rPr>
          <w:lang w:val="en-GB" w:eastAsia="zh-CN"/>
        </w:rPr>
        <w:t xml:space="preserve"> to align the UL and DL paths </w:t>
      </w:r>
      <w:r w:rsidR="006F401E">
        <w:rPr>
          <w:lang w:val="en-GB" w:eastAsia="zh-CN"/>
        </w:rPr>
        <w:t xml:space="preserve">used </w:t>
      </w:r>
      <w:r w:rsidR="00495C0E">
        <w:rPr>
          <w:lang w:val="en-GB" w:eastAsia="zh-CN"/>
        </w:rPr>
        <w:t>for RTT-based</w:t>
      </w:r>
      <w:r w:rsidR="0069026A">
        <w:rPr>
          <w:lang w:val="en-GB" w:eastAsia="zh-CN"/>
        </w:rPr>
        <w:t xml:space="preserve"> PDC in order to enforce the timing accuracy.</w:t>
      </w:r>
    </w:p>
    <w:p w14:paraId="4635CFB7" w14:textId="3742B6C3" w:rsidR="00495C0E" w:rsidRPr="004279A5" w:rsidRDefault="00495C0E" w:rsidP="004279A5">
      <w:pPr>
        <w:rPr>
          <w:lang w:val="en-GB" w:eastAsia="zh-CN"/>
        </w:rPr>
      </w:pPr>
    </w:p>
    <w:p w14:paraId="7DF6C356" w14:textId="404AD5D8" w:rsidR="00C83F19" w:rsidRDefault="00C83F19" w:rsidP="00C83F19">
      <w:pPr>
        <w:jc w:val="center"/>
        <w:rPr>
          <w:lang w:val="en-GB" w:eastAsia="zh-CN"/>
        </w:rPr>
      </w:pPr>
      <w:r w:rsidRPr="00C83F19">
        <w:rPr>
          <w:noProof/>
          <w:lang w:eastAsia="zh-CN"/>
        </w:rPr>
        <w:lastRenderedPageBreak/>
        <w:drawing>
          <wp:inline distT="0" distB="0" distL="0" distR="0" wp14:anchorId="11FA8588" wp14:editId="52E15F83">
            <wp:extent cx="2093432" cy="1599801"/>
            <wp:effectExtent l="0" t="0" r="2540" b="635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3432" cy="159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732C8" w14:textId="25040783" w:rsidR="004279A5" w:rsidRDefault="00C83F19" w:rsidP="00C83F19">
      <w:pPr>
        <w:overflowPunct w:val="0"/>
        <w:spacing w:before="120"/>
        <w:ind w:left="432"/>
        <w:jc w:val="center"/>
        <w:textAlignment w:val="baseline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igure 4. </w:t>
      </w:r>
      <w:r w:rsidR="004279A5">
        <w:rPr>
          <w:lang w:val="en-GB" w:eastAsia="zh-CN"/>
        </w:rPr>
        <w:t>Deployment of power substation in NLOS radio environment</w:t>
      </w:r>
      <w:r w:rsidR="00BC40BB">
        <w:rPr>
          <w:lang w:val="en-GB" w:eastAsia="zh-CN"/>
        </w:rPr>
        <w:t xml:space="preserve"> </w:t>
      </w:r>
    </w:p>
    <w:p w14:paraId="26A0F2CD" w14:textId="77777777" w:rsidR="004279A5" w:rsidRDefault="004279A5" w:rsidP="004279A5">
      <w:pPr>
        <w:overflowPunct w:val="0"/>
        <w:spacing w:before="120"/>
        <w:ind w:left="432"/>
        <w:textAlignment w:val="baseline"/>
        <w:rPr>
          <w:lang w:val="en-GB" w:eastAsia="zh-CN"/>
        </w:rPr>
      </w:pPr>
    </w:p>
    <w:p w14:paraId="0F23CE31" w14:textId="1AAE97B0" w:rsidR="00C83F19" w:rsidRDefault="00034426" w:rsidP="00C83F19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083AB2B2" wp14:editId="3007149D">
            <wp:extent cx="3096895" cy="2371725"/>
            <wp:effectExtent l="0" t="0" r="825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371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AAF8A2" w14:textId="4911A772" w:rsidR="00034426" w:rsidRDefault="00034426" w:rsidP="00034426">
      <w:pPr>
        <w:overflowPunct w:val="0"/>
        <w:spacing w:before="120"/>
        <w:ind w:left="432"/>
        <w:jc w:val="center"/>
        <w:textAlignment w:val="baseline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igure </w:t>
      </w:r>
      <w:r w:rsidR="0069026A">
        <w:rPr>
          <w:lang w:val="en-GB" w:eastAsia="zh-CN"/>
        </w:rPr>
        <w:t>5</w:t>
      </w:r>
      <w:r>
        <w:rPr>
          <w:lang w:val="en-GB" w:eastAsia="zh-CN"/>
        </w:rPr>
        <w:t xml:space="preserve">. </w:t>
      </w:r>
      <w:r w:rsidR="00495C0E">
        <w:rPr>
          <w:lang w:val="en-GB" w:eastAsia="zh-CN"/>
        </w:rPr>
        <w:t>Evaluation results of misalignment of UL and DL FAP</w:t>
      </w:r>
      <w:r>
        <w:rPr>
          <w:lang w:val="en-GB" w:eastAsia="zh-CN"/>
        </w:rPr>
        <w:t xml:space="preserve"> </w:t>
      </w:r>
    </w:p>
    <w:p w14:paraId="6C8E5049" w14:textId="1F82F5F7" w:rsidR="00034426" w:rsidRDefault="00C45E73" w:rsidP="00C45E73">
      <w:pPr>
        <w:rPr>
          <w:b/>
          <w:lang w:eastAsia="zh-CN"/>
        </w:rPr>
      </w:pPr>
      <w:r>
        <w:rPr>
          <w:b/>
          <w:lang w:eastAsia="zh-CN"/>
        </w:rPr>
        <w:t xml:space="preserve">Proposal 3: </w:t>
      </w:r>
      <w:r w:rsidR="00321885">
        <w:rPr>
          <w:b/>
          <w:lang w:eastAsia="zh-CN"/>
        </w:rPr>
        <w:t>To extend t</w:t>
      </w:r>
      <w:r w:rsidRPr="00C45E73">
        <w:rPr>
          <w:b/>
          <w:lang w:eastAsia="zh-CN"/>
        </w:rPr>
        <w:t>he UE RX-TX time difference by considering multi-path to align the DL and UL paths for RTT-based PDC calculation.</w:t>
      </w:r>
    </w:p>
    <w:p w14:paraId="5F05F7E8" w14:textId="77777777" w:rsidR="00C45E73" w:rsidRPr="00C45E73" w:rsidRDefault="00C45E73" w:rsidP="00C45E73">
      <w:pPr>
        <w:rPr>
          <w:b/>
          <w:lang w:eastAsia="zh-CN"/>
        </w:rPr>
      </w:pPr>
    </w:p>
    <w:p w14:paraId="419974A3" w14:textId="22ABBD88" w:rsidR="002F3DDA" w:rsidRDefault="003D44B9" w:rsidP="003D44B9">
      <w:pPr>
        <w:pStyle w:val="3"/>
        <w:numPr>
          <w:ilvl w:val="0"/>
          <w:numId w:val="0"/>
        </w:numPr>
        <w:rPr>
          <w:rFonts w:ascii="Arial" w:hAnsi="Arial" w:cs="Arial"/>
          <w:b w:val="0"/>
          <w:sz w:val="28"/>
          <w:lang w:val="en-GB"/>
        </w:rPr>
      </w:pPr>
      <w:r>
        <w:rPr>
          <w:rFonts w:ascii="Arial" w:hAnsi="Arial" w:cs="Arial"/>
          <w:b w:val="0"/>
          <w:sz w:val="28"/>
          <w:lang w:val="en-GB"/>
        </w:rPr>
        <w:t xml:space="preserve">2.2.2 </w:t>
      </w:r>
      <w:r w:rsidR="002F3DDA">
        <w:rPr>
          <w:rFonts w:ascii="Arial" w:hAnsi="Arial" w:cs="Arial"/>
          <w:b w:val="0"/>
          <w:sz w:val="28"/>
          <w:lang w:val="en-GB"/>
        </w:rPr>
        <w:t>Mobility support</w:t>
      </w:r>
    </w:p>
    <w:p w14:paraId="772CF92C" w14:textId="6048CDE8" w:rsidR="0069026A" w:rsidRDefault="0069026A" w:rsidP="0069026A">
      <w:r w:rsidRPr="0069026A">
        <w:t>Mobility enhances flexibility in the manufacturing process as specified in TS 22.104, which is important to 5G</w:t>
      </w:r>
      <w:r w:rsidR="000A53A0">
        <w:t>S integration with TSN.</w:t>
      </w:r>
      <w:r w:rsidR="000A53A0">
        <w:rPr>
          <w:rFonts w:hint="eastAsia"/>
          <w:lang w:eastAsia="zh-CN"/>
        </w:rPr>
        <w:t xml:space="preserve"> </w:t>
      </w:r>
      <w:r w:rsidRPr="0069026A">
        <w:t>However, the sync master change due to UE’s mobility could cause considerable interruption time and accuracy loss for the timing service performance in 5GS.</w:t>
      </w:r>
      <w:r w:rsidR="00AF5454">
        <w:t xml:space="preserve"> </w:t>
      </w:r>
      <w:r w:rsidR="00B40F15">
        <w:t xml:space="preserve">The sync master change can be possible in the scenario of multiple working clock domains </w:t>
      </w:r>
      <w:r w:rsidR="00736502">
        <w:t>where each working clock domain has a sync master</w:t>
      </w:r>
      <w:r w:rsidR="00B40F15">
        <w:t xml:space="preserve">. </w:t>
      </w:r>
      <w:r w:rsidR="00AF5454">
        <w:t>For instance, as shown in Figure 6, w</w:t>
      </w:r>
      <w:r w:rsidR="00AF5454" w:rsidRPr="00AF5454">
        <w:t>hen robot (UE#4) moves to a production line to participate in a task, it needs to sync with domain#2</w:t>
      </w:r>
      <w:r w:rsidR="00B40F15">
        <w:t xml:space="preserve"> while originally it </w:t>
      </w:r>
      <w:r w:rsidR="00AE77CA">
        <w:t>was</w:t>
      </w:r>
      <w:r w:rsidR="00B40F15">
        <w:t xml:space="preserve"> associated with domain #1</w:t>
      </w:r>
      <w:r w:rsidR="00AF5454" w:rsidRPr="00AF5454">
        <w:t>. According</w:t>
      </w:r>
      <w:r w:rsidR="00736502">
        <w:t xml:space="preserve">ly, the gNB </w:t>
      </w:r>
      <w:r w:rsidR="00AE77CA">
        <w:t>re-</w:t>
      </w:r>
      <w:r w:rsidR="00736502">
        <w:t>issue</w:t>
      </w:r>
      <w:r w:rsidR="00AE77CA">
        <w:t>s</w:t>
      </w:r>
      <w:r w:rsidR="00736502">
        <w:t xml:space="preserve"> the timing </w:t>
      </w:r>
      <w:r w:rsidR="00AE77CA">
        <w:t xml:space="preserve">for UE#2 based on </w:t>
      </w:r>
      <w:r w:rsidR="00AF5454" w:rsidRPr="00AF5454">
        <w:t>domain#2.</w:t>
      </w:r>
      <w:r w:rsidR="00B40F15">
        <w:t xml:space="preserve"> </w:t>
      </w:r>
    </w:p>
    <w:p w14:paraId="135FFF67" w14:textId="5BA46AC0" w:rsidR="0069026A" w:rsidRDefault="0069026A" w:rsidP="0069026A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050052FD" wp14:editId="5F2464AC">
            <wp:extent cx="4444779" cy="2431556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455" cy="24373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8BCEE3" w14:textId="4CBC2197" w:rsidR="0069026A" w:rsidRDefault="0069026A" w:rsidP="0069026A">
      <w:pPr>
        <w:overflowPunct w:val="0"/>
        <w:spacing w:before="120"/>
        <w:ind w:left="432"/>
        <w:jc w:val="center"/>
        <w:textAlignment w:val="baseline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igure 6. </w:t>
      </w:r>
      <w:r w:rsidR="00FB2B82">
        <w:rPr>
          <w:lang w:val="en-GB" w:eastAsia="zh-CN"/>
        </w:rPr>
        <w:t>Merging of multiple working clock domains</w:t>
      </w:r>
      <w:r>
        <w:rPr>
          <w:lang w:val="en-GB" w:eastAsia="zh-CN"/>
        </w:rPr>
        <w:t xml:space="preserve"> </w:t>
      </w:r>
    </w:p>
    <w:p w14:paraId="3D5C120D" w14:textId="0E720B12" w:rsidR="000C43D0" w:rsidRDefault="00FB2B82" w:rsidP="000C43D0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herefore, the impact of mobility to the timing performance due to sync master change should be considered in Rel-19 and one possible direction is </w:t>
      </w:r>
      <w:r w:rsidR="002339AA">
        <w:rPr>
          <w:lang w:val="en-GB" w:eastAsia="zh-CN"/>
        </w:rPr>
        <w:t xml:space="preserve">5GS </w:t>
      </w:r>
      <w:r>
        <w:rPr>
          <w:lang w:val="en-GB" w:eastAsia="zh-CN"/>
        </w:rPr>
        <w:t xml:space="preserve">awareness of working clock domain change to </w:t>
      </w:r>
      <w:r w:rsidR="006C6AC2">
        <w:rPr>
          <w:lang w:val="en-GB" w:eastAsia="zh-CN"/>
        </w:rPr>
        <w:t xml:space="preserve">timely </w:t>
      </w:r>
      <w:r w:rsidR="000A6E11">
        <w:rPr>
          <w:lang w:val="en-GB" w:eastAsia="zh-CN"/>
        </w:rPr>
        <w:t xml:space="preserve">react to </w:t>
      </w:r>
      <w:r>
        <w:rPr>
          <w:lang w:val="en-GB" w:eastAsia="zh-CN"/>
        </w:rPr>
        <w:t>the sync mas</w:t>
      </w:r>
      <w:r w:rsidR="00AE77CA">
        <w:rPr>
          <w:lang w:val="en-GB" w:eastAsia="zh-CN"/>
        </w:rPr>
        <w:t>ter</w:t>
      </w:r>
      <w:r w:rsidR="006C6AC2">
        <w:rPr>
          <w:lang w:val="en-GB" w:eastAsia="zh-CN"/>
        </w:rPr>
        <w:t xml:space="preserve"> change during the mobility. </w:t>
      </w:r>
    </w:p>
    <w:p w14:paraId="03047A2B" w14:textId="7E22C983" w:rsidR="00C45E73" w:rsidRDefault="00C45E73" w:rsidP="000C43D0">
      <w:pPr>
        <w:rPr>
          <w:b/>
          <w:lang w:eastAsia="zh-CN"/>
        </w:rPr>
      </w:pPr>
      <w:r w:rsidRPr="00C45E73">
        <w:rPr>
          <w:b/>
          <w:lang w:eastAsia="zh-CN"/>
        </w:rPr>
        <w:t xml:space="preserve">Proposal 4: </w:t>
      </w:r>
      <w:r w:rsidR="00321885">
        <w:rPr>
          <w:b/>
          <w:lang w:eastAsia="zh-CN"/>
        </w:rPr>
        <w:t xml:space="preserve">To introduce the </w:t>
      </w:r>
      <w:r>
        <w:rPr>
          <w:b/>
          <w:lang w:eastAsia="zh-CN"/>
        </w:rPr>
        <w:t xml:space="preserve">5GS awareness of working clock domain change to </w:t>
      </w:r>
      <w:r w:rsidRPr="00C45E73">
        <w:rPr>
          <w:b/>
          <w:lang w:eastAsia="zh-CN"/>
        </w:rPr>
        <w:t>optimize the timing service performance due to UE’s mobility</w:t>
      </w:r>
      <w:r w:rsidR="00321885">
        <w:rPr>
          <w:b/>
          <w:lang w:eastAsia="zh-CN"/>
        </w:rPr>
        <w:t>.</w:t>
      </w:r>
    </w:p>
    <w:p w14:paraId="2AE8B164" w14:textId="77777777" w:rsidR="00C45E73" w:rsidRPr="00C45E73" w:rsidRDefault="00C45E73" w:rsidP="000C43D0">
      <w:pPr>
        <w:rPr>
          <w:b/>
          <w:lang w:eastAsia="zh-CN"/>
        </w:rPr>
      </w:pPr>
    </w:p>
    <w:p w14:paraId="059D9531" w14:textId="7BF39593" w:rsidR="000C43D0" w:rsidRDefault="000C43D0" w:rsidP="000C43D0">
      <w:pPr>
        <w:pStyle w:val="2"/>
        <w:rPr>
          <w:rFonts w:ascii="Arial" w:hAnsi="Arial" w:cs="Arial"/>
          <w:b w:val="0"/>
          <w:sz w:val="32"/>
          <w:szCs w:val="32"/>
        </w:rPr>
      </w:pPr>
      <w:r w:rsidRPr="000C43D0">
        <w:rPr>
          <w:rFonts w:ascii="Arial" w:hAnsi="Arial" w:cs="Arial"/>
          <w:b w:val="0"/>
          <w:sz w:val="32"/>
          <w:szCs w:val="32"/>
        </w:rPr>
        <w:t>2.</w:t>
      </w:r>
      <w:r w:rsidR="008C4061">
        <w:rPr>
          <w:rFonts w:ascii="Arial" w:hAnsi="Arial" w:cs="Arial"/>
          <w:b w:val="0"/>
          <w:sz w:val="32"/>
          <w:szCs w:val="32"/>
        </w:rPr>
        <w:t>3</w:t>
      </w:r>
      <w:r w:rsidRPr="000C43D0">
        <w:rPr>
          <w:rFonts w:ascii="Arial" w:hAnsi="Arial" w:cs="Arial"/>
          <w:b w:val="0"/>
          <w:sz w:val="32"/>
          <w:szCs w:val="32"/>
        </w:rPr>
        <w:tab/>
      </w:r>
      <w:r>
        <w:rPr>
          <w:rFonts w:ascii="Arial" w:hAnsi="Arial" w:cs="Arial"/>
          <w:b w:val="0"/>
          <w:sz w:val="32"/>
          <w:szCs w:val="32"/>
        </w:rPr>
        <w:t>Potential scope of WI</w:t>
      </w:r>
    </w:p>
    <w:p w14:paraId="3BEA24F7" w14:textId="36527B59" w:rsidR="00C45E73" w:rsidRDefault="00524C45" w:rsidP="006C6AC2">
      <w:pPr>
        <w:rPr>
          <w:lang w:eastAsia="zh-CN"/>
        </w:rPr>
      </w:pPr>
      <w:r>
        <w:rPr>
          <w:lang w:eastAsia="zh-CN"/>
        </w:rPr>
        <w:t>Considering the various requirement</w:t>
      </w:r>
      <w:r w:rsidR="00611D63">
        <w:rPr>
          <w:lang w:eastAsia="zh-CN"/>
        </w:rPr>
        <w:t>s</w:t>
      </w:r>
      <w:r>
        <w:rPr>
          <w:lang w:eastAsia="zh-CN"/>
        </w:rPr>
        <w:t xml:space="preserve"> from practical use cases, UE-side timing distribution accuracy, challenging radio condition of NLOS environment and mobility are identified as important factors impact</w:t>
      </w:r>
      <w:r w:rsidR="00611D63">
        <w:rPr>
          <w:lang w:eastAsia="zh-CN"/>
        </w:rPr>
        <w:t>ing</w:t>
      </w:r>
      <w:r>
        <w:rPr>
          <w:lang w:eastAsia="zh-CN"/>
        </w:rPr>
        <w:t xml:space="preserve"> the timing performance. Thus, a more holistic E2E approach </w:t>
      </w:r>
      <w:r w:rsidR="00611D63">
        <w:rPr>
          <w:lang w:eastAsia="zh-CN"/>
        </w:rPr>
        <w:t xml:space="preserve">should </w:t>
      </w:r>
      <w:r>
        <w:rPr>
          <w:lang w:eastAsia="zh-CN"/>
        </w:rPr>
        <w:t>be considered for HATS in Rel-19 for accuracy enforcement and timing performance enhancements. The potential scope of a WI can be 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17E54" w14:paraId="218EB189" w14:textId="77777777" w:rsidTr="00317E54">
        <w:tc>
          <w:tcPr>
            <w:tcW w:w="9307" w:type="dxa"/>
          </w:tcPr>
          <w:p w14:paraId="480C696A" w14:textId="77777777" w:rsidR="00317E54" w:rsidRPr="006C6AC2" w:rsidRDefault="00317E54" w:rsidP="00317E54">
            <w:pPr>
              <w:numPr>
                <w:ilvl w:val="0"/>
                <w:numId w:val="37"/>
              </w:numPr>
            </w:pPr>
            <w:r w:rsidRPr="006C6AC2">
              <w:rPr>
                <w:b/>
                <w:bCs/>
              </w:rPr>
              <w:t>Timing accuracy enforcement</w:t>
            </w:r>
          </w:p>
          <w:p w14:paraId="1F34F4E8" w14:textId="77777777" w:rsidR="00317E54" w:rsidRPr="006C6AC2" w:rsidRDefault="00317E54" w:rsidP="00317E54">
            <w:pPr>
              <w:numPr>
                <w:ilvl w:val="1"/>
                <w:numId w:val="37"/>
              </w:numPr>
            </w:pPr>
            <w:r w:rsidRPr="006C6AC2">
              <w:t>To further enhance E2E delay measurement and compensation for timing accuracy enforcement [</w:t>
            </w:r>
            <w:r w:rsidRPr="006C6AC2">
              <w:rPr>
                <w:b/>
                <w:bCs/>
              </w:rPr>
              <w:t>RAN2</w:t>
            </w:r>
            <w:r w:rsidRPr="006C6AC2">
              <w:t>, RAN1, RAN4]</w:t>
            </w:r>
          </w:p>
          <w:p w14:paraId="4DA42340" w14:textId="77777777" w:rsidR="00317E54" w:rsidRPr="006C6AC2" w:rsidRDefault="00317E54" w:rsidP="00317E54">
            <w:pPr>
              <w:numPr>
                <w:ilvl w:val="2"/>
                <w:numId w:val="37"/>
              </w:numPr>
            </w:pPr>
            <w:r w:rsidRPr="006C6AC2">
              <w:t>The UE indicates the related UE-side timing distribution accuracy to gNB for E2E timing accuracy enforcement.</w:t>
            </w:r>
          </w:p>
          <w:p w14:paraId="2CE92638" w14:textId="77777777" w:rsidR="00317E54" w:rsidRPr="006C6AC2" w:rsidRDefault="00317E54" w:rsidP="00317E54">
            <w:pPr>
              <w:numPr>
                <w:ilvl w:val="2"/>
                <w:numId w:val="37"/>
              </w:numPr>
            </w:pPr>
            <w:r w:rsidRPr="006C6AC2">
              <w:t>E2E delay measurement and compensation is enhanced by taking the UE indication into account.</w:t>
            </w:r>
          </w:p>
          <w:p w14:paraId="076BEF44" w14:textId="77777777" w:rsidR="00317E54" w:rsidRPr="006C6AC2" w:rsidRDefault="00317E54" w:rsidP="00317E54">
            <w:pPr>
              <w:numPr>
                <w:ilvl w:val="3"/>
                <w:numId w:val="37"/>
              </w:numPr>
            </w:pPr>
            <w:r w:rsidRPr="006C6AC2">
              <w:rPr>
                <w:i/>
                <w:iCs/>
              </w:rPr>
              <w:t>NOTE1: The UE-side timing distribution (in)accuracy can be up to 15hops/750ns as specified in TS 22.104.</w:t>
            </w:r>
          </w:p>
          <w:p w14:paraId="52C6AAAA" w14:textId="77777777" w:rsidR="00317E54" w:rsidRPr="006C6AC2" w:rsidRDefault="00317E54" w:rsidP="00317E54">
            <w:pPr>
              <w:numPr>
                <w:ilvl w:val="1"/>
                <w:numId w:val="37"/>
              </w:numPr>
            </w:pPr>
            <w:r w:rsidRPr="006C6AC2">
              <w:t>To mitigate the prorogation delay errors in NLOS for timing accuracy enforcement [</w:t>
            </w:r>
            <w:r w:rsidRPr="006C6AC2">
              <w:rPr>
                <w:b/>
                <w:bCs/>
              </w:rPr>
              <w:t>RAN2</w:t>
            </w:r>
            <w:r w:rsidRPr="006C6AC2">
              <w:t>, RAN1]</w:t>
            </w:r>
          </w:p>
          <w:p w14:paraId="2A8E26FB" w14:textId="77777777" w:rsidR="00317E54" w:rsidRPr="006C6AC2" w:rsidRDefault="00317E54" w:rsidP="00317E54">
            <w:pPr>
              <w:numPr>
                <w:ilvl w:val="2"/>
                <w:numId w:val="37"/>
              </w:numPr>
            </w:pPr>
            <w:r w:rsidRPr="006C6AC2">
              <w:t xml:space="preserve">The UE RX-TX time difference is extended to consider multi-path to align the DL and UL paths for RTT-based PDC calculation. </w:t>
            </w:r>
          </w:p>
          <w:p w14:paraId="2A7A4240" w14:textId="77777777" w:rsidR="00317E54" w:rsidRPr="006C6AC2" w:rsidRDefault="00317E54" w:rsidP="00317E54">
            <w:pPr>
              <w:numPr>
                <w:ilvl w:val="0"/>
                <w:numId w:val="37"/>
              </w:numPr>
            </w:pPr>
            <w:r w:rsidRPr="006C6AC2">
              <w:rPr>
                <w:b/>
                <w:bCs/>
              </w:rPr>
              <w:t>Mobility support across working clock domains</w:t>
            </w:r>
          </w:p>
          <w:p w14:paraId="2F4C6DA3" w14:textId="265924B7" w:rsidR="00317E54" w:rsidRPr="006C6AC2" w:rsidRDefault="00C45E73" w:rsidP="00317E54">
            <w:pPr>
              <w:numPr>
                <w:ilvl w:val="1"/>
                <w:numId w:val="37"/>
              </w:numPr>
            </w:pPr>
            <w:r>
              <w:t>5GS a</w:t>
            </w:r>
            <w:r w:rsidR="00317E54" w:rsidRPr="006C6AC2">
              <w:t>wareness of working clock domain change to optimize the timing service performance due to UE’s mobility [</w:t>
            </w:r>
            <w:r w:rsidR="00317E54" w:rsidRPr="006C6AC2">
              <w:rPr>
                <w:b/>
                <w:bCs/>
              </w:rPr>
              <w:t>RAN3</w:t>
            </w:r>
            <w:r w:rsidR="00317E54" w:rsidRPr="006C6AC2">
              <w:t>, RAN2]</w:t>
            </w:r>
          </w:p>
          <w:p w14:paraId="0B5D9E4D" w14:textId="02D606AF" w:rsidR="00317E54" w:rsidRDefault="00317E54" w:rsidP="006C6AC2">
            <w:pPr>
              <w:numPr>
                <w:ilvl w:val="2"/>
                <w:numId w:val="37"/>
              </w:numPr>
            </w:pPr>
            <w:r w:rsidRPr="006C6AC2">
              <w:t xml:space="preserve"> </w:t>
            </w:r>
            <w:r w:rsidRPr="006C6AC2">
              <w:rPr>
                <w:i/>
                <w:iCs/>
              </w:rPr>
              <w:t>NOTE2: SA2 coordination is needed.</w:t>
            </w:r>
          </w:p>
        </w:tc>
      </w:tr>
    </w:tbl>
    <w:p w14:paraId="3998A01A" w14:textId="77777777" w:rsidR="000C43D0" w:rsidRDefault="000C43D0" w:rsidP="000C43D0">
      <w:pPr>
        <w:overflowPunct w:val="0"/>
        <w:spacing w:before="120"/>
        <w:ind w:left="432"/>
        <w:textAlignment w:val="baseline"/>
      </w:pPr>
    </w:p>
    <w:p w14:paraId="6F3094E7" w14:textId="46C2712A" w:rsidR="00524C45" w:rsidRPr="00524C45" w:rsidRDefault="00524C45" w:rsidP="00524C45">
      <w:pPr>
        <w:rPr>
          <w:b/>
          <w:lang w:eastAsia="zh-CN"/>
        </w:rPr>
      </w:pPr>
      <w:r w:rsidRPr="00C45E73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C45E73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High accuracy timing service (HATS) should be considered as a </w:t>
      </w:r>
      <w:r w:rsidR="00487814">
        <w:rPr>
          <w:b/>
          <w:lang w:eastAsia="zh-CN"/>
        </w:rPr>
        <w:t xml:space="preserve">RAN2-led </w:t>
      </w:r>
      <w:r>
        <w:rPr>
          <w:b/>
          <w:lang w:eastAsia="zh-CN"/>
        </w:rPr>
        <w:t>WI in Rel-19</w:t>
      </w:r>
      <w:r w:rsidR="00321885">
        <w:rPr>
          <w:b/>
          <w:lang w:eastAsia="zh-CN"/>
        </w:rPr>
        <w:t xml:space="preserve"> by taking proposal 1-4 into account</w:t>
      </w:r>
      <w:r>
        <w:rPr>
          <w:b/>
          <w:lang w:eastAsia="zh-CN"/>
        </w:rPr>
        <w:t>.</w:t>
      </w:r>
    </w:p>
    <w:p w14:paraId="62F559D4" w14:textId="77777777" w:rsidR="00E728FB" w:rsidRPr="00C02CCE" w:rsidRDefault="00E728FB" w:rsidP="001836E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 w:hint="eastAsia"/>
          <w:b w:val="0"/>
          <w:bCs w:val="0"/>
          <w:sz w:val="36"/>
          <w:szCs w:val="20"/>
          <w:lang w:eastAsia="en-GB"/>
        </w:rPr>
        <w:t>Conclusion</w:t>
      </w:r>
    </w:p>
    <w:p w14:paraId="7983FFC4" w14:textId="08D5B52D" w:rsidR="00E728FB" w:rsidRPr="00C02CCE" w:rsidRDefault="00E728FB" w:rsidP="0034068D">
      <w:r w:rsidRPr="00C02CCE">
        <w:rPr>
          <w:lang w:eastAsia="zh-CN"/>
        </w:rPr>
        <w:t>In this</w:t>
      </w:r>
      <w:r w:rsidR="00487814">
        <w:rPr>
          <w:lang w:eastAsia="zh-CN"/>
        </w:rPr>
        <w:t xml:space="preserve"> paper, we provide our views on HATS in Rel-19 with the following proposals:</w:t>
      </w:r>
    </w:p>
    <w:p w14:paraId="60B396C9" w14:textId="77777777" w:rsidR="00321885" w:rsidRPr="004902F6" w:rsidRDefault="00321885" w:rsidP="00321885">
      <w:pPr>
        <w:rPr>
          <w:b/>
          <w:lang w:eastAsia="zh-CN"/>
        </w:rPr>
      </w:pPr>
      <w:r w:rsidRPr="004902F6">
        <w:rPr>
          <w:b/>
          <w:lang w:eastAsia="zh-CN"/>
        </w:rPr>
        <w:t xml:space="preserve">Proposal 1: </w:t>
      </w:r>
      <w:r>
        <w:rPr>
          <w:b/>
          <w:lang w:eastAsia="zh-CN"/>
        </w:rPr>
        <w:t>To introduce the indication from the t</w:t>
      </w:r>
      <w:r w:rsidRPr="004902F6">
        <w:rPr>
          <w:b/>
          <w:lang w:eastAsia="zh-CN"/>
        </w:rPr>
        <w:t xml:space="preserve">he UE </w:t>
      </w:r>
      <w:r>
        <w:rPr>
          <w:b/>
          <w:lang w:eastAsia="zh-CN"/>
        </w:rPr>
        <w:t>of</w:t>
      </w:r>
      <w:r w:rsidRPr="004902F6">
        <w:rPr>
          <w:b/>
          <w:lang w:eastAsia="zh-CN"/>
        </w:rPr>
        <w:t xml:space="preserve"> the related UE-side timing distribution accuracy to gNB for E2E timing accuracy enforcement.</w:t>
      </w:r>
    </w:p>
    <w:p w14:paraId="46498B45" w14:textId="77777777" w:rsidR="00321885" w:rsidRDefault="00321885" w:rsidP="00321885">
      <w:pPr>
        <w:rPr>
          <w:b/>
          <w:lang w:eastAsia="zh-CN"/>
        </w:rPr>
      </w:pPr>
      <w:r w:rsidRPr="004902F6">
        <w:rPr>
          <w:b/>
          <w:lang w:eastAsia="zh-CN"/>
        </w:rPr>
        <w:t xml:space="preserve">Proposal 2: </w:t>
      </w:r>
      <w:r>
        <w:rPr>
          <w:b/>
          <w:lang w:eastAsia="zh-CN"/>
        </w:rPr>
        <w:t xml:space="preserve">To enhance the </w:t>
      </w:r>
      <w:r w:rsidRPr="004902F6">
        <w:rPr>
          <w:b/>
          <w:lang w:eastAsia="zh-CN"/>
        </w:rPr>
        <w:t>E2E delay measurement and compensation by taking the UE indication into account.</w:t>
      </w:r>
      <w:r w:rsidRPr="00321885">
        <w:rPr>
          <w:b/>
          <w:lang w:eastAsia="zh-CN"/>
        </w:rPr>
        <w:t xml:space="preserve"> </w:t>
      </w:r>
    </w:p>
    <w:p w14:paraId="3F4B3AC5" w14:textId="0E70BDC5" w:rsidR="00321885" w:rsidRDefault="00321885" w:rsidP="00321885">
      <w:pPr>
        <w:rPr>
          <w:b/>
          <w:lang w:eastAsia="zh-CN"/>
        </w:rPr>
      </w:pPr>
      <w:r>
        <w:rPr>
          <w:b/>
          <w:lang w:eastAsia="zh-CN"/>
        </w:rPr>
        <w:t>Proposal 3: To extend t</w:t>
      </w:r>
      <w:r w:rsidRPr="00C45E73">
        <w:rPr>
          <w:b/>
          <w:lang w:eastAsia="zh-CN"/>
        </w:rPr>
        <w:t>he UE RX-TX time difference by considering multi-path to align the DL and UL paths for RTT-based PDC calculation.</w:t>
      </w:r>
    </w:p>
    <w:p w14:paraId="3C55E65E" w14:textId="77777777" w:rsidR="00321885" w:rsidRDefault="00321885" w:rsidP="00321885">
      <w:pPr>
        <w:rPr>
          <w:b/>
          <w:lang w:eastAsia="zh-CN"/>
        </w:rPr>
      </w:pPr>
      <w:r w:rsidRPr="00C45E73">
        <w:rPr>
          <w:b/>
          <w:lang w:eastAsia="zh-CN"/>
        </w:rPr>
        <w:t xml:space="preserve">Proposal 4: </w:t>
      </w:r>
      <w:r>
        <w:rPr>
          <w:b/>
          <w:lang w:eastAsia="zh-CN"/>
        </w:rPr>
        <w:t xml:space="preserve">To introduce the 5GS awareness of working clock domain change to </w:t>
      </w:r>
      <w:r w:rsidRPr="00C45E73">
        <w:rPr>
          <w:b/>
          <w:lang w:eastAsia="zh-CN"/>
        </w:rPr>
        <w:t>optimize the timing service performance due to UE’s mobility</w:t>
      </w:r>
      <w:r>
        <w:rPr>
          <w:b/>
          <w:lang w:eastAsia="zh-CN"/>
        </w:rPr>
        <w:t>.</w:t>
      </w:r>
    </w:p>
    <w:p w14:paraId="64AC8A0A" w14:textId="29CB2A36" w:rsidR="00321885" w:rsidRPr="004902F6" w:rsidRDefault="00321885" w:rsidP="00321885">
      <w:pPr>
        <w:rPr>
          <w:b/>
          <w:lang w:eastAsia="zh-CN"/>
        </w:rPr>
      </w:pPr>
      <w:r w:rsidRPr="00C45E73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C45E73">
        <w:rPr>
          <w:b/>
          <w:lang w:eastAsia="zh-CN"/>
        </w:rPr>
        <w:t xml:space="preserve">: </w:t>
      </w:r>
      <w:r>
        <w:rPr>
          <w:b/>
          <w:lang w:eastAsia="zh-CN"/>
        </w:rPr>
        <w:t>High accuracy timing service (HATS) should be considered as a RAN2-led WI in Rel-19 by taking proposal 1-4 into account.</w:t>
      </w:r>
    </w:p>
    <w:p w14:paraId="724546CD" w14:textId="294FF913" w:rsidR="00487814" w:rsidRPr="00487814" w:rsidRDefault="00487814" w:rsidP="00C02CCE">
      <w:pPr>
        <w:rPr>
          <w:b/>
          <w:lang w:eastAsia="zh-CN"/>
        </w:rPr>
      </w:pPr>
    </w:p>
    <w:p w14:paraId="1A2DC6FE" w14:textId="77777777" w:rsidR="00E728FB" w:rsidRPr="00C02CCE" w:rsidRDefault="00E728FB" w:rsidP="001836E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References</w:t>
      </w:r>
    </w:p>
    <w:bookmarkEnd w:id="3"/>
    <w:p w14:paraId="1AFF74D0" w14:textId="72582D5D" w:rsidR="00152EE2" w:rsidRPr="00C02CCE" w:rsidRDefault="00B4193A" w:rsidP="00B4193A">
      <w:pPr>
        <w:pStyle w:val="References"/>
      </w:pPr>
      <w:r>
        <w:t>3GPP TS 22.104</w:t>
      </w:r>
    </w:p>
    <w:sectPr w:rsidR="00152EE2" w:rsidRPr="00C02C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939CF" w14:textId="77777777" w:rsidR="00594DD2" w:rsidRDefault="00594DD2">
      <w:r>
        <w:separator/>
      </w:r>
    </w:p>
  </w:endnote>
  <w:endnote w:type="continuationSeparator" w:id="0">
    <w:p w14:paraId="31403790" w14:textId="77777777" w:rsidR="00594DD2" w:rsidRDefault="00594DD2">
      <w:r>
        <w:continuationSeparator/>
      </w:r>
    </w:p>
  </w:endnote>
  <w:endnote w:type="continuationNotice" w:id="1">
    <w:p w14:paraId="2BCCFE6F" w14:textId="77777777" w:rsidR="00594DD2" w:rsidRDefault="00594D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D4C76" w14:textId="77777777" w:rsidR="00594DD2" w:rsidRDefault="00594DD2">
      <w:r>
        <w:separator/>
      </w:r>
    </w:p>
  </w:footnote>
  <w:footnote w:type="continuationSeparator" w:id="0">
    <w:p w14:paraId="4FEB0CAB" w14:textId="77777777" w:rsidR="00594DD2" w:rsidRDefault="00594DD2">
      <w:r>
        <w:continuationSeparator/>
      </w:r>
    </w:p>
  </w:footnote>
  <w:footnote w:type="continuationNotice" w:id="1">
    <w:p w14:paraId="698FCFC7" w14:textId="77777777" w:rsidR="00594DD2" w:rsidRDefault="00594D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86421D"/>
    <w:multiLevelType w:val="hybridMultilevel"/>
    <w:tmpl w:val="164A6CE8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1E8470D9"/>
    <w:multiLevelType w:val="hybridMultilevel"/>
    <w:tmpl w:val="65E6975C"/>
    <w:lvl w:ilvl="0" w:tplc="91FE67EC">
      <w:numFmt w:val="bullet"/>
      <w:lvlText w:val="•"/>
      <w:lvlJc w:val="left"/>
      <w:pPr>
        <w:ind w:left="838" w:hanging="420"/>
      </w:pPr>
      <w:rPr>
        <w:rFonts w:ascii="Arial" w:hAnsi="Arial" w:cs="Times New Roman" w:hint="default"/>
      </w:rPr>
    </w:lvl>
    <w:lvl w:ilvl="1" w:tplc="C6DA1A48">
      <w:numFmt w:val="bullet"/>
      <w:lvlText w:val="-"/>
      <w:lvlJc w:val="left"/>
      <w:pPr>
        <w:ind w:left="125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7" w15:restartNumberingAfterBreak="0">
    <w:nsid w:val="205E5E14"/>
    <w:multiLevelType w:val="hybridMultilevel"/>
    <w:tmpl w:val="4420E70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28E21595"/>
    <w:multiLevelType w:val="hybridMultilevel"/>
    <w:tmpl w:val="4CD62968"/>
    <w:lvl w:ilvl="0" w:tplc="F0ACBF8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0CFC6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C26BE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449D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90725A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9D1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D85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11CA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0039E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75CFC"/>
    <w:multiLevelType w:val="hybridMultilevel"/>
    <w:tmpl w:val="19567966"/>
    <w:lvl w:ilvl="0" w:tplc="A910339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638B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4442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237A4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CE554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2D30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CE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F0D48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30E7C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EC01CD"/>
    <w:multiLevelType w:val="hybridMultilevel"/>
    <w:tmpl w:val="84CA97E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7393DCE"/>
    <w:multiLevelType w:val="hybridMultilevel"/>
    <w:tmpl w:val="6D86412E"/>
    <w:lvl w:ilvl="0" w:tplc="CCB861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5AF71A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C6872C"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94EFD2"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616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3E072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64C5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E06A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5007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D51BE7"/>
    <w:multiLevelType w:val="hybridMultilevel"/>
    <w:tmpl w:val="3DECEF6C"/>
    <w:lvl w:ilvl="0" w:tplc="2F787D66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F30306"/>
    <w:multiLevelType w:val="hybridMultilevel"/>
    <w:tmpl w:val="51B2A12E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868EC2A">
      <w:numFmt w:val="bullet"/>
      <w:lvlText w:val="-"/>
      <w:lvlJc w:val="left"/>
      <w:pPr>
        <w:ind w:left="1265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6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8A70435"/>
    <w:multiLevelType w:val="hybridMultilevel"/>
    <w:tmpl w:val="4D726F34"/>
    <w:lvl w:ilvl="0" w:tplc="A96AF89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0D40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A3772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AB6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E3F4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602AB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E7D8E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884EE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8C0E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C73098"/>
    <w:multiLevelType w:val="hybridMultilevel"/>
    <w:tmpl w:val="C6D68008"/>
    <w:lvl w:ilvl="0" w:tplc="760C233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623CF1"/>
    <w:multiLevelType w:val="hybridMultilevel"/>
    <w:tmpl w:val="62A24252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16EC44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466570"/>
    <w:multiLevelType w:val="hybridMultilevel"/>
    <w:tmpl w:val="767AA6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33908"/>
    <w:multiLevelType w:val="hybridMultilevel"/>
    <w:tmpl w:val="FEA21BD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6D511D33"/>
    <w:multiLevelType w:val="hybridMultilevel"/>
    <w:tmpl w:val="6288582E"/>
    <w:lvl w:ilvl="0" w:tplc="7A78E8E0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184DB0"/>
    <w:multiLevelType w:val="hybridMultilevel"/>
    <w:tmpl w:val="C0340BBA"/>
    <w:lvl w:ilvl="0" w:tplc="0868EC2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05872"/>
    <w:multiLevelType w:val="hybridMultilevel"/>
    <w:tmpl w:val="60CE3CC0"/>
    <w:lvl w:ilvl="0" w:tplc="5ADAC99E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81354C0"/>
    <w:multiLevelType w:val="hybridMultilevel"/>
    <w:tmpl w:val="FEA6B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20"/>
  </w:num>
  <w:num w:numId="4">
    <w:abstractNumId w:val="16"/>
  </w:num>
  <w:num w:numId="5">
    <w:abstractNumId w:val="29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6"/>
  </w:num>
  <w:num w:numId="9">
    <w:abstractNumId w:val="2"/>
  </w:num>
  <w:num w:numId="10">
    <w:abstractNumId w:val="10"/>
  </w:num>
  <w:num w:numId="11">
    <w:abstractNumId w:val="10"/>
  </w:num>
  <w:num w:numId="12">
    <w:abstractNumId w:val="10"/>
  </w:num>
  <w:num w:numId="13">
    <w:abstractNumId w:val="21"/>
  </w:num>
  <w:num w:numId="14">
    <w:abstractNumId w:val="0"/>
  </w:num>
  <w:num w:numId="15">
    <w:abstractNumId w:val="8"/>
  </w:num>
  <w:num w:numId="16">
    <w:abstractNumId w:val="9"/>
  </w:num>
  <w:num w:numId="17">
    <w:abstractNumId w:val="17"/>
  </w:num>
  <w:num w:numId="18">
    <w:abstractNumId w:val="1"/>
  </w:num>
  <w:num w:numId="19">
    <w:abstractNumId w:val="19"/>
  </w:num>
  <w:num w:numId="20">
    <w:abstractNumId w:val="25"/>
  </w:num>
  <w:num w:numId="21">
    <w:abstractNumId w:val="22"/>
  </w:num>
  <w:num w:numId="22">
    <w:abstractNumId w:val="4"/>
  </w:num>
  <w:num w:numId="23">
    <w:abstractNumId w:val="23"/>
  </w:num>
  <w:num w:numId="24">
    <w:abstractNumId w:val="14"/>
  </w:num>
  <w:num w:numId="2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0"/>
  </w:num>
  <w:num w:numId="27">
    <w:abstractNumId w:val="11"/>
  </w:num>
  <w:num w:numId="28">
    <w:abstractNumId w:val="7"/>
  </w:num>
  <w:num w:numId="29">
    <w:abstractNumId w:val="5"/>
  </w:num>
  <w:num w:numId="30">
    <w:abstractNumId w:val="13"/>
  </w:num>
  <w:num w:numId="31">
    <w:abstractNumId w:val="27"/>
  </w:num>
  <w:num w:numId="32">
    <w:abstractNumId w:val="3"/>
  </w:num>
  <w:num w:numId="3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4"/>
  </w:num>
  <w:num w:numId="35">
    <w:abstractNumId w:val="18"/>
  </w:num>
  <w:num w:numId="36">
    <w:abstractNumId w:val="28"/>
  </w:num>
  <w:num w:numId="3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7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3B5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27EC3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426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682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1B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CC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3FE2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97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0E9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A0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E11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0B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3D0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E2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94D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7EE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AC7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4E2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AA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7C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3EBC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36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87D48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7EF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D8E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04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DDA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54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885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4EC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20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2C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B9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C9D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7D8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279A5"/>
    <w:rsid w:val="00427EA5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298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4AC6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14"/>
    <w:rsid w:val="00487877"/>
    <w:rsid w:val="004878E9"/>
    <w:rsid w:val="00487C49"/>
    <w:rsid w:val="00487F3F"/>
    <w:rsid w:val="004901D6"/>
    <w:rsid w:val="004902F6"/>
    <w:rsid w:val="004905A4"/>
    <w:rsid w:val="00490E00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C0E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6A0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486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C45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0DE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DD2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C5C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09D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13A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63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039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58B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26A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182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18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3E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D59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AC2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1E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502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E0E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0B8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51F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938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6CA8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0B9"/>
    <w:rsid w:val="007C23CE"/>
    <w:rsid w:val="007C27AC"/>
    <w:rsid w:val="007C2833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8E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EF9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102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1F0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0EEA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83A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5D6E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2D0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061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1EF1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59C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DEB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890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1F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19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76C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4F4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6A0"/>
    <w:rsid w:val="009D7792"/>
    <w:rsid w:val="009D78EA"/>
    <w:rsid w:val="009D7B4D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52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52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5B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5C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50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70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76C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4F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3EF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35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34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84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1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7CA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D19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4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10F"/>
    <w:rsid w:val="00B05211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1E7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4C5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15"/>
    <w:rsid w:val="00B40F8E"/>
    <w:rsid w:val="00B411BD"/>
    <w:rsid w:val="00B4120F"/>
    <w:rsid w:val="00B413E2"/>
    <w:rsid w:val="00B41559"/>
    <w:rsid w:val="00B418E8"/>
    <w:rsid w:val="00B4193A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26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E3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7E8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1FD5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E5F"/>
    <w:rsid w:val="00BC3F63"/>
    <w:rsid w:val="00BC40BB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572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6F2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0B8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CE7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D0E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CCE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C1F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539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7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C93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2FB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3F1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D6B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B4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0E7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45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028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0F2A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8FC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6BB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6A2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14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4F1C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754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2E1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88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237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4F6C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8D6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8FB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47E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9F8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04E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74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3F78"/>
    <w:rsid w:val="00F1433C"/>
    <w:rsid w:val="00F14353"/>
    <w:rsid w:val="00F14417"/>
    <w:rsid w:val="00F14470"/>
    <w:rsid w:val="00F14482"/>
    <w:rsid w:val="00F1448A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6FC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163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7A0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2B82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37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4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CD7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21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0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-5">
    <w:name w:val="Grid Table 5 Dark Accent 5"/>
    <w:basedOn w:val="a1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1"/>
    <w:rsid w:val="001836E6"/>
    <w:rPr>
      <w:b/>
      <w:bCs/>
      <w:sz w:val="28"/>
      <w:szCs w:val="28"/>
    </w:rPr>
  </w:style>
  <w:style w:type="paragraph" w:customStyle="1" w:styleId="Reference">
    <w:name w:val="Reference"/>
    <w:basedOn w:val="a3"/>
    <w:locked/>
    <w:rsid w:val="000C43D0"/>
    <w:pPr>
      <w:numPr>
        <w:numId w:val="35"/>
      </w:numPr>
      <w:autoSpaceDE/>
      <w:autoSpaceDN/>
      <w:adjustRightInd/>
      <w:snapToGrid/>
      <w:spacing w:line="259" w:lineRule="auto"/>
    </w:pPr>
    <w:rPr>
      <w:rFonts w:ascii="Arial" w:eastAsiaTheme="minorHAnsi" w:hAnsi="Arial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58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341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9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89959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371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330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0640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86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840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3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70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3949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4687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3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9682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778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11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7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8623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902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13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463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843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43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98C3A-D992-4ECA-9438-B57573A23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HW_Yang</cp:lastModifiedBy>
  <cp:revision>2</cp:revision>
  <cp:lastPrinted>2018-12-18T01:25:00Z</cp:lastPrinted>
  <dcterms:created xsi:type="dcterms:W3CDTF">2023-09-04T10:30:00Z</dcterms:created>
  <dcterms:modified xsi:type="dcterms:W3CDTF">2023-09-04T10:30:00Z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(3)riSX7zh9zZycwbQqRwG5sC5KqI4aRGDEN6CenPEm15murt2W0Ojo8HRFyJvpYNxEcWFM3yCL
eoCMBnOO9FxAyyBak2Am7PRvL797UYaVsNnws8xLf81QVc8HRY4pzBKgq+bgdXT4EPDZGB2C
xIXFd97+sDj3jWtdO950tyqoi5KjOwQtIawToGAOs79zbBz2OQj5YtkY8Er6HHHnqKIgkww8
SDms6uYY4WMttVHnqu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elMKojn6U/+cdzI1E5GrZ7lmWNVt1XMKN9wKwlbHldZQaTSTJQUJIC
FNgAfy9N0ftRNweX7iZgRE38Pz8LXIsJHZeN1+AVIupKSCya1UZ3J/q4dUJQEXYeKH/TcVbJ
UWJlnkQhTR+hmPNUbUEjusicO8V6IU/dUkVOESM2m5uLh/5E4/pQMGYSPHA/soSyhIGpHt0T
eeXr50KzD1/Ez/aiytZmBF031oegyVwwoEEU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Im4NqhmXVVlnnZzlwx5dXhp9tWVksIoOwNXa
se/2U6t33LC2lNX7TOt5rQXrMciFuw==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1693359848</vt:lpwstr>
  </property>
</Properties>
</file>