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5D634AF2"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ED206C">
        <w:rPr>
          <w:rFonts w:ascii="Arial" w:hAnsi="Arial" w:cs="Arial"/>
          <w:b/>
          <w:sz w:val="22"/>
          <w:szCs w:val="22"/>
        </w:rPr>
        <w:t>120</w:t>
      </w:r>
      <w:r>
        <w:rPr>
          <w:rFonts w:ascii="Arial" w:hAnsi="Arial" w:cs="Arial"/>
          <w:b/>
          <w:sz w:val="22"/>
          <w:szCs w:val="22"/>
        </w:rPr>
        <w:tab/>
        <w:t>S3-25</w:t>
      </w:r>
      <w:r w:rsidR="00673246">
        <w:rPr>
          <w:rFonts w:ascii="Arial" w:hAnsi="Arial" w:cs="Arial"/>
          <w:b/>
          <w:sz w:val="22"/>
          <w:szCs w:val="22"/>
        </w:rPr>
        <w:t>0349</w:t>
      </w:r>
    </w:p>
    <w:p w14:paraId="2CEEC297" w14:textId="562E0D1A" w:rsidR="00CC4471" w:rsidRPr="00963B60" w:rsidRDefault="00075B33" w:rsidP="00963B60">
      <w:pPr>
        <w:pStyle w:val="CRCoverPage"/>
        <w:outlineLvl w:val="0"/>
        <w:rPr>
          <w:b/>
          <w:bCs/>
          <w:noProof/>
          <w:sz w:val="24"/>
        </w:rPr>
      </w:pPr>
      <w:r>
        <w:rPr>
          <w:rFonts w:cs="Arial"/>
          <w:b/>
          <w:bCs/>
          <w:sz w:val="22"/>
          <w:szCs w:val="22"/>
        </w:rPr>
        <w:t>Athens, GR</w:t>
      </w:r>
      <w:r w:rsidR="00963B60" w:rsidRPr="00963B60">
        <w:rPr>
          <w:rFonts w:cs="Arial"/>
          <w:b/>
          <w:bCs/>
          <w:sz w:val="22"/>
          <w:szCs w:val="22"/>
        </w:rPr>
        <w:t>, 1</w:t>
      </w:r>
      <w:r w:rsidR="005B62F7">
        <w:rPr>
          <w:rFonts w:cs="Arial"/>
          <w:b/>
          <w:bCs/>
          <w:sz w:val="22"/>
          <w:szCs w:val="22"/>
        </w:rPr>
        <w:t>7</w:t>
      </w:r>
      <w:r w:rsidR="00963B60" w:rsidRPr="00963B60">
        <w:rPr>
          <w:rFonts w:cs="Arial"/>
          <w:b/>
          <w:bCs/>
          <w:sz w:val="22"/>
          <w:szCs w:val="22"/>
        </w:rPr>
        <w:t xml:space="preserve"> -</w:t>
      </w:r>
      <w:r w:rsidR="005B62F7">
        <w:rPr>
          <w:rFonts w:cs="Arial"/>
          <w:b/>
          <w:bCs/>
          <w:sz w:val="22"/>
          <w:szCs w:val="22"/>
        </w:rPr>
        <w:t>2</w:t>
      </w:r>
      <w:r w:rsidR="00963B60" w:rsidRPr="00963B60">
        <w:rPr>
          <w:rFonts w:cs="Arial"/>
          <w:b/>
          <w:bCs/>
          <w:sz w:val="22"/>
          <w:szCs w:val="22"/>
        </w:rPr>
        <w:t xml:space="preserve">1 </w:t>
      </w:r>
      <w:r w:rsidR="005B62F7">
        <w:rPr>
          <w:rFonts w:cs="Arial"/>
          <w:b/>
          <w:bCs/>
          <w:sz w:val="22"/>
          <w:szCs w:val="22"/>
        </w:rPr>
        <w:t>February</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0672ABD3" w14:textId="1BA0D1F8" w:rsidR="00A556CE" w:rsidRDefault="00A556CE" w:rsidP="00A556C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NCSC</w:t>
      </w:r>
      <w:r w:rsidR="00DB0679">
        <w:rPr>
          <w:rFonts w:ascii="Arial" w:hAnsi="Arial" w:cs="Arial"/>
          <w:b/>
          <w:bCs/>
          <w:lang w:val="en-US"/>
        </w:rPr>
        <w:t>, MITRE-</w:t>
      </w:r>
      <w:r w:rsidR="00FD42FA">
        <w:rPr>
          <w:rFonts w:ascii="Arial" w:hAnsi="Arial" w:cs="Arial"/>
          <w:b/>
          <w:bCs/>
          <w:lang w:val="en-US"/>
        </w:rPr>
        <w:t>FFRDC, OTD-US, NSA</w:t>
      </w:r>
    </w:p>
    <w:p w14:paraId="4B70226D" w14:textId="736875D2" w:rsidR="00580631" w:rsidRDefault="00580631" w:rsidP="0058063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Initial Trust in the NF </w:t>
      </w:r>
      <w:r w:rsidR="00F7292C">
        <w:rPr>
          <w:rFonts w:ascii="Arial" w:hAnsi="Arial" w:cs="Arial"/>
          <w:b/>
          <w:bCs/>
          <w:lang w:val="en-US"/>
        </w:rPr>
        <w:t>for</w:t>
      </w:r>
      <w:r>
        <w:rPr>
          <w:rFonts w:ascii="Arial" w:hAnsi="Arial" w:cs="Arial"/>
          <w:b/>
          <w:bCs/>
          <w:lang w:val="en-US"/>
        </w:rPr>
        <w:t xml:space="preserve"> </w:t>
      </w:r>
      <w:r w:rsidRPr="00F32C7B">
        <w:rPr>
          <w:rFonts w:ascii="Arial" w:hAnsi="Arial" w:cs="Arial"/>
          <w:b/>
          <w:bCs/>
        </w:rPr>
        <w:t xml:space="preserve">ACME </w:t>
      </w:r>
      <w:r>
        <w:rPr>
          <w:rFonts w:ascii="Arial" w:hAnsi="Arial" w:cs="Arial"/>
          <w:b/>
          <w:bCs/>
        </w:rPr>
        <w:t>account creation</w:t>
      </w:r>
    </w:p>
    <w:p w14:paraId="5D3FA967" w14:textId="77777777" w:rsidR="00A556CE" w:rsidRDefault="00A556CE" w:rsidP="00A556C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E52C52F" w14:textId="747AAB4C" w:rsidR="00A556CE" w:rsidRDefault="00A556CE" w:rsidP="00A556C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D4F90">
        <w:rPr>
          <w:rFonts w:ascii="Arial" w:hAnsi="Arial" w:cs="Arial"/>
          <w:b/>
          <w:bCs/>
          <w:lang w:val="en-US"/>
        </w:rPr>
        <w:t>4.18</w:t>
      </w:r>
    </w:p>
    <w:p w14:paraId="78638412" w14:textId="453F05BF" w:rsidR="00A556CE" w:rsidRDefault="00A556CE" w:rsidP="00A556C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F32D8">
        <w:rPr>
          <w:rFonts w:ascii="Arial" w:hAnsi="Arial" w:cs="Arial"/>
          <w:b/>
          <w:bCs/>
          <w:lang w:val="en-US"/>
        </w:rPr>
        <w:t>-</w:t>
      </w:r>
    </w:p>
    <w:p w14:paraId="1CCEAB3D" w14:textId="649FA907" w:rsidR="00A556CE" w:rsidRDefault="00A556CE" w:rsidP="00A556C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E2BD0">
        <w:rPr>
          <w:rFonts w:ascii="Arial" w:hAnsi="Arial" w:cs="Arial"/>
          <w:b/>
          <w:bCs/>
          <w:lang w:val="en-US"/>
        </w:rPr>
        <w:t>-</w:t>
      </w:r>
    </w:p>
    <w:p w14:paraId="3F8C1103" w14:textId="77777777" w:rsidR="00A556CE" w:rsidRDefault="00A556CE" w:rsidP="00A556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ACME_SBA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6FAA668" w14:textId="10F99011" w:rsidR="002F32D8" w:rsidRDefault="00E54C0A">
      <w:pPr>
        <w:pStyle w:val="CRCoverPage"/>
        <w:rPr>
          <w:b/>
          <w:lang w:val="en-US"/>
        </w:rPr>
      </w:pPr>
      <w:r>
        <w:rPr>
          <w:b/>
          <w:lang w:val="en-US"/>
        </w:rPr>
        <w:t>Comments</w:t>
      </w:r>
    </w:p>
    <w:p w14:paraId="0EDBDA22" w14:textId="779E4DB1" w:rsidR="00292441" w:rsidRDefault="002F32D8">
      <w:pPr>
        <w:rPr>
          <w:lang w:val="en-US"/>
        </w:rPr>
      </w:pPr>
      <w:r>
        <w:rPr>
          <w:lang w:val="en-US"/>
        </w:rPr>
        <w:t xml:space="preserve">This TDoc suggests a mechanism </w:t>
      </w:r>
      <w:r w:rsidR="00292441">
        <w:rPr>
          <w:lang w:val="en-US"/>
        </w:rPr>
        <w:t>for establishing initial trust. The text is intended to be include in the draftCR created for the ACME_SBA WID</w:t>
      </w:r>
      <w:r w:rsidR="00AA56BA">
        <w:rPr>
          <w:lang w:val="en-US"/>
        </w:rPr>
        <w:t>.</w:t>
      </w:r>
    </w:p>
    <w:p w14:paraId="7F00947A" w14:textId="12CC997F" w:rsidR="00A25192" w:rsidRDefault="00A25192">
      <w:pPr>
        <w:rPr>
          <w:lang w:val="en-US"/>
        </w:rPr>
      </w:pPr>
      <w:r>
        <w:rPr>
          <w:lang w:val="en-US"/>
        </w:rPr>
        <w:t>In this proposed change [XX] is the ACME RFC</w:t>
      </w:r>
      <w:r w:rsidR="00BB24A6">
        <w:rPr>
          <w:lang w:val="en-US"/>
        </w:rPr>
        <w:t xml:space="preserve"> reference inherited from the draftCR</w:t>
      </w:r>
      <w:r w:rsidR="00B3593C">
        <w:rPr>
          <w:lang w:val="en-US"/>
        </w:rPr>
        <w:t>.</w:t>
      </w:r>
    </w:p>
    <w:p w14:paraId="1C909CBD" w14:textId="4AF2CFCF" w:rsidR="00D30DA0" w:rsidRDefault="006C43B5">
      <w:pPr>
        <w:rPr>
          <w:lang w:val="en-US"/>
        </w:rPr>
      </w:pPr>
      <w:r>
        <w:rPr>
          <w:lang w:val="en-US"/>
        </w:rPr>
        <w:t>The ACME mechanism for establishing initial trust via an external authorizing entity</w:t>
      </w:r>
      <w:r w:rsidR="0063680E">
        <w:rPr>
          <w:lang w:val="en-US"/>
        </w:rPr>
        <w:t xml:space="preserve"> when creating a new ACME account</w:t>
      </w:r>
      <w:r w:rsidR="00390D08">
        <w:rPr>
          <w:lang w:val="en-US"/>
        </w:rPr>
        <w:t xml:space="preserve"> is External Account Binding</w:t>
      </w:r>
      <w:r>
        <w:rPr>
          <w:lang w:val="en-US"/>
        </w:rPr>
        <w:t xml:space="preserve">. In this instance </w:t>
      </w:r>
      <w:r w:rsidR="0063680E">
        <w:rPr>
          <w:lang w:val="en-US"/>
        </w:rPr>
        <w:t xml:space="preserve">the external authorizer </w:t>
      </w:r>
      <w:r>
        <w:rPr>
          <w:lang w:val="en-US"/>
        </w:rPr>
        <w:t xml:space="preserve">is the OAM software. </w:t>
      </w:r>
      <w:r w:rsidR="00E80B1B">
        <w:rPr>
          <w:lang w:val="en-US"/>
        </w:rPr>
        <w:t xml:space="preserve">The mechanism is </w:t>
      </w:r>
      <w:r w:rsidR="000117A7">
        <w:rPr>
          <w:lang w:val="en-US"/>
        </w:rPr>
        <w:t xml:space="preserve">comparable with the IAK mechanism of RFC 4210 form CMPv2 adopted in TS 33.310 using OAM generated symmetric keys </w:t>
      </w:r>
      <w:r w:rsidR="00D5056D">
        <w:rPr>
          <w:lang w:val="en-US"/>
        </w:rPr>
        <w:t xml:space="preserve">issued to the NF to create a MAC, and shared </w:t>
      </w:r>
      <w:r w:rsidR="00C026E4">
        <w:rPr>
          <w:lang w:val="en-US"/>
        </w:rPr>
        <w:t xml:space="preserve">out-of-band </w:t>
      </w:r>
      <w:r w:rsidR="00D5056D">
        <w:rPr>
          <w:lang w:val="en-US"/>
        </w:rPr>
        <w:t>with</w:t>
      </w:r>
      <w:r w:rsidR="00C026E4">
        <w:rPr>
          <w:lang w:val="en-US"/>
        </w:rPr>
        <w:t xml:space="preserve"> the CA.</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5FA41D" w14:textId="77777777" w:rsidR="005A5828" w:rsidRDefault="005A5828" w:rsidP="005A5828">
      <w:pPr>
        <w:pStyle w:val="Heading2"/>
      </w:pPr>
      <w:r>
        <w:rPr>
          <w:highlight w:val="green"/>
        </w:rPr>
        <w:t>YY</w:t>
      </w:r>
      <w:r>
        <w:t xml:space="preserve">.2 </w:t>
      </w:r>
      <w:r>
        <w:tab/>
        <w:t>Initial trust</w:t>
      </w:r>
    </w:p>
    <w:p w14:paraId="5527AA46" w14:textId="77777777" w:rsidR="005A5828" w:rsidRDefault="005A5828" w:rsidP="005A5828">
      <w:pPr>
        <w:pStyle w:val="Heading3"/>
      </w:pPr>
    </w:p>
    <w:p w14:paraId="6DBC330B" w14:textId="77777777" w:rsidR="005A5828" w:rsidRDefault="005A5828" w:rsidP="005A5828">
      <w:pPr>
        <w:pStyle w:val="Heading3"/>
      </w:pPr>
      <w:r w:rsidRPr="00EE698B">
        <w:rPr>
          <w:highlight w:val="green"/>
        </w:rPr>
        <w:t>YY</w:t>
      </w:r>
      <w:r>
        <w:t>.2.1 Overview</w:t>
      </w:r>
    </w:p>
    <w:p w14:paraId="3F459F97" w14:textId="591D6A37" w:rsidR="005A5828" w:rsidRDefault="005A5828" w:rsidP="005A5828">
      <w:r>
        <w:t>Initial trust</w:t>
      </w:r>
      <w:r w:rsidR="00DF62FB">
        <w:t xml:space="preserve"> </w:t>
      </w:r>
      <w:r>
        <w:t xml:space="preserve">in the NF by the CA should be established prior to or during the account creation stage. This prevents unauthorized entities from creating accounts and attempting to request certificates. Failure to do this could lead to resource exhaustion and </w:t>
      </w:r>
      <w:r w:rsidR="00704117">
        <w:t xml:space="preserve">to </w:t>
      </w:r>
      <w:r>
        <w:t>increas</w:t>
      </w:r>
      <w:r w:rsidR="00704117">
        <w:t>ing</w:t>
      </w:r>
      <w:r>
        <w:t xml:space="preserve"> the attack surface</w:t>
      </w:r>
      <w:r w:rsidR="00DB1E46">
        <w:t xml:space="preserve"> for </w:t>
      </w:r>
      <w:r>
        <w:t>obtain</w:t>
      </w:r>
      <w:r w:rsidR="00DB1E46">
        <w:t>ing</w:t>
      </w:r>
      <w:r>
        <w:t xml:space="preserve"> mis-issued certificates.</w:t>
      </w:r>
    </w:p>
    <w:p w14:paraId="6D082770" w14:textId="0E69D2FF" w:rsidR="005A5828" w:rsidRDefault="005A5828" w:rsidP="005A5828">
      <w:r>
        <w:t xml:space="preserve">The mechanism for establishing initial trust uses external account binding as specified in </w:t>
      </w:r>
      <w:r w:rsidR="00711FC5">
        <w:t xml:space="preserve">section </w:t>
      </w:r>
      <w:r>
        <w:t>7.3.4 of [</w:t>
      </w:r>
      <w:r w:rsidR="00997AC5" w:rsidRPr="00997AC5">
        <w:rPr>
          <w:highlight w:val="green"/>
        </w:rPr>
        <w:t>XX</w:t>
      </w:r>
      <w:r>
        <w:t xml:space="preserve">]. The operator’s OAM software </w:t>
      </w:r>
      <w:r w:rsidR="00F22B46">
        <w:t>provisions</w:t>
      </w:r>
      <w:r w:rsidR="00F22B46">
        <w:t xml:space="preserve"> </w:t>
      </w:r>
      <w:r>
        <w:t xml:space="preserve">a symmetric MAC key </w:t>
      </w:r>
      <w:r w:rsidR="00F22B46">
        <w:t>to</w:t>
      </w:r>
      <w:r>
        <w:t xml:space="preserve"> each NF it creates and securely communicates this to the CA along with the NF Instance IdThe details of this secure channel are outside the scope of this document. This is functionally equivalent to the IAK scheme in </w:t>
      </w:r>
      <w:r w:rsidR="006626FB">
        <w:t xml:space="preserve">clause </w:t>
      </w:r>
      <w:r>
        <w:t>10.</w:t>
      </w:r>
    </w:p>
    <w:p w14:paraId="18F68E2F" w14:textId="65345958" w:rsidR="005A5828" w:rsidRDefault="005A5828" w:rsidP="00B5370C">
      <w:pPr>
        <w:pStyle w:val="NO"/>
        <w:ind w:left="900" w:hanging="616"/>
      </w:pPr>
      <w:r>
        <w:t>Note:</w:t>
      </w:r>
      <w:r w:rsidR="00255EBD">
        <w:tab/>
      </w:r>
      <w:r>
        <w:t>Only symmetric MAC authentication is supported in [</w:t>
      </w:r>
      <w:r w:rsidR="00E64D97" w:rsidRPr="00870385">
        <w:rPr>
          <w:highlight w:val="green"/>
        </w:rPr>
        <w:t>XX</w:t>
      </w:r>
      <w:r>
        <w:t>]. This requires the secure communication of information for each NF created. It may be desirable to develop alternative authentication mechanisms; a certificate-based signing scheme would remove the need to maintain a secure communications channel and reduce the OAM to CA communication to the exchange of root certificates at the configuration stage of the CA or OAM.</w:t>
      </w:r>
    </w:p>
    <w:p w14:paraId="71D0B82F" w14:textId="77777777" w:rsidR="005A5828" w:rsidRDefault="005A5828" w:rsidP="005A5828">
      <w:pPr>
        <w:pStyle w:val="Heading3"/>
      </w:pPr>
      <w:r w:rsidRPr="00EE698B">
        <w:rPr>
          <w:highlight w:val="green"/>
        </w:rPr>
        <w:t>YY</w:t>
      </w:r>
      <w:r>
        <w:t>.2.2 Details</w:t>
      </w:r>
    </w:p>
    <w:p w14:paraId="6F36E5AC" w14:textId="77777777" w:rsidR="005A5828" w:rsidRDefault="005A5828" w:rsidP="005A5828">
      <w:r>
        <w:t>To enforce the use of external account binding, the ACME server should ensure the "externalAccountBinding" field is defined in the "directory" resource and it is given the value of "true".</w:t>
      </w:r>
    </w:p>
    <w:p w14:paraId="2815E867" w14:textId="77777777" w:rsidR="005A5828" w:rsidRDefault="005A5828" w:rsidP="005A5828">
      <w:r>
        <w:lastRenderedPageBreak/>
        <w:t>When the OAM creates a new NF, initial trust is established as follows</w:t>
      </w:r>
    </w:p>
    <w:p w14:paraId="6B818710" w14:textId="77777777" w:rsidR="005A5828" w:rsidRDefault="005A5828" w:rsidP="005A5828">
      <w:pPr>
        <w:pStyle w:val="ListParagraph"/>
        <w:numPr>
          <w:ilvl w:val="0"/>
          <w:numId w:val="1"/>
        </w:numPr>
      </w:pPr>
      <w:r>
        <w:t>The OAM creates a unique HS256 MAC key for the NF</w:t>
      </w:r>
    </w:p>
    <w:p w14:paraId="6327743C" w14:textId="77777777" w:rsidR="005A5828" w:rsidRDefault="005A5828" w:rsidP="005A5828">
      <w:pPr>
        <w:pStyle w:val="ListParagraph"/>
        <w:numPr>
          <w:ilvl w:val="0"/>
          <w:numId w:val="1"/>
        </w:numPr>
      </w:pPr>
      <w:r>
        <w:t>The OAM communicates this key in base64-url encoded form and the NF Instance Id to the ACME server</w:t>
      </w:r>
    </w:p>
    <w:p w14:paraId="7BA312B6" w14:textId="6E56DA00" w:rsidR="005A5828" w:rsidRDefault="005A5828" w:rsidP="005A5828">
      <w:pPr>
        <w:pStyle w:val="ListParagraph"/>
        <w:numPr>
          <w:ilvl w:val="0"/>
          <w:numId w:val="1"/>
        </w:numPr>
      </w:pPr>
      <w:r>
        <w:t>The ACME server uses the NF Instance Id as the key identifier for the MAC key</w:t>
      </w:r>
    </w:p>
    <w:p w14:paraId="3A11C60E" w14:textId="77777777" w:rsidR="005A5828" w:rsidRDefault="005A5828" w:rsidP="005A5828">
      <w:pPr>
        <w:pStyle w:val="ListParagraph"/>
        <w:numPr>
          <w:ilvl w:val="0"/>
          <w:numId w:val="1"/>
        </w:numPr>
      </w:pPr>
      <w:r>
        <w:t>The OAM provisions the MAC key to the NF</w:t>
      </w:r>
    </w:p>
    <w:p w14:paraId="56E7DD54" w14:textId="3A284CB5" w:rsidR="005A5828" w:rsidRDefault="005A5828" w:rsidP="005A5828">
      <w:pPr>
        <w:pStyle w:val="ListParagraph"/>
        <w:numPr>
          <w:ilvl w:val="0"/>
          <w:numId w:val="1"/>
        </w:numPr>
      </w:pPr>
      <w:r>
        <w:t>The NF sends a "newAccount" message using the external account binding mechanism in section 7.</w:t>
      </w:r>
      <w:r w:rsidR="003B5EF5">
        <w:t>3.4</w:t>
      </w:r>
      <w:r>
        <w:t xml:space="preserve"> of [</w:t>
      </w:r>
      <w:r w:rsidR="000E6C1F" w:rsidRPr="000E6C1F">
        <w:rPr>
          <w:highlight w:val="green"/>
        </w:rPr>
        <w:t>XX</w:t>
      </w:r>
      <w:r>
        <w:t xml:space="preserve">] </w:t>
      </w:r>
      <w:r w:rsidR="00583F7C">
        <w:t xml:space="preserve">where the “signature” field contains </w:t>
      </w:r>
      <w:r>
        <w:t xml:space="preserve">the MAC </w:t>
      </w:r>
      <w:r w:rsidR="00B444EE">
        <w:t xml:space="preserve">value computed with the MAC </w:t>
      </w:r>
      <w:r>
        <w:t xml:space="preserve">key and the </w:t>
      </w:r>
      <w:r w:rsidR="00DB2577">
        <w:t xml:space="preserve">"kid" field contains the </w:t>
      </w:r>
      <w:r>
        <w:t>NF Instance Id</w:t>
      </w:r>
    </w:p>
    <w:p w14:paraId="1822BBFB" w14:textId="77777777" w:rsidR="005A5828" w:rsidRDefault="005A5828" w:rsidP="005A5828">
      <w:pPr>
        <w:pStyle w:val="NO"/>
      </w:pPr>
      <w:r>
        <w:t>Note 1: The ACME server can use the NF Instance Id to limit the number of accounts associated to the NF Instance.</w:t>
      </w:r>
    </w:p>
    <w:p w14:paraId="07924535" w14:textId="5DD4F402" w:rsidR="005A5828" w:rsidRDefault="0058121D" w:rsidP="005A5828">
      <w:pPr>
        <w:pStyle w:val="EditorsNote"/>
      </w:pPr>
      <w:r w:rsidRPr="007462C7">
        <w:rPr>
          <w:rStyle w:val="NOChar"/>
          <w:color w:val="auto"/>
        </w:rPr>
        <w:t>Note 2</w:t>
      </w:r>
      <w:r w:rsidR="005A5828" w:rsidRPr="007462C7">
        <w:rPr>
          <w:rStyle w:val="NOChar"/>
          <w:color w:val="auto"/>
        </w:rPr>
        <w:t>: The OAM does</w:t>
      </w:r>
      <w:r w:rsidR="007462C7">
        <w:rPr>
          <w:rStyle w:val="NOChar"/>
          <w:color w:val="auto"/>
        </w:rPr>
        <w:t xml:space="preserve"> not</w:t>
      </w:r>
      <w:r w:rsidR="005A5828" w:rsidRPr="007462C7">
        <w:rPr>
          <w:rStyle w:val="NOChar"/>
          <w:color w:val="auto"/>
        </w:rPr>
        <w:t xml:space="preserve"> communicate the NF Type in this step</w:t>
      </w:r>
      <w:r w:rsidR="000570AA">
        <w:rPr>
          <w:rStyle w:val="NOChar"/>
          <w:color w:val="auto"/>
        </w:rPr>
        <w:t>.</w:t>
      </w:r>
      <w:r w:rsidR="005A5828" w:rsidRPr="007462C7">
        <w:rPr>
          <w:rStyle w:val="NOChar"/>
          <w:color w:val="auto"/>
        </w:rPr>
        <w:t xml:space="preserve"> </w:t>
      </w:r>
      <w:r w:rsidR="000570AA">
        <w:rPr>
          <w:rStyle w:val="NOChar"/>
          <w:color w:val="auto"/>
        </w:rPr>
        <w:t>I</w:t>
      </w:r>
      <w:r w:rsidR="005A5828" w:rsidRPr="007462C7">
        <w:rPr>
          <w:rStyle w:val="NOChar"/>
          <w:color w:val="auto"/>
        </w:rPr>
        <w:t>t is part of the claim attested to in the Token Authority</w:t>
      </w:r>
      <w:r w:rsidR="005A5828">
        <w:t xml:space="preserve">. </w:t>
      </w:r>
    </w:p>
    <w:p w14:paraId="49356E06" w14:textId="77777777" w:rsidR="00BF7847" w:rsidRDefault="00BF7847" w:rsidP="00BF7847">
      <w:pPr>
        <w:rPr>
          <w:lang w:val="en-US"/>
        </w:rPr>
      </w:pPr>
    </w:p>
    <w:p w14:paraId="21CAB1FA" w14:textId="77777777" w:rsidR="00BF7847" w:rsidRDefault="00BF7847" w:rsidP="00BF7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81A7678" w14:textId="77777777" w:rsidR="00BF7847" w:rsidRDefault="00BF7847" w:rsidP="00BF7847">
      <w:pPr>
        <w:rPr>
          <w:lang w:val="en-US"/>
        </w:rPr>
      </w:pP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77FD" w14:textId="77777777" w:rsidR="00027568" w:rsidRDefault="00027568">
      <w:r>
        <w:separator/>
      </w:r>
    </w:p>
  </w:endnote>
  <w:endnote w:type="continuationSeparator" w:id="0">
    <w:p w14:paraId="23A9F538" w14:textId="77777777" w:rsidR="00027568" w:rsidRDefault="0002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D2D2" w14:textId="77777777" w:rsidR="00027568" w:rsidRDefault="00027568">
      <w:r>
        <w:separator/>
      </w:r>
    </w:p>
  </w:footnote>
  <w:footnote w:type="continuationSeparator" w:id="0">
    <w:p w14:paraId="3741D650" w14:textId="77777777" w:rsidR="00027568" w:rsidRDefault="0002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6562"/>
    <w:multiLevelType w:val="hybridMultilevel"/>
    <w:tmpl w:val="38CAFA38"/>
    <w:lvl w:ilvl="0" w:tplc="513A8C70">
      <w:start w:val="5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9207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53"/>
    <w:rsid w:val="00003897"/>
    <w:rsid w:val="000117A7"/>
    <w:rsid w:val="00025B9F"/>
    <w:rsid w:val="00027568"/>
    <w:rsid w:val="00032590"/>
    <w:rsid w:val="000570AA"/>
    <w:rsid w:val="00075B33"/>
    <w:rsid w:val="000A7998"/>
    <w:rsid w:val="000B59EB"/>
    <w:rsid w:val="000B64FC"/>
    <w:rsid w:val="000E6C1F"/>
    <w:rsid w:val="0010504F"/>
    <w:rsid w:val="00155C3F"/>
    <w:rsid w:val="001604A8"/>
    <w:rsid w:val="001B093A"/>
    <w:rsid w:val="001C5CF1"/>
    <w:rsid w:val="00214DF0"/>
    <w:rsid w:val="00216AE8"/>
    <w:rsid w:val="002474B7"/>
    <w:rsid w:val="00255EBD"/>
    <w:rsid w:val="00266561"/>
    <w:rsid w:val="00283BBD"/>
    <w:rsid w:val="00292441"/>
    <w:rsid w:val="002D4F90"/>
    <w:rsid w:val="002E16A0"/>
    <w:rsid w:val="002F32D8"/>
    <w:rsid w:val="00385D9C"/>
    <w:rsid w:val="00390D08"/>
    <w:rsid w:val="003A4DBB"/>
    <w:rsid w:val="003A6BDD"/>
    <w:rsid w:val="003B5EF5"/>
    <w:rsid w:val="003C1160"/>
    <w:rsid w:val="004054C1"/>
    <w:rsid w:val="004063DF"/>
    <w:rsid w:val="0044235F"/>
    <w:rsid w:val="004457A9"/>
    <w:rsid w:val="004721C0"/>
    <w:rsid w:val="004A0F52"/>
    <w:rsid w:val="004B67D3"/>
    <w:rsid w:val="004E2F92"/>
    <w:rsid w:val="004F5E09"/>
    <w:rsid w:val="00514461"/>
    <w:rsid w:val="0051513A"/>
    <w:rsid w:val="0051688C"/>
    <w:rsid w:val="00525626"/>
    <w:rsid w:val="00554ED7"/>
    <w:rsid w:val="00580631"/>
    <w:rsid w:val="0058121D"/>
    <w:rsid w:val="00583F7C"/>
    <w:rsid w:val="005864ED"/>
    <w:rsid w:val="005A5828"/>
    <w:rsid w:val="005B62F7"/>
    <w:rsid w:val="005C0A65"/>
    <w:rsid w:val="005E1D8E"/>
    <w:rsid w:val="005E2BD0"/>
    <w:rsid w:val="0063313E"/>
    <w:rsid w:val="0063680E"/>
    <w:rsid w:val="00653E2A"/>
    <w:rsid w:val="00655492"/>
    <w:rsid w:val="006569E6"/>
    <w:rsid w:val="006626FB"/>
    <w:rsid w:val="00673246"/>
    <w:rsid w:val="0069541A"/>
    <w:rsid w:val="006A3C94"/>
    <w:rsid w:val="006B621B"/>
    <w:rsid w:val="006C43B5"/>
    <w:rsid w:val="006F519B"/>
    <w:rsid w:val="00704117"/>
    <w:rsid w:val="00711FC5"/>
    <w:rsid w:val="007462C7"/>
    <w:rsid w:val="00750428"/>
    <w:rsid w:val="00780A06"/>
    <w:rsid w:val="00785301"/>
    <w:rsid w:val="00793D77"/>
    <w:rsid w:val="007E08A4"/>
    <w:rsid w:val="008171CF"/>
    <w:rsid w:val="0082707E"/>
    <w:rsid w:val="00870385"/>
    <w:rsid w:val="008B4AAF"/>
    <w:rsid w:val="009158D2"/>
    <w:rsid w:val="009255E7"/>
    <w:rsid w:val="00953ECF"/>
    <w:rsid w:val="00955F07"/>
    <w:rsid w:val="00963B60"/>
    <w:rsid w:val="00982BA7"/>
    <w:rsid w:val="00995C58"/>
    <w:rsid w:val="00997AC5"/>
    <w:rsid w:val="009A21B0"/>
    <w:rsid w:val="009F42A6"/>
    <w:rsid w:val="00A25192"/>
    <w:rsid w:val="00A34787"/>
    <w:rsid w:val="00A556CE"/>
    <w:rsid w:val="00A80C39"/>
    <w:rsid w:val="00A95D16"/>
    <w:rsid w:val="00AA3DBE"/>
    <w:rsid w:val="00AA56BA"/>
    <w:rsid w:val="00AA7E59"/>
    <w:rsid w:val="00AE35AD"/>
    <w:rsid w:val="00AE5349"/>
    <w:rsid w:val="00B245E8"/>
    <w:rsid w:val="00B3593C"/>
    <w:rsid w:val="00B3752D"/>
    <w:rsid w:val="00B41104"/>
    <w:rsid w:val="00B444EE"/>
    <w:rsid w:val="00B5370C"/>
    <w:rsid w:val="00B56A8B"/>
    <w:rsid w:val="00BA4BE2"/>
    <w:rsid w:val="00BB24A6"/>
    <w:rsid w:val="00BD1620"/>
    <w:rsid w:val="00BF3721"/>
    <w:rsid w:val="00BF7065"/>
    <w:rsid w:val="00BF7847"/>
    <w:rsid w:val="00C026E4"/>
    <w:rsid w:val="00C162B6"/>
    <w:rsid w:val="00C42078"/>
    <w:rsid w:val="00C42607"/>
    <w:rsid w:val="00C44D05"/>
    <w:rsid w:val="00C601CB"/>
    <w:rsid w:val="00C83046"/>
    <w:rsid w:val="00C86F41"/>
    <w:rsid w:val="00C87441"/>
    <w:rsid w:val="00C93D83"/>
    <w:rsid w:val="00CA1AE0"/>
    <w:rsid w:val="00CC4471"/>
    <w:rsid w:val="00D07287"/>
    <w:rsid w:val="00D30DA0"/>
    <w:rsid w:val="00D318B2"/>
    <w:rsid w:val="00D5056D"/>
    <w:rsid w:val="00D55FB4"/>
    <w:rsid w:val="00DB0679"/>
    <w:rsid w:val="00DB1E46"/>
    <w:rsid w:val="00DB2577"/>
    <w:rsid w:val="00DB655B"/>
    <w:rsid w:val="00DD1F64"/>
    <w:rsid w:val="00DE0BBD"/>
    <w:rsid w:val="00DF62FB"/>
    <w:rsid w:val="00E06393"/>
    <w:rsid w:val="00E1464D"/>
    <w:rsid w:val="00E25D01"/>
    <w:rsid w:val="00E50860"/>
    <w:rsid w:val="00E54C0A"/>
    <w:rsid w:val="00E64D97"/>
    <w:rsid w:val="00E71F20"/>
    <w:rsid w:val="00E80B1B"/>
    <w:rsid w:val="00E90261"/>
    <w:rsid w:val="00ED206C"/>
    <w:rsid w:val="00EE30E6"/>
    <w:rsid w:val="00EE698B"/>
    <w:rsid w:val="00F21090"/>
    <w:rsid w:val="00F22B46"/>
    <w:rsid w:val="00F30FD1"/>
    <w:rsid w:val="00F431B2"/>
    <w:rsid w:val="00F57C87"/>
    <w:rsid w:val="00F6525A"/>
    <w:rsid w:val="00F7292C"/>
    <w:rsid w:val="00F743D6"/>
    <w:rsid w:val="00FB6C55"/>
    <w:rsid w:val="00FD42FA"/>
    <w:rsid w:val="00FE1D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A5828"/>
    <w:pPr>
      <w:ind w:left="720"/>
      <w:contextualSpacing/>
    </w:pPr>
    <w:rPr>
      <w:rFonts w:eastAsia="Times New Roman"/>
    </w:rPr>
  </w:style>
  <w:style w:type="character" w:customStyle="1" w:styleId="NOChar">
    <w:name w:val="NO Char"/>
    <w:link w:val="NO"/>
    <w:qFormat/>
    <w:rsid w:val="005A5828"/>
    <w:rPr>
      <w:rFonts w:ascii="Times New Roman" w:hAnsi="Times New Roman"/>
      <w:lang w:eastAsia="en-US"/>
    </w:rPr>
  </w:style>
  <w:style w:type="character" w:customStyle="1" w:styleId="EditorsNoteCharChar">
    <w:name w:val="Editor's Note Char Char"/>
    <w:link w:val="EditorsNote"/>
    <w:qFormat/>
    <w:rsid w:val="005A5828"/>
    <w:rPr>
      <w:rFonts w:ascii="Times New Roman" w:hAnsi="Times New Roman"/>
      <w:color w:val="FF0000"/>
      <w:lang w:eastAsia="en-US"/>
    </w:rPr>
  </w:style>
  <w:style w:type="paragraph" w:styleId="Revision">
    <w:name w:val="Revision"/>
    <w:hidden/>
    <w:uiPriority w:val="99"/>
    <w:semiHidden/>
    <w:rsid w:val="00EE69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D65F8-7BBB-4894-9628-1973F6C5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 G1 r6</cp:lastModifiedBy>
  <cp:revision>39</cp:revision>
  <cp:lastPrinted>1900-01-01T05:00:00Z</cp:lastPrinted>
  <dcterms:created xsi:type="dcterms:W3CDTF">2025-01-29T11:30:00Z</dcterms:created>
  <dcterms:modified xsi:type="dcterms:W3CDTF">2025-01-31T09:32:00Z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