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82164940"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82164941"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82164942"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82164943"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132EDE2F" w:rsidR="00EE3596" w:rsidRPr="00835F44" w:rsidRDefault="0088317A" w:rsidP="000E530E">
            <w:pPr>
              <w:pStyle w:val="TAN"/>
              <w:keepNext w:val="0"/>
            </w:pPr>
            <w:r>
              <w:t>NOTE 2:</w:t>
            </w:r>
            <w:r>
              <w:tab/>
              <w:t xml:space="preserve">For </w:t>
            </w:r>
            <w:r>
              <w:rPr>
                <w:rFonts w:eastAsia="SimSun" w:hint="eastAsia"/>
                <w:lang w:val="en-US" w:eastAsia="zh-CN"/>
              </w:rPr>
              <w:t>b</w:t>
            </w:r>
            <w:r>
              <w:t xml:space="preserve">and </w:t>
            </w:r>
            <w:r>
              <w:rPr>
                <w:rFonts w:eastAsia="SimSun" w:hint="eastAsia"/>
                <w:lang w:val="en-US" w:eastAsia="zh-CN"/>
              </w:rPr>
              <w:t>n</w:t>
            </w:r>
            <w:r>
              <w:t>20; for 15 kHz SCS, in the case of 15 MHz channel bandwidth, the UL resource blocks shall be located at RB</w:t>
            </w:r>
            <w:r>
              <w:rPr>
                <w:vertAlign w:val="subscript"/>
              </w:rPr>
              <w:t>start</w:t>
            </w:r>
            <w:r>
              <w:t xml:space="preserve"> 11 and in the case of 20 MHz channel bandwidth, the UL resource blocks shall be located at RB</w:t>
            </w:r>
            <w:r>
              <w:rPr>
                <w:vertAlign w:val="subscript"/>
              </w:rPr>
              <w:t>start</w:t>
            </w:r>
            <w:r>
              <w:t xml:space="preserve"> 16; for 30 kHz SCS, in the case of 15 MHz channel bandwidth, the UL resource blocks shall be located at RB</w:t>
            </w:r>
            <w:r>
              <w:rPr>
                <w:vertAlign w:val="subscript"/>
              </w:rPr>
              <w:t>start</w:t>
            </w:r>
            <w:r>
              <w:t xml:space="preserve"> 6 and in the case of 20 MHz channel bandwidth, the UL resource blocks shall be located at RB</w:t>
            </w:r>
            <w:r>
              <w:rPr>
                <w:vertAlign w:val="subscript"/>
              </w:rPr>
              <w:t>start</w:t>
            </w:r>
            <w:r>
              <w:t xml:space="preserve"> 8; for 60 kHz SCS, in the case of 15 MHz channel bandwidth, the UL resource blocks shall be located at RB</w:t>
            </w:r>
            <w:r>
              <w:rPr>
                <w:vertAlign w:val="subscript"/>
              </w:rPr>
              <w:t>start</w:t>
            </w:r>
            <w:r>
              <w:t xml:space="preserve"> 3 and in the case of 20 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82164944" r:id="rId37"/>
              </w:object>
            </w:r>
            <w:r w:rsidRPr="00835F44">
              <w:rPr>
                <w:snapToGrid w:val="0"/>
                <w:lang w:eastAsia="ja-JP"/>
              </w:rPr>
              <w:t xml:space="preserve">in MHz and </w:t>
            </w:r>
            <w:r w:rsidRPr="00835F44">
              <w:rPr>
                <w:position w:val="-14"/>
              </w:rPr>
              <w:object w:dxaOrig="4900" w:dyaOrig="400" w14:anchorId="16D5A432">
                <v:shape id="_x0000_i1030" type="#_x0000_t75" style="width:206pt;height:10.5pt" o:ole="">
                  <v:imagedata r:id="rId38" o:title=""/>
                </v:shape>
                <o:OLEObject Type="Embed" ProgID="Equation.DSMT4" ShapeID="_x0000_i1030" DrawAspect="Content" ObjectID="_1782164945"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82164946"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82164947" r:id="rId45"/>
              </w:object>
            </w:r>
            <w:r w:rsidRPr="00835F44">
              <w:t xml:space="preserve"> in the victim (higher band) with </w:t>
            </w:r>
            <w:r w:rsidRPr="00835F44">
              <w:object w:dxaOrig="4900" w:dyaOrig="400" w14:anchorId="31B10938">
                <v:shape id="_x0000_i1033" type="#_x0000_t75" style="width:206pt;height:10.5pt" o:ole="">
                  <v:imagedata r:id="rId38" o:title=""/>
                </v:shape>
                <o:OLEObject Type="Embed" ProgID="Equation.DSMT4" ShapeID="_x0000_i1033" DrawAspect="Content" ObjectID="_1782164948"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82164949"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5pt;height:15.5pt" o:ole="">
                  <v:imagedata r:id="rId54" o:title=""/>
                </v:shape>
                <o:OLEObject Type="Embed" ProgID="Equation.3" ShapeID="_x0000_i1037" DrawAspect="Content" ObjectID="_1782164950"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7pt;height:10.5pt" o:ole="">
                  <v:imagedata r:id="rId36" o:title=""/>
                </v:shape>
                <o:OLEObject Type="Embed" ProgID="Equation.3" ShapeID="_x0000_i1038" DrawAspect="Content" ObjectID="_1782164951" r:id="rId56"/>
              </w:object>
            </w:r>
            <w:r w:rsidRPr="00835F44">
              <w:rPr>
                <w:snapToGrid w:val="0"/>
              </w:rPr>
              <w:t xml:space="preserve">in MHz and </w:t>
            </w:r>
            <w:r w:rsidRPr="00835F44">
              <w:rPr>
                <w:position w:val="-14"/>
              </w:rPr>
              <w:object w:dxaOrig="4900" w:dyaOrig="400" w14:anchorId="3C3DC022">
                <v:shape id="_x0000_i1039" type="#_x0000_t75" style="width:206pt;height:10.5pt" o:ole="">
                  <v:imagedata r:id="rId38" o:title=""/>
                </v:shape>
                <o:OLEObject Type="Embed" ProgID="Equation.DSMT4" ShapeID="_x0000_i1039" DrawAspect="Content" ObjectID="_1782164952"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7pt;height:10.5pt" o:ole="">
                  <v:imagedata r:id="rId42" o:title=""/>
                </v:shape>
                <o:OLEObject Type="Embed" ProgID="Equation.3" ShapeID="_x0000_i1040" DrawAspect="Content" ObjectID="_1782164953"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5pt;height:10.5pt" o:ole="">
                  <v:imagedata r:id="rId44" o:title=""/>
                </v:shape>
                <o:OLEObject Type="Embed" ProgID="Equation.3" ShapeID="_x0000_i1041" DrawAspect="Content" ObjectID="_1782164954" r:id="rId59"/>
              </w:object>
            </w:r>
            <w:r w:rsidRPr="00835F44">
              <w:t xml:space="preserve"> in the victim (higher band) with </w:t>
            </w:r>
            <w:r w:rsidRPr="00835F44">
              <w:object w:dxaOrig="4900" w:dyaOrig="400" w14:anchorId="731A8E7C">
                <v:shape id="_x0000_i1042" type="#_x0000_t75" style="width:206pt;height:10.5pt" o:ole="">
                  <v:imagedata r:id="rId38" o:title=""/>
                </v:shape>
                <o:OLEObject Type="Embed" ProgID="Equation.DSMT4" ShapeID="_x0000_i1042" DrawAspect="Content" ObjectID="_1782164955"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pt;height:10.5pt" o:ole="">
                  <v:imagedata r:id="rId47" o:title=""/>
                </v:shape>
                <o:OLEObject Type="Embed" ProgID="Equation.3" ShapeID="_x0000_i1043" DrawAspect="Content" ObjectID="_1782164956"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7pt;height:10.5pt" o:ole="">
                  <v:imagedata r:id="rId62" o:title=""/>
                </v:shape>
                <o:OLEObject Type="Embed" ProgID="Equation.3" ShapeID="_x0000_i1044" DrawAspect="Content" ObjectID="_1782164957" r:id="rId63"/>
              </w:object>
            </w:r>
            <w:r w:rsidRPr="00835F44">
              <w:rPr>
                <w:snapToGrid w:val="0"/>
                <w:lang w:eastAsia="ja-JP"/>
              </w:rPr>
              <w:t xml:space="preserve">in MHz and </w:t>
            </w:r>
            <w:r w:rsidRPr="00835F44">
              <w:rPr>
                <w:position w:val="-14"/>
              </w:rPr>
              <w:object w:dxaOrig="4900" w:dyaOrig="400" w14:anchorId="177C0FDD">
                <v:shape id="_x0000_i1045" type="#_x0000_t75" style="width:206pt;height:10.5pt" o:ole="">
                  <v:imagedata r:id="rId38" o:title=""/>
                </v:shape>
                <o:OLEObject Type="Embed" ProgID="Equation.DSMT4" ShapeID="_x0000_i1045" DrawAspect="Content" ObjectID="_1782164958"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7pt;height:10.5pt" o:ole="">
                  <v:imagedata r:id="rId53" o:title=""/>
                </v:shape>
                <o:OLEObject Type="Embed" ProgID="Equation.3" ShapeID="_x0000_i1046" DrawAspect="Content" ObjectID="_1782164959" r:id="rId65"/>
              </w:object>
            </w:r>
            <w:r w:rsidR="00361DCA" w:rsidRPr="00835F44">
              <w:t xml:space="preserve">in MHz and </w:t>
            </w:r>
            <w:r w:rsidR="00361DCA" w:rsidRPr="00835F44">
              <w:object w:dxaOrig="4035" w:dyaOrig="285" w14:anchorId="39C1B2B9">
                <v:shape id="_x0000_i1047" type="#_x0000_t75" style="width:206pt;height:10.5pt" o:ole="">
                  <v:imagedata r:id="rId38" o:title=""/>
                </v:shape>
                <o:OLEObject Type="Embed" ProgID="Equation.DSMT4" ShapeID="_x0000_i1047" DrawAspect="Content" ObjectID="_1782164960"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pt;height:10.5pt" o:ole="">
                  <v:imagedata r:id="rId67" o:title=""/>
                </v:shape>
                <o:OLEObject Type="Embed" ProgID="Equation.3" ShapeID="_x0000_i1048" DrawAspect="Content" ObjectID="_1782164961"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pt;height:10.5pt" o:ole="">
                  <v:imagedata r:id="rId67" o:title=""/>
                </v:shape>
                <o:OLEObject Type="Embed" ProgID="Equation.3" ShapeID="_x0000_i1049" DrawAspect="Content" ObjectID="_1782164962"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pt;height:10.5pt" o:ole="">
                  <v:imagedata r:id="rId67" o:title=""/>
                </v:shape>
                <o:OLEObject Type="Embed" ProgID="Equation.3" ShapeID="_x0000_i1050" DrawAspect="Content" ObjectID="_1782164963"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pt;height:10.5pt" o:ole="">
                  <v:imagedata r:id="rId67" o:title=""/>
                </v:shape>
                <o:OLEObject Type="Embed" ProgID="Equation.3" ShapeID="_x0000_i1051" DrawAspect="Content" ObjectID="_1782164964"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pt;height:10.5pt" o:ole="">
                  <v:imagedata r:id="rId67" o:title=""/>
                </v:shape>
                <o:OLEObject Type="Embed" ProgID="Equation.3" ShapeID="_x0000_i1052" DrawAspect="Content" ObjectID="_1782164965"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pt;height:10.5pt" o:ole="">
                  <v:imagedata r:id="rId67" o:title=""/>
                </v:shape>
                <o:OLEObject Type="Embed" ProgID="Equation.3" ShapeID="_x0000_i1053" DrawAspect="Content" ObjectID="_1782164966"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pt;height:10.5pt" o:ole="">
                  <v:imagedata r:id="rId67" o:title=""/>
                </v:shape>
                <o:OLEObject Type="Embed" ProgID="Equation.3" ShapeID="_x0000_i1054" DrawAspect="Content" ObjectID="_1782164967"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pt;height:10.5pt" o:ole="">
                  <v:imagedata r:id="rId67" o:title=""/>
                </v:shape>
                <o:OLEObject Type="Embed" ProgID="Equation.3" ShapeID="_x0000_i1055" DrawAspect="Content" ObjectID="_1782164968"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pt;height:10.5pt" o:ole="">
                  <v:imagedata r:id="rId67" o:title=""/>
                </v:shape>
                <o:OLEObject Type="Embed" ProgID="Equation.3" ShapeID="_x0000_i1056" DrawAspect="Content" ObjectID="_1782164969"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pt;height:10.5pt;mso-wrap-style:square;mso-position-horizontal-relative:page;mso-position-vertical-relative:page" o:ole="">
                  <v:imagedata r:id="rId67" o:title=""/>
                </v:shape>
                <o:OLEObject Type="Embed" ProgID="Equation.3" ShapeID="对象 11" DrawAspect="Content" ObjectID="_1782164970"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5pt;height:10.5pt" o:ole="">
            <v:imagedata r:id="rId78" o:title=""/>
          </v:shape>
          <o:OLEObject Type="Embed" ProgID="Equation.3" ShapeID="_x0000_i1058" DrawAspect="Content" ObjectID="_1782164971"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7.5pt;height:20.5pt;mso-wrap-style:square;mso-position-horizontal-relative:page;mso-position-vertical-relative:page" o:ole="">
            <v:fill o:detectmouseclick="t"/>
            <v:imagedata r:id="rId80" o:title=""/>
          </v:shape>
          <o:OLEObject Type="Embed" ProgID="Equation.3" ShapeID="对象 31" DrawAspect="Content" ObjectID="_1782164972" r:id="rId81">
            <o:FieldCodes>\* MERGEFORMAT</o:FieldCodes>
          </o:OLEObject>
        </w:object>
      </w:r>
      <w:r>
        <w:t>MHz with</w:t>
      </w:r>
      <w:r>
        <w:rPr>
          <w:position w:val="-10"/>
        </w:rPr>
        <w:object w:dxaOrig="438" w:dyaOrig="339" w14:anchorId="74BBC8FC">
          <v:shape id="对象 14" o:spid="_x0000_i1060" type="#_x0000_t75" style="width:10.5pt;height:10.5pt;mso-wrap-style:square;mso-position-horizontal-relative:page;mso-position-vertical-relative:page" o:ole="">
            <v:imagedata r:id="rId82" o:title=""/>
          </v:shape>
          <o:OLEObject Type="Embed" ProgID="Equation.3" ShapeID="对象 14" DrawAspect="Content" ObjectID="_1782164973"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5pt;height:10.5pt" o:ole="">
            <v:imagedata r:id="rId78" o:title=""/>
          </v:shape>
          <o:OLEObject Type="Embed" ProgID="Equation.3" ShapeID="_x0000_i1061" DrawAspect="Content" ObjectID="_1782164974"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7.5pt;height:20.5pt;mso-wrap-style:square;mso-position-horizontal-relative:page;mso-position-vertical-relative:page" o:ole="">
            <v:imagedata r:id="rId80" o:title=""/>
          </v:shape>
          <o:OLEObject Type="Embed" ProgID="Equation.3" ShapeID="对象 32" DrawAspect="Content" ObjectID="_1782164975" r:id="rId85">
            <o:FieldCodes>\* MERGEFORMAT</o:FieldCodes>
          </o:OLEObject>
        </w:object>
      </w:r>
      <w:r>
        <w:t xml:space="preserve"> MHz with</w:t>
      </w:r>
      <w:r>
        <w:rPr>
          <w:position w:val="-10"/>
        </w:rPr>
        <w:object w:dxaOrig="438" w:dyaOrig="339" w14:anchorId="00F72D8C">
          <v:shape id="对象 17" o:spid="_x0000_i1063" type="#_x0000_t75" style="width:10.5pt;height:10.5pt;mso-wrap-style:square;mso-position-horizontal-relative:page;mso-position-vertical-relative:page" o:ole="">
            <v:imagedata r:id="rId82" o:title=""/>
          </v:shape>
          <o:OLEObject Type="Embed" ProgID="Equation.3" ShapeID="对象 17" DrawAspect="Content" ObjectID="_1782164976"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pt;height:10.5pt" o:ole="">
                  <v:imagedata r:id="rId67" o:title=""/>
                </v:shape>
                <o:OLEObject Type="Embed" ProgID="Equation.3" ShapeID="_x0000_i1064" DrawAspect="Content" ObjectID="_1782164977"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pt;height:10.5pt" o:ole="">
                  <v:imagedata r:id="rId67" o:title=""/>
                </v:shape>
                <o:OLEObject Type="Embed" ProgID="Equation.3" ShapeID="_x0000_i1065" DrawAspect="Content" ObjectID="_1782164978"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5pt;height:10.5pt" o:ole="">
            <v:imagedata r:id="rId78" o:title=""/>
          </v:shape>
          <o:OLEObject Type="Embed" ProgID="Equation.3" ShapeID="_x0000_i1066" DrawAspect="Content" ObjectID="_1782164979"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7.5pt;height:20.5pt;mso-wrap-style:square;mso-position-horizontal-relative:page;mso-position-vertical-relative:page" o:ole="">
            <v:fill o:detectmouseclick="t"/>
            <v:imagedata r:id="rId80" o:title=""/>
          </v:shape>
          <o:OLEObject Type="Embed" ProgID="Equation.3" ShapeID="_x0000_i1067" DrawAspect="Content" ObjectID="_1782164980" r:id="rId90">
            <o:FieldCodes>\* MERGEFORMAT</o:FieldCodes>
          </o:OLEObject>
        </w:object>
      </w:r>
      <w:r>
        <w:t xml:space="preserve">MHz with </w:t>
      </w:r>
      <w:r>
        <w:rPr>
          <w:position w:val="-10"/>
        </w:rPr>
        <w:object w:dxaOrig="438" w:dyaOrig="339" w14:anchorId="5735DC11">
          <v:shape id="_x0000_i1068" type="#_x0000_t75" style="width:10.5pt;height:10.5pt;mso-wrap-style:square;mso-position-horizontal-relative:page;mso-position-vertical-relative:page" o:ole="">
            <v:imagedata r:id="rId82" o:title=""/>
          </v:shape>
          <o:OLEObject Type="Embed" ProgID="Equation.3" ShapeID="_x0000_i1068" DrawAspect="Content" ObjectID="_1782164981"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5pt;height:10.5pt;mso-width-percent:0;mso-height-percent:0;mso-width-percent:0;mso-height-percent:0" o:ole="">
            <v:imagedata r:id="rId78" o:title=""/>
          </v:shape>
          <o:OLEObject Type="Embed" ProgID="Equation.3" ShapeID="_x0000_i1069" DrawAspect="Content" ObjectID="_1782164982"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7.5pt;height:20.5pt;mso-wrap-style:square;mso-position-horizontal-relative:page;mso-position-vertical-relative:page" o:ole="">
            <v:imagedata r:id="rId80" o:title=""/>
          </v:shape>
          <o:OLEObject Type="Embed" ProgID="Equation.3" ShapeID="对象 33" DrawAspect="Content" ObjectID="_1782164983"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3.5pt;height:15.5pt" o:ole="">
                  <v:imagedata r:id="rId94" o:title=""/>
                </v:shape>
                <o:OLEObject Type="Embed" ProgID="Equation.DSMT4" ShapeID="_x0000_i1071" DrawAspect="Content" ObjectID="_1782164984"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5pt;height:10.5pt;mso-width-percent:0;mso-height-percent:0;mso-width-percent:0;mso-height-percent:0" o:ole="">
            <v:imagedata r:id="rId78" o:title=""/>
          </v:shape>
          <o:OLEObject Type="Embed" ProgID="Equation.3" ShapeID="_x0000_i1072" DrawAspect="Content" ObjectID="_1782164985"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7.5pt;height:20.5pt;mso-wrap-style:square;mso-position-horizontal-relative:page;mso-position-vertical-relative:page" o:ole="">
            <v:imagedata r:id="rId80" o:title=""/>
          </v:shape>
          <o:OLEObject Type="Embed" ProgID="Equation.3" ShapeID="对象 34" DrawAspect="Content" ObjectID="_1782164986"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FD69D8" w14:textId="77777777" w:rsidR="004F1CAF" w:rsidRDefault="004F1CAF">
      <w:r>
        <w:separator/>
      </w:r>
    </w:p>
  </w:endnote>
  <w:endnote w:type="continuationSeparator" w:id="0">
    <w:p w14:paraId="3AB2522A" w14:textId="77777777" w:rsidR="004F1CAF" w:rsidRDefault="004F1C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C3DAF9" w14:textId="77777777" w:rsidR="004F1CAF" w:rsidRDefault="004F1CAF">
      <w:r>
        <w:separator/>
      </w:r>
    </w:p>
  </w:footnote>
  <w:footnote w:type="continuationSeparator" w:id="0">
    <w:p w14:paraId="3FA7DF6A" w14:textId="77777777" w:rsidR="004F1CAF" w:rsidRDefault="004F1C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56A958FD" w:rsidR="0006258A" w:rsidRPr="006B1055" w:rsidRDefault="0006258A" w:rsidP="0006258A">
    <w:pPr>
      <w:pStyle w:val="Header"/>
      <w:framePr w:wrap="auto" w:vAnchor="text" w:hAnchor="margin" w:xAlign="right" w:y="1"/>
      <w:widowControl/>
    </w:pPr>
    <w:r>
      <w:t>3GPP TS 38.101-1 V15.</w:t>
    </w:r>
    <w:r w:rsidR="00D940D6">
      <w:t>2</w:t>
    </w:r>
    <w:r w:rsidR="00750C74">
      <w:t>6</w:t>
    </w:r>
    <w:r>
      <w:t>.0 (202</w:t>
    </w:r>
    <w:r w:rsidR="00812A43">
      <w:t>4</w:t>
    </w:r>
    <w:r>
      <w:t>-</w:t>
    </w:r>
    <w:r w:rsidR="00812A43">
      <w:t>0</w:t>
    </w:r>
    <w:r w:rsidR="00750C74">
      <w:t>6</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152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980"/>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image" Target="media/image22.wmf"/><Relationship Id="rId47" Type="http://schemas.openxmlformats.org/officeDocument/2006/relationships/image" Target="media/image24.wmf"/><Relationship Id="rId50" Type="http://schemas.openxmlformats.org/officeDocument/2006/relationships/image" Target="media/image26.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5.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5.bin"/><Relationship Id="rId80" Type="http://schemas.openxmlformats.org/officeDocument/2006/relationships/image" Target="media/image34.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2.wmf"/><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6.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3</Pages>
  <Words>34966</Words>
  <Characters>199308</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82</cp:revision>
  <cp:lastPrinted>2019-04-09T04:35:00Z</cp:lastPrinted>
  <dcterms:created xsi:type="dcterms:W3CDTF">2021-12-22T15:41:00Z</dcterms:created>
  <dcterms:modified xsi:type="dcterms:W3CDTF">2024-07-10T23:02:00Z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