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CDA9" w14:textId="46025FDD"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934ED6" w:rsidRPr="001E17AC">
        <w:rPr>
          <w:rFonts w:ascii="Arial" w:hAnsi="Arial" w:cs="Arial"/>
          <w:b/>
          <w:bCs/>
          <w:noProof/>
          <w:sz w:val="24"/>
          <w:highlight w:val="yellow"/>
        </w:rPr>
        <w:t>2</w:t>
      </w:r>
      <w:r w:rsidR="00934ED6">
        <w:rPr>
          <w:rFonts w:ascii="Arial" w:hAnsi="Arial" w:cs="Arial"/>
          <w:b/>
          <w:bCs/>
          <w:noProof/>
          <w:sz w:val="24"/>
          <w:lang w:val="en-US"/>
        </w:rPr>
        <w:t>45407</w:t>
      </w:r>
    </w:p>
    <w:p w14:paraId="5BDFAC4D"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EE1F2FF" w14:textId="50AFFCDC"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p>
    <w:p w14:paraId="2D33DF21" w14:textId="285A941D"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2"/>
      <w:r w:rsidR="00E63B5E">
        <w:rPr>
          <w:rFonts w:ascii="Arial" w:hAnsi="Arial" w:cs="Arial"/>
          <w:b/>
        </w:rPr>
        <w:t>E</w:t>
      </w:r>
      <w:r w:rsidR="00E63B5E" w:rsidRPr="00E63B5E">
        <w:rPr>
          <w:rFonts w:ascii="Arial" w:hAnsi="Arial" w:cs="Arial"/>
          <w:b/>
        </w:rPr>
        <w:t xml:space="preserve">nhance </w:t>
      </w:r>
      <w:r w:rsidR="00007117">
        <w:rPr>
          <w:rFonts w:ascii="Arial" w:hAnsi="Arial" w:cs="Arial"/>
          <w:b/>
        </w:rPr>
        <w:t>solution</w:t>
      </w:r>
      <w:r w:rsidR="00007117" w:rsidRPr="00E63B5E">
        <w:rPr>
          <w:rFonts w:ascii="Arial" w:hAnsi="Arial" w:cs="Arial"/>
          <w:b/>
        </w:rPr>
        <w:t xml:space="preserve"> </w:t>
      </w:r>
      <w:r w:rsidR="00E63B5E" w:rsidRPr="00E63B5E">
        <w:rPr>
          <w:rFonts w:ascii="Arial" w:hAnsi="Arial" w:cs="Arial"/>
          <w:b/>
        </w:rPr>
        <w:t xml:space="preserve">on </w:t>
      </w:r>
      <w:r w:rsidR="00B361EF">
        <w:rPr>
          <w:rFonts w:ascii="Arial" w:hAnsi="Arial" w:cs="Arial"/>
          <w:b/>
        </w:rPr>
        <w:t>Triggered</w:t>
      </w:r>
      <w:r w:rsidR="00E63B5E" w:rsidRPr="00E63B5E">
        <w:rPr>
          <w:rFonts w:ascii="Arial" w:hAnsi="Arial" w:cs="Arial"/>
          <w:b/>
        </w:rPr>
        <w:t xml:space="preserve"> CCL</w:t>
      </w:r>
      <w:r w:rsidR="00055822" w:rsidRPr="00BD038A">
        <w:rPr>
          <w:highlight w:val="green"/>
          <w:lang w:val="en-US"/>
        </w:rPr>
        <w:t xml:space="preserve"> </w:t>
      </w:r>
    </w:p>
    <w:p w14:paraId="3A03BB32"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3C314E92"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AA015F9" w14:textId="77777777" w:rsidR="000B7043" w:rsidRDefault="000B7043" w:rsidP="000B7043">
      <w:pPr>
        <w:pStyle w:val="Heading1"/>
      </w:pPr>
      <w:r>
        <w:t>1</w:t>
      </w:r>
      <w:r>
        <w:tab/>
        <w:t>Decision/action requested</w:t>
      </w:r>
    </w:p>
    <w:p w14:paraId="7A77D09D"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18B0B19" w14:textId="77777777" w:rsidR="000B7043" w:rsidRDefault="000B7043" w:rsidP="000B7043">
      <w:pPr>
        <w:pStyle w:val="Heading1"/>
      </w:pPr>
      <w:r>
        <w:t>2</w:t>
      </w:r>
      <w:r>
        <w:tab/>
        <w:t>References</w:t>
      </w:r>
    </w:p>
    <w:p w14:paraId="2E35A5DC" w14:textId="4D32F702"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w:t>
      </w:r>
      <w:r w:rsidR="00934ED6">
        <w:rPr>
          <w:rFonts w:ascii="Arial" w:hAnsi="Arial" w:cs="Arial"/>
          <w:color w:val="000000"/>
          <w:lang w:eastAsia="zh-CN"/>
        </w:rPr>
        <w:t xml:space="preserve">041 </w:t>
      </w:r>
      <w:r w:rsidR="00C476E1">
        <w:rPr>
          <w:rFonts w:ascii="Arial" w:hAnsi="Arial" w:cs="Arial"/>
          <w:color w:val="000000"/>
          <w:lang w:eastAsia="zh-CN"/>
        </w:rPr>
        <w:t>“</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5B28B25A" w14:textId="77777777" w:rsidR="0003673A" w:rsidRDefault="000B7043" w:rsidP="000E4D85">
      <w:pPr>
        <w:pStyle w:val="Heading1"/>
      </w:pPr>
      <w:r>
        <w:t>3</w:t>
      </w:r>
      <w:r>
        <w:tab/>
        <w:t>Rationale</w:t>
      </w:r>
    </w:p>
    <w:p w14:paraId="434F00D6" w14:textId="77777777" w:rsidR="00055822" w:rsidRDefault="00E63B5E" w:rsidP="00A4029C">
      <w:pPr>
        <w:spacing w:line="264" w:lineRule="auto"/>
        <w:jc w:val="both"/>
      </w:pPr>
      <w:r>
        <w:t xml:space="preserve">TR28.867 defines a use </w:t>
      </w:r>
      <w:proofErr w:type="spellStart"/>
      <w:r>
        <w:t>cae</w:t>
      </w:r>
      <w:proofErr w:type="spellEnd"/>
      <w:r>
        <w:t xml:space="preserve"> of </w:t>
      </w:r>
      <w:proofErr w:type="spellStart"/>
      <w:r>
        <w:t>historicl</w:t>
      </w:r>
      <w:proofErr w:type="spellEnd"/>
      <w:r>
        <w:t xml:space="preserve"> CCL which provides data to </w:t>
      </w:r>
      <w:proofErr w:type="spellStart"/>
      <w:r>
        <w:t>enale</w:t>
      </w:r>
      <w:proofErr w:type="spellEnd"/>
      <w:r>
        <w:t xml:space="preserve"> a CCL to be instantiated based on data from previous CCLs. The </w:t>
      </w:r>
      <w:proofErr w:type="spellStart"/>
      <w:r>
        <w:t>usecase</w:t>
      </w:r>
      <w:proofErr w:type="spellEnd"/>
      <w:r>
        <w:t xml:space="preserve"> and solution does not show how that data can be used.  </w:t>
      </w:r>
      <w:r w:rsidR="001E28ED" w:rsidRPr="005C4716">
        <w:t xml:space="preserve">This </w:t>
      </w:r>
      <w:proofErr w:type="spellStart"/>
      <w:r w:rsidR="001E28ED" w:rsidRPr="005C4716">
        <w:t>pCR</w:t>
      </w:r>
      <w:proofErr w:type="spellEnd"/>
      <w:r w:rsidR="001E28ED" w:rsidRPr="005C4716">
        <w:t xml:space="preserve"> </w:t>
      </w:r>
      <w:r>
        <w:t xml:space="preserve">enhances the </w:t>
      </w:r>
      <w:r w:rsidR="001E28ED" w:rsidRPr="005C4716">
        <w:t xml:space="preserve"> UC </w:t>
      </w:r>
      <w:r>
        <w:t>show how that data can be used for instantiating the new CCL.</w:t>
      </w:r>
    </w:p>
    <w:p w14:paraId="48DFD8ED"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493F8716" w14:textId="77777777" w:rsidTr="00D123D1">
        <w:tc>
          <w:tcPr>
            <w:tcW w:w="9639" w:type="dxa"/>
            <w:shd w:val="clear" w:color="auto" w:fill="FFFFCC"/>
            <w:vAlign w:val="center"/>
          </w:tcPr>
          <w:p w14:paraId="4E91C501"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252E3B06" w14:textId="77777777" w:rsidR="006323C3" w:rsidRDefault="006323C3" w:rsidP="006323C3">
      <w:pPr>
        <w:pStyle w:val="Heading1"/>
      </w:pPr>
      <w:bookmarkStart w:id="4" w:name="_Toc158014944"/>
      <w:bookmarkStart w:id="5" w:name="_Toc50630200"/>
      <w:bookmarkStart w:id="6" w:name="_Toc66877266"/>
      <w:bookmarkStart w:id="7" w:name="_Hlk96012523"/>
      <w:bookmarkStart w:id="8" w:name="_Toc145334632"/>
      <w:bookmarkStart w:id="9" w:name="_Toc145421076"/>
      <w:bookmarkStart w:id="10" w:name="_Toc145421842"/>
      <w:bookmarkEnd w:id="3"/>
      <w:r>
        <w:t xml:space="preserve">5. </w:t>
      </w:r>
      <w:r>
        <w:tab/>
      </w:r>
      <w:r>
        <w:tab/>
      </w:r>
      <w:r>
        <w:tab/>
        <w:t>Use Cases</w:t>
      </w:r>
      <w:bookmarkEnd w:id="4"/>
    </w:p>
    <w:p w14:paraId="49FB9FB8" w14:textId="77777777" w:rsidR="00A34F66" w:rsidRPr="0031242A" w:rsidRDefault="00A34F66" w:rsidP="00A34F66">
      <w:pPr>
        <w:pStyle w:val="Heading2"/>
      </w:pPr>
      <w:bookmarkStart w:id="11" w:name="_Toc177118948"/>
      <w:bookmarkStart w:id="12" w:name="_Toc168485166"/>
      <w:bookmarkStart w:id="13" w:name="_Toc168485606"/>
      <w:bookmarkStart w:id="14" w:name="_Toc168485682"/>
      <w:bookmarkStart w:id="15" w:name="_Toc168485890"/>
      <w:bookmarkStart w:id="16" w:name="_Toc177138521"/>
      <w:bookmarkStart w:id="17" w:name="_Toc177138884"/>
      <w:bookmarkEnd w:id="5"/>
      <w:bookmarkEnd w:id="6"/>
      <w:bookmarkEnd w:id="7"/>
      <w:bookmarkEnd w:id="8"/>
      <w:bookmarkEnd w:id="9"/>
      <w:bookmarkEnd w:id="10"/>
      <w:r w:rsidRPr="0031242A">
        <w:t>5.1</w:t>
      </w:r>
      <w:r w:rsidRPr="0031242A">
        <w:tab/>
        <w:t>Use case 1: Dynamic CCL Creation</w:t>
      </w:r>
      <w:bookmarkEnd w:id="11"/>
      <w:bookmarkEnd w:id="12"/>
      <w:bookmarkEnd w:id="13"/>
      <w:bookmarkEnd w:id="14"/>
      <w:bookmarkEnd w:id="15"/>
      <w:bookmarkEnd w:id="16"/>
      <w:bookmarkEnd w:id="17"/>
    </w:p>
    <w:p w14:paraId="552B34DA" w14:textId="77777777" w:rsidR="00A34F66" w:rsidRPr="0031242A" w:rsidRDefault="00A34F66" w:rsidP="00A34F66">
      <w:pPr>
        <w:pStyle w:val="Heading3"/>
      </w:pPr>
      <w:bookmarkStart w:id="18" w:name="_Toc168485167"/>
      <w:bookmarkStart w:id="19" w:name="_Toc168485607"/>
      <w:bookmarkStart w:id="20" w:name="_Toc168485683"/>
      <w:bookmarkStart w:id="21" w:name="_Toc168485891"/>
      <w:bookmarkStart w:id="22" w:name="_Toc177118949"/>
      <w:bookmarkStart w:id="23" w:name="_Toc177138522"/>
      <w:bookmarkStart w:id="24" w:name="_Toc177138885"/>
      <w:r w:rsidRPr="0031242A">
        <w:t>5.1.1</w:t>
      </w:r>
      <w:r w:rsidRPr="0031242A">
        <w:tab/>
        <w:t>Description</w:t>
      </w:r>
      <w:bookmarkEnd w:id="18"/>
      <w:bookmarkEnd w:id="19"/>
      <w:bookmarkEnd w:id="20"/>
      <w:bookmarkEnd w:id="21"/>
      <w:bookmarkEnd w:id="22"/>
      <w:bookmarkEnd w:id="23"/>
      <w:bookmarkEnd w:id="24"/>
    </w:p>
    <w:p w14:paraId="75977552" w14:textId="77777777" w:rsidR="00A34F66" w:rsidRPr="0031242A" w:rsidRDefault="00A34F66" w:rsidP="00A34F66">
      <w:pPr>
        <w:pStyle w:val="Heading4"/>
      </w:pPr>
      <w:bookmarkStart w:id="25" w:name="_Toc177118950"/>
      <w:bookmarkStart w:id="26" w:name="_Toc177138523"/>
      <w:bookmarkStart w:id="27" w:name="_Toc177138886"/>
      <w:r w:rsidRPr="0031242A">
        <w:t>5.1.1.1</w:t>
      </w:r>
      <w:r w:rsidRPr="0031242A">
        <w:tab/>
        <w:t>Overview</w:t>
      </w:r>
      <w:bookmarkEnd w:id="25"/>
      <w:bookmarkEnd w:id="26"/>
      <w:bookmarkEnd w:id="27"/>
    </w:p>
    <w:p w14:paraId="4E7CBABB" w14:textId="77777777" w:rsidR="00A34F66" w:rsidRPr="0031242A" w:rsidRDefault="00A34F66" w:rsidP="00A34F66">
      <w:r w:rsidRPr="0031242A">
        <w:t>CCLs may be dynamically realized. There are two aspects to dynamically realization of CCLs - dynamic instantiation of a CCL from an existing template and dynamically composing the CCL.</w:t>
      </w:r>
    </w:p>
    <w:p w14:paraId="22148029" w14:textId="77777777" w:rsidR="00A34F66" w:rsidRPr="0031242A" w:rsidRDefault="00A34F66" w:rsidP="00A34F66">
      <w:pPr>
        <w:pStyle w:val="Heading4"/>
      </w:pPr>
      <w:bookmarkStart w:id="28" w:name="_Toc177118951"/>
      <w:bookmarkStart w:id="29" w:name="_Toc177138524"/>
      <w:bookmarkStart w:id="30" w:name="_Toc177138887"/>
      <w:r w:rsidRPr="0031242A">
        <w:t>5.1.1.2</w:t>
      </w:r>
      <w:r w:rsidRPr="0031242A">
        <w:tab/>
        <w:t>Dynamic composition of CCLs</w:t>
      </w:r>
      <w:bookmarkEnd w:id="28"/>
      <w:bookmarkEnd w:id="29"/>
      <w:bookmarkEnd w:id="30"/>
    </w:p>
    <w:p w14:paraId="078571C6" w14:textId="77777777" w:rsidR="00A34F66" w:rsidRPr="0031242A" w:rsidRDefault="00A34F66" w:rsidP="00A34F66">
      <w:r w:rsidRPr="0031242A">
        <w:t>A CCL may be composed on stages provided by different management functions or management services. 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 Accordingly, the MnS consumer should be able to identify and indicate the MnFs or MnS producers that should be used to compose a CCL. Moreover, the MnS consumer may indicate towards the MnS producer the request to compose the CL of a particular type (e.g. for optimizing energy efficiency) without requiring to state the specific components that should be used.</w:t>
      </w:r>
    </w:p>
    <w:p w14:paraId="256A7A58" w14:textId="77777777" w:rsidR="00A34F66" w:rsidRPr="0031242A" w:rsidRDefault="00A34F66" w:rsidP="00A34F66">
      <w:pPr>
        <w:pStyle w:val="Heading4"/>
      </w:pPr>
      <w:bookmarkStart w:id="31" w:name="_Toc177118952"/>
      <w:bookmarkStart w:id="32" w:name="_Toc177138525"/>
      <w:bookmarkStart w:id="33" w:name="_Toc177138888"/>
      <w:r w:rsidRPr="0031242A">
        <w:lastRenderedPageBreak/>
        <w:t>5.1.1.3</w:t>
      </w:r>
      <w:r w:rsidRPr="0031242A">
        <w:tab/>
        <w:t>Examples for scenarios for Dynamic composition of CCLs</w:t>
      </w:r>
      <w:bookmarkEnd w:id="31"/>
      <w:bookmarkEnd w:id="32"/>
      <w:bookmarkEnd w:id="33"/>
    </w:p>
    <w:p w14:paraId="00E44B67" w14:textId="77777777" w:rsidR="00A34F66" w:rsidRPr="0031242A" w:rsidRDefault="00A34F66" w:rsidP="00A34F66">
      <w:pPr>
        <w:pStyle w:val="Heading5"/>
      </w:pPr>
      <w:bookmarkStart w:id="34" w:name="_Toc177138526"/>
      <w:bookmarkStart w:id="35" w:name="_Toc177138889"/>
      <w:r w:rsidRPr="0031242A">
        <w:t>5.1.1.3.1</w:t>
      </w:r>
      <w:r w:rsidRPr="0031242A">
        <w:tab/>
        <w:t>Composition from management Functions</w:t>
      </w:r>
      <w:bookmarkEnd w:id="34"/>
      <w:bookmarkEnd w:id="35"/>
    </w:p>
    <w:p w14:paraId="512D6231" w14:textId="77777777" w:rsidR="00A34F66" w:rsidRPr="0031242A" w:rsidRDefault="00A34F66" w:rsidP="00A34F66">
      <w:r w:rsidRPr="0031242A">
        <w:t>Different management functions may be used to realize the different stages of a closed loop, for example, an MDA function may realize the analytics stage of the CCL while another management function may realize the decision stage of the CCL.</w:t>
      </w:r>
    </w:p>
    <w:p w14:paraId="551CDF59" w14:textId="77777777" w:rsidR="00A34F66" w:rsidRPr="0031242A" w:rsidRDefault="00A34F66" w:rsidP="00A34F66">
      <w:pPr>
        <w:pStyle w:val="TH"/>
      </w:pPr>
      <w:r w:rsidRPr="0031242A">
        <w:object w:dxaOrig="8629" w:dyaOrig="3241" w14:anchorId="7A1E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1pt" o:ole="">
            <v:imagedata r:id="rId15" o:title="" croptop="6675f" cropbottom="7889f" cropleft="2658f" cropright="2582f"/>
          </v:shape>
          <o:OLEObject Type="Embed" ProgID="Visio.Drawing.11" ShapeID="_x0000_i1025" DrawAspect="Content" ObjectID="_1790475071" r:id="rId16"/>
        </w:object>
      </w:r>
    </w:p>
    <w:p w14:paraId="4FB12DB3" w14:textId="77777777" w:rsidR="00A34F66" w:rsidRPr="0031242A" w:rsidRDefault="00A34F66" w:rsidP="00A34F66">
      <w:pPr>
        <w:pStyle w:val="TF"/>
      </w:pPr>
      <w:r w:rsidRPr="0031242A">
        <w:t>Figure 5.1.1.1-1: Management functions as stages of a closed control loop</w:t>
      </w:r>
    </w:p>
    <w:p w14:paraId="5B331A18" w14:textId="77777777" w:rsidR="00A34F66" w:rsidRPr="0031242A" w:rsidRDefault="00A34F66" w:rsidP="00A34F66">
      <w:pPr>
        <w:pStyle w:val="Heading5"/>
      </w:pPr>
      <w:bookmarkStart w:id="36" w:name="_Toc177138527"/>
      <w:bookmarkStart w:id="37" w:name="_Toc177138890"/>
      <w:r w:rsidRPr="0031242A">
        <w:t>5.1.1.3.2</w:t>
      </w:r>
      <w:r w:rsidRPr="0031242A">
        <w:tab/>
        <w:t>Composition from management services</w:t>
      </w:r>
      <w:bookmarkEnd w:id="36"/>
      <w:bookmarkEnd w:id="37"/>
    </w:p>
    <w:p w14:paraId="527D0467" w14:textId="77777777" w:rsidR="00A34F66" w:rsidRPr="0031242A" w:rsidRDefault="00A34F66" w:rsidP="00A34F66">
      <w:pPr>
        <w:rPr>
          <w:color w:val="000000"/>
        </w:rPr>
      </w:pPr>
      <w:r w:rsidRPr="0031242A">
        <w:rPr>
          <w:color w:val="000000"/>
        </w:rPr>
        <w:t xml:space="preserve">Different management services may be used to realize the different stages of a closed loop, i.e. the management service provides the output expected from a specific stage. </w:t>
      </w:r>
    </w:p>
    <w:p w14:paraId="211EBCA9" w14:textId="77777777" w:rsidR="00A34F66" w:rsidRPr="0031242A" w:rsidRDefault="00A34F66" w:rsidP="00A34F66">
      <w:pPr>
        <w:pStyle w:val="EX"/>
      </w:pPr>
      <w:r w:rsidRPr="0031242A">
        <w:t>EXAMPLE:</w:t>
      </w:r>
      <w:r w:rsidRPr="0031242A">
        <w:tab/>
        <w:t>A capability of the MDA MnS realizes an analytics stage of the CCL while another capability may realize a specific data collection stage of the CCL.</w:t>
      </w:r>
    </w:p>
    <w:p w14:paraId="33385FAF" w14:textId="77777777" w:rsidR="00A34F66" w:rsidRPr="0031242A" w:rsidRDefault="00A34F66" w:rsidP="00A34F66">
      <w:pPr>
        <w:pStyle w:val="TH"/>
      </w:pPr>
      <w:r w:rsidRPr="0031242A">
        <w:t>a)</w:t>
      </w:r>
      <w:r w:rsidRPr="0031242A">
        <w:object w:dxaOrig="4140" w:dyaOrig="3288" w14:anchorId="016343E4">
          <v:shape id="_x0000_i1026" type="#_x0000_t75" style="width:204pt;height:145pt" o:ole="">
            <v:imagedata r:id="rId17" o:title="" croptop="7968f" cropbottom="8964f" cropleft="5699f" cropright="5699f"/>
          </v:shape>
          <o:OLEObject Type="Embed" ProgID="Visio.Drawing.11" ShapeID="_x0000_i1026" DrawAspect="Content" ObjectID="_1790475072" r:id="rId18"/>
        </w:object>
      </w:r>
      <w:r w:rsidRPr="0031242A">
        <w:tab/>
        <w:t>b)</w:t>
      </w:r>
      <w:r w:rsidRPr="0031242A">
        <w:object w:dxaOrig="4165" w:dyaOrig="3288" w14:anchorId="583024AB">
          <v:shape id="_x0000_i1027" type="#_x0000_t75" style="width:205pt;height:150pt" o:ole="">
            <v:imagedata r:id="rId19" o:title="" croptop="7570f" cropbottom="8765f" cropleft="6601f" cropright="6129f"/>
          </v:shape>
          <o:OLEObject Type="Embed" ProgID="Visio.Drawing.11" ShapeID="_x0000_i1027" DrawAspect="Content" ObjectID="_1790475073" r:id="rId20"/>
        </w:object>
      </w:r>
    </w:p>
    <w:p w14:paraId="14BB9092" w14:textId="77777777" w:rsidR="00A34F66" w:rsidRPr="0031242A" w:rsidRDefault="00A34F66" w:rsidP="00A34F66">
      <w:pPr>
        <w:pStyle w:val="TF"/>
      </w:pPr>
      <w:r w:rsidRPr="0031242A">
        <w:rPr>
          <w:rFonts w:cs="Arial"/>
        </w:rPr>
        <w:t>Figure 5.1.1.3.2-1: Management services used as implementations of CCL stages:</w:t>
      </w:r>
      <w:r w:rsidRPr="0031242A">
        <w:rPr>
          <w:rFonts w:cs="Arial"/>
        </w:rPr>
        <w:br/>
        <w:t>a) MDA MnS and PM job the respective implementations of the analysis and data collection stages; and b) MDA MnS as the</w:t>
      </w:r>
      <w:r w:rsidRPr="0031242A">
        <w:t xml:space="preserve"> implementation of the decision stage</w:t>
      </w:r>
    </w:p>
    <w:p w14:paraId="7AA5FC44" w14:textId="77777777" w:rsidR="00A34F66" w:rsidRPr="0031242A" w:rsidRDefault="00A34F66" w:rsidP="00A34F66">
      <w:pPr>
        <w:rPr>
          <w:color w:val="000000"/>
        </w:rPr>
      </w:pPr>
      <w:r w:rsidRPr="0031242A">
        <w:t>The MnS consumer should be enabled to manage the composition of such a CCL. The MnS consumer could request for and be notified about the composition of a CCL from a set of specific components (i.e. specific management functions or management services). The request could indicate components with specific given capabilities (such as analytics services with specific analytics types) which should be combined to achieve the closed loop. Moreover, the request could be for composition of a CCL required to achieve a specific set of desired outcomes or goals.</w:t>
      </w:r>
    </w:p>
    <w:p w14:paraId="4CCBA4A1" w14:textId="77777777" w:rsidR="00A34F66" w:rsidRPr="0031242A" w:rsidRDefault="00A34F66" w:rsidP="00A34F66">
      <w:pPr>
        <w:pStyle w:val="Heading3"/>
      </w:pPr>
      <w:bookmarkStart w:id="38" w:name="_Toc168485168"/>
      <w:bookmarkStart w:id="39" w:name="_Toc168485608"/>
      <w:bookmarkStart w:id="40" w:name="_Toc168485684"/>
      <w:bookmarkStart w:id="41" w:name="_Toc168485892"/>
      <w:bookmarkStart w:id="42" w:name="_Toc177118953"/>
      <w:bookmarkStart w:id="43" w:name="_Toc177138528"/>
      <w:bookmarkStart w:id="44" w:name="_Toc177138891"/>
      <w:r w:rsidRPr="0031242A">
        <w:t>5.1.2</w:t>
      </w:r>
      <w:r w:rsidRPr="0031242A">
        <w:tab/>
        <w:t>Potential Requirements</w:t>
      </w:r>
      <w:bookmarkEnd w:id="38"/>
      <w:bookmarkEnd w:id="39"/>
      <w:bookmarkEnd w:id="40"/>
      <w:bookmarkEnd w:id="41"/>
      <w:bookmarkEnd w:id="42"/>
      <w:bookmarkEnd w:id="43"/>
      <w:bookmarkEnd w:id="44"/>
    </w:p>
    <w:p w14:paraId="3B778BEE" w14:textId="77777777" w:rsidR="00A34F66" w:rsidRPr="0031242A" w:rsidRDefault="00A34F66" w:rsidP="00A34F66">
      <w:r w:rsidRPr="0031242A">
        <w:rPr>
          <w:b/>
          <w:bCs/>
        </w:rPr>
        <w:t>REQ-CCL-CRTN-1</w:t>
      </w:r>
      <w:r w:rsidRPr="0031242A">
        <w:t>: The CCL MnS Producer should support a capability enabling the MnS consumer to request for a CCL (instance) to be composed from a set of management function types or instances or management services.</w:t>
      </w:r>
    </w:p>
    <w:p w14:paraId="74400253" w14:textId="77777777" w:rsidR="00A34F66" w:rsidRPr="0031242A" w:rsidRDefault="00A34F66" w:rsidP="00A34F66">
      <w:r w:rsidRPr="0031242A">
        <w:rPr>
          <w:b/>
          <w:bCs/>
        </w:rPr>
        <w:lastRenderedPageBreak/>
        <w:t>REQ-CCL-CRTN-2:</w:t>
      </w:r>
      <w:r w:rsidRPr="0031242A">
        <w:t xml:space="preserve"> The MnS producer for CCL management should support a capability enabling the MnS consumer to request that a CCL of a specific type or fulfilling a stated goal should be composed from a set of management function types or instances or services.</w:t>
      </w:r>
    </w:p>
    <w:p w14:paraId="56A61453" w14:textId="77777777" w:rsidR="00A34F66" w:rsidRPr="0031242A" w:rsidRDefault="00A34F66" w:rsidP="00A34F66">
      <w:r w:rsidRPr="0031242A">
        <w:rPr>
          <w:b/>
          <w:bCs/>
        </w:rPr>
        <w:t>REQ-CCL-CRTN-3:</w:t>
      </w:r>
      <w:r w:rsidRPr="0031242A">
        <w:t xml:space="preserve"> The MnS producer for CCL management should support a capability enabling the MnS consumer to provide conditions under which a CCL can be dynamically composed or instantiated triggered to execute.</w:t>
      </w:r>
    </w:p>
    <w:p w14:paraId="3C669CD4" w14:textId="77777777" w:rsidR="00A34F66" w:rsidRPr="0031242A" w:rsidRDefault="00A34F66" w:rsidP="00A34F66">
      <w:r w:rsidRPr="0031242A">
        <w:rPr>
          <w:b/>
          <w:bCs/>
        </w:rPr>
        <w:t>REQ-CCL-CRTN-4:</w:t>
      </w:r>
      <w:r w:rsidRPr="0031242A">
        <w:t xml:space="preserve"> The MnS producer for CCL management should support a capability enabling the MnS consumer to be notified when a CCL is dynamically composed or instantiated or triggered to execute.</w:t>
      </w:r>
    </w:p>
    <w:p w14:paraId="479B4157" w14:textId="77777777" w:rsidR="00A34F66" w:rsidRPr="0031242A" w:rsidRDefault="00A34F66" w:rsidP="00A34F66">
      <w:pPr>
        <w:pStyle w:val="Heading3"/>
      </w:pPr>
      <w:bookmarkStart w:id="45" w:name="_Toc168485169"/>
      <w:bookmarkStart w:id="46" w:name="_Toc168485609"/>
      <w:bookmarkStart w:id="47" w:name="_Toc168485685"/>
      <w:bookmarkStart w:id="48" w:name="_Toc168485893"/>
      <w:bookmarkStart w:id="49" w:name="_Toc177118954"/>
      <w:bookmarkStart w:id="50" w:name="_Toc177138529"/>
      <w:bookmarkStart w:id="51" w:name="_Toc177138892"/>
      <w:r w:rsidRPr="0031242A">
        <w:t>5.1.3</w:t>
      </w:r>
      <w:r w:rsidRPr="0031242A">
        <w:tab/>
        <w:t>Potential Solutions</w:t>
      </w:r>
      <w:bookmarkEnd w:id="45"/>
      <w:bookmarkEnd w:id="46"/>
      <w:bookmarkEnd w:id="47"/>
      <w:bookmarkEnd w:id="48"/>
      <w:bookmarkEnd w:id="49"/>
      <w:bookmarkEnd w:id="50"/>
      <w:bookmarkEnd w:id="51"/>
    </w:p>
    <w:p w14:paraId="2A2675A8" w14:textId="77777777" w:rsidR="00A34F66" w:rsidRPr="0031242A" w:rsidRDefault="00A34F66" w:rsidP="00A34F66">
      <w:pPr>
        <w:pStyle w:val="Heading4"/>
      </w:pPr>
      <w:bookmarkStart w:id="52" w:name="_Toc168485170"/>
      <w:bookmarkStart w:id="53" w:name="_Toc168485610"/>
      <w:bookmarkStart w:id="54" w:name="_Toc168485686"/>
      <w:bookmarkStart w:id="55" w:name="_Toc168485894"/>
      <w:bookmarkStart w:id="56" w:name="_Toc177118955"/>
      <w:bookmarkStart w:id="57" w:name="_Toc177138530"/>
      <w:bookmarkStart w:id="58" w:name="_Toc177138893"/>
      <w:r w:rsidRPr="0031242A">
        <w:t>5.1.3.1</w:t>
      </w:r>
      <w:r w:rsidRPr="0031242A">
        <w:tab/>
        <w:t>Solution-1</w:t>
      </w:r>
      <w:bookmarkEnd w:id="52"/>
      <w:bookmarkEnd w:id="53"/>
      <w:bookmarkEnd w:id="54"/>
      <w:bookmarkEnd w:id="55"/>
      <w:bookmarkEnd w:id="56"/>
      <w:bookmarkEnd w:id="57"/>
      <w:bookmarkEnd w:id="58"/>
    </w:p>
    <w:p w14:paraId="207C79B6" w14:textId="77777777" w:rsidR="00A34F66" w:rsidRPr="0031242A" w:rsidRDefault="00A34F66" w:rsidP="00A34F66">
      <w:r w:rsidRPr="0031242A">
        <w:t>To enable dynamic composition of the CCL:</w:t>
      </w:r>
    </w:p>
    <w:p w14:paraId="62560020" w14:textId="77777777" w:rsidR="00A34F66" w:rsidRPr="0031242A" w:rsidRDefault="00A34F66" w:rsidP="00A34F66">
      <w:pPr>
        <w:pStyle w:val="ListBullet"/>
        <w:numPr>
          <w:ilvl w:val="0"/>
          <w:numId w:val="20"/>
        </w:numPr>
        <w:overflowPunct w:val="0"/>
        <w:autoSpaceDE w:val="0"/>
        <w:autoSpaceDN w:val="0"/>
        <w:adjustRightInd w:val="0"/>
        <w:ind w:left="568" w:hanging="284"/>
        <w:textAlignment w:val="baseline"/>
      </w:pPr>
      <w:r w:rsidRPr="0031242A">
        <w:t>Extend the existing</w:t>
      </w:r>
      <w:r w:rsidRPr="0031242A" w:rsidDel="008542F6">
        <w:t xml:space="preserve"> </w:t>
      </w:r>
      <w:r w:rsidRPr="0031242A">
        <w:t>ACCL IOC to represent a general Closed Control Loop, say named CCL:</w:t>
      </w:r>
    </w:p>
    <w:p w14:paraId="184FB0A2" w14:textId="77777777" w:rsidR="00A34F66" w:rsidRPr="0031242A" w:rsidRDefault="00A34F66" w:rsidP="00A34F66">
      <w:pPr>
        <w:pStyle w:val="NO"/>
      </w:pPr>
      <w:r w:rsidRPr="0031242A">
        <w:t>NOTE 1:</w:t>
      </w:r>
      <w:r w:rsidRPr="0031242A">
        <w:tab/>
        <w:t>The best name for this IOC and how to extend is For Further Study.</w:t>
      </w:r>
    </w:p>
    <w:p w14:paraId="4437E4A2" w14:textId="77777777" w:rsidR="00A34F66" w:rsidRPr="0031242A" w:rsidRDefault="00A34F66" w:rsidP="00A34F66">
      <w:pPr>
        <w:pStyle w:val="B2"/>
      </w:pPr>
      <w:r w:rsidRPr="0031242A">
        <w:t>-</w:t>
      </w:r>
      <w:r w:rsidRPr="0031242A">
        <w:tab/>
        <w:t>The CCL may include information on a CCL Category, which indicates the CCL Category to be instantiated:</w:t>
      </w:r>
    </w:p>
    <w:p w14:paraId="2F4AF404"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 xml:space="preserve">Introduce an attribute for a type of CCL, say called </w:t>
      </w:r>
      <w:proofErr w:type="spellStart"/>
      <w:r w:rsidRPr="0031242A">
        <w:t>CCLCategory</w:t>
      </w:r>
      <w:proofErr w:type="spellEnd"/>
      <w:r w:rsidRPr="0031242A">
        <w:t>. The CCL Category indicates the kind of capability that is accomplished by the CCL instance, e.g. ENERGYOPTIMIZATION, SLICEASSURANCE, etc.</w:t>
      </w:r>
    </w:p>
    <w:p w14:paraId="69801D22" w14:textId="77777777" w:rsidR="00A34F66" w:rsidRPr="0031242A" w:rsidRDefault="00A34F66" w:rsidP="00A34F66">
      <w:pPr>
        <w:pStyle w:val="B2"/>
      </w:pPr>
      <w:r w:rsidRPr="0031242A">
        <w:t>-</w:t>
      </w:r>
      <w:r w:rsidRPr="0031242A">
        <w:tab/>
        <w:t>The CCL may include an attribute that contains information on the conditions under which a CCL can be dynamically composed . The attribute can be of type condition.</w:t>
      </w:r>
    </w:p>
    <w:p w14:paraId="72EA9FD4" w14:textId="77777777" w:rsidR="00A34F66" w:rsidRPr="0031242A" w:rsidRDefault="00A34F66" w:rsidP="00A34F66">
      <w:pPr>
        <w:pStyle w:val="ListBullet"/>
        <w:numPr>
          <w:ilvl w:val="0"/>
          <w:numId w:val="20"/>
        </w:numPr>
        <w:overflowPunct w:val="0"/>
        <w:autoSpaceDE w:val="0"/>
        <w:autoSpaceDN w:val="0"/>
        <w:adjustRightInd w:val="0"/>
        <w:ind w:left="568" w:hanging="284"/>
        <w:textAlignment w:val="baseline"/>
      </w:pPr>
      <w:r w:rsidRPr="0031242A">
        <w:t xml:space="preserve">Introduce a datatype representing a step of the CCL, say named </w:t>
      </w:r>
      <w:proofErr w:type="spellStart"/>
      <w:r w:rsidRPr="0031242A">
        <w:t>cCLStep</w:t>
      </w:r>
      <w:proofErr w:type="spellEnd"/>
      <w:r w:rsidRPr="0031242A">
        <w:t xml:space="preserve">. The </w:t>
      </w:r>
      <w:proofErr w:type="spellStart"/>
      <w:r w:rsidRPr="0031242A">
        <w:t>cCLStep</w:t>
      </w:r>
      <w:proofErr w:type="spellEnd"/>
      <w:r w:rsidRPr="0031242A">
        <w:t xml:space="preserve"> represents either a MnF or a MnS producer which can be part of the CCL:</w:t>
      </w:r>
    </w:p>
    <w:p w14:paraId="2E02793C" w14:textId="77777777" w:rsidR="00A34F66" w:rsidRPr="0031242A" w:rsidRDefault="00A34F66" w:rsidP="00A34F66">
      <w:pPr>
        <w:pStyle w:val="B2"/>
      </w:pPr>
      <w:r w:rsidRPr="0031242A">
        <w:t>-</w:t>
      </w:r>
      <w:r w:rsidRPr="0031242A">
        <w:tab/>
        <w:t xml:space="preserve">The </w:t>
      </w:r>
      <w:proofErr w:type="spellStart"/>
      <w:r w:rsidRPr="0031242A">
        <w:t>cCLStep</w:t>
      </w:r>
      <w:proofErr w:type="spellEnd"/>
      <w:r w:rsidRPr="0031242A">
        <w:t xml:space="preserve"> may have a role among those identified, i.e. MONITOR; ANALYSIS; DECISION; EXECUTION:</w:t>
      </w:r>
    </w:p>
    <w:p w14:paraId="2FF1B7F5"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 xml:space="preserve">Introduce an attribute for the role of the </w:t>
      </w:r>
      <w:proofErr w:type="spellStart"/>
      <w:r w:rsidRPr="0031242A">
        <w:t>cCLStep</w:t>
      </w:r>
      <w:proofErr w:type="spellEnd"/>
      <w:r w:rsidRPr="0031242A">
        <w:t>.</w:t>
      </w:r>
    </w:p>
    <w:p w14:paraId="672AFE94" w14:textId="77777777" w:rsidR="00A34F66" w:rsidRPr="0031242A" w:rsidRDefault="00A34F66" w:rsidP="00A34F66">
      <w:pPr>
        <w:pStyle w:val="NO"/>
      </w:pPr>
      <w:r w:rsidRPr="0031242A">
        <w:t>NOTE 2:</w:t>
      </w:r>
      <w:r w:rsidRPr="0031242A">
        <w:tab/>
        <w:t xml:space="preserve">The CCL may combine the defined </w:t>
      </w:r>
      <w:proofErr w:type="spellStart"/>
      <w:r w:rsidRPr="0031242A">
        <w:t>cCLSteps</w:t>
      </w:r>
      <w:proofErr w:type="spellEnd"/>
      <w:r w:rsidRPr="0031242A">
        <w:t xml:space="preserve"> with other capabilities that are internal to the CCL for some of the roles.</w:t>
      </w:r>
    </w:p>
    <w:p w14:paraId="77756607" w14:textId="77777777" w:rsidR="00A34F66" w:rsidRPr="0031242A" w:rsidRDefault="00A34F66" w:rsidP="00A34F66">
      <w:pPr>
        <w:pStyle w:val="B2"/>
      </w:pPr>
      <w:r w:rsidRPr="0031242A">
        <w:t>-</w:t>
      </w:r>
      <w:r w:rsidRPr="0031242A">
        <w:tab/>
        <w:t xml:space="preserve">The </w:t>
      </w:r>
      <w:proofErr w:type="spellStart"/>
      <w:r w:rsidRPr="0031242A">
        <w:t>cCLStep</w:t>
      </w:r>
      <w:proofErr w:type="spellEnd"/>
      <w:r w:rsidRPr="0031242A">
        <w:t xml:space="preserve"> may indicate the DN of an MOI or the combination of URI and DN that shall be used to fulfil that role.</w:t>
      </w:r>
    </w:p>
    <w:p w14:paraId="6DD81AD1"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 xml:space="preserve">Introduce an attribute for the entity that plays the role of the </w:t>
      </w:r>
      <w:proofErr w:type="spellStart"/>
      <w:r w:rsidRPr="0031242A">
        <w:t>cCLStep</w:t>
      </w:r>
      <w:proofErr w:type="spellEnd"/>
      <w:r w:rsidRPr="0031242A">
        <w:t>.</w:t>
      </w:r>
    </w:p>
    <w:p w14:paraId="1689C2EF"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The identifier may also be a query of the MnS registry defined as a condition expressed as JEX/XPATH expression.</w:t>
      </w:r>
    </w:p>
    <w:p w14:paraId="3E07F9CE" w14:textId="77777777" w:rsidR="00A34F66" w:rsidRDefault="00A34F66" w:rsidP="00A34F66">
      <w:pPr>
        <w:pStyle w:val="B2"/>
        <w:rPr>
          <w:ins w:id="59" w:author="Stephen Mwanje (Nokia)" w:date="2024-09-30T10:36:00Z" w16du:dateUtc="2024-09-30T08:36:00Z"/>
        </w:rPr>
      </w:pPr>
      <w:r w:rsidRPr="0031242A">
        <w:t>-</w:t>
      </w:r>
      <w:r w:rsidRPr="0031242A">
        <w:tab/>
        <w:t xml:space="preserve">The </w:t>
      </w:r>
      <w:proofErr w:type="spellStart"/>
      <w:r w:rsidRPr="0031242A">
        <w:t>cCLStep</w:t>
      </w:r>
      <w:proofErr w:type="spellEnd"/>
      <w:r w:rsidRPr="0031242A">
        <w:t xml:space="preserve"> may contain information on how the specific step shall be constructed. This may be represented as configuration plan as will be agreed in 3GPP TS 28.872 [7] or as a JEX/XPATH expression.</w:t>
      </w:r>
    </w:p>
    <w:p w14:paraId="5EEFC6EB" w14:textId="00B9F9CD" w:rsidR="008E53CE" w:rsidRPr="0031242A" w:rsidDel="00996378" w:rsidRDefault="008E53CE" w:rsidP="008E53CE">
      <w:pPr>
        <w:pStyle w:val="B2"/>
        <w:rPr>
          <w:ins w:id="60" w:author="Stephen Mwanje (Nokia)" w:date="2024-09-30T10:36:00Z" w16du:dateUtc="2024-09-30T08:36:00Z"/>
          <w:del w:id="61" w:author="Nokia-3" w:date="2024-10-15T05:21:00Z" w16du:dateUtc="2024-10-15T03:21:00Z"/>
        </w:rPr>
      </w:pPr>
      <w:ins w:id="62" w:author="Stephen Mwanje (Nokia)" w:date="2024-09-30T10:36:00Z" w16du:dateUtc="2024-09-30T08:36:00Z">
        <w:del w:id="63" w:author="Nokia-3" w:date="2024-10-15T05:21:00Z" w16du:dateUtc="2024-10-15T03:21:00Z">
          <w:r w:rsidDel="00996378">
            <w:delText>-</w:delText>
          </w:r>
          <w:r w:rsidDel="00996378">
            <w:tab/>
            <w:delText xml:space="preserve">Introduce an attribute on </w:delText>
          </w:r>
        </w:del>
      </w:ins>
      <w:ins w:id="64" w:author="Stephen Mwanje (Nokia)" w:date="2024-09-30T10:37:00Z" w16du:dateUtc="2024-09-30T08:37:00Z">
        <w:del w:id="65" w:author="Nokia-3" w:date="2024-10-15T05:21:00Z" w16du:dateUtc="2024-10-15T03:21:00Z">
          <w:r w:rsidDel="00996378">
            <w:delText>each CCL step</w:delText>
          </w:r>
        </w:del>
      </w:ins>
      <w:ins w:id="66" w:author="Stephen Mwanje (Nokia)" w:date="2024-09-30T10:36:00Z" w16du:dateUtc="2024-09-30T08:36:00Z">
        <w:del w:id="67" w:author="Nokia-3" w:date="2024-10-15T05:21:00Z" w16du:dateUtc="2024-10-15T03:21:00Z">
          <w:r w:rsidDel="00996378">
            <w:delText xml:space="preserve"> that indicates the management services which </w:delText>
          </w:r>
        </w:del>
      </w:ins>
      <w:ins w:id="68" w:author="Stephen Mwanje (Nokia)" w:date="2024-09-30T10:37:00Z" w16du:dateUtc="2024-09-30T08:37:00Z">
        <w:del w:id="69" w:author="Nokia-3" w:date="2024-10-15T05:21:00Z" w16du:dateUtc="2024-10-15T03:21:00Z">
          <w:r w:rsidDel="00996378">
            <w:delText>the CCL step</w:delText>
          </w:r>
        </w:del>
      </w:ins>
      <w:ins w:id="70" w:author="Stephen Mwanje (Nokia)" w:date="2024-09-30T10:36:00Z" w16du:dateUtc="2024-09-30T08:36:00Z">
        <w:del w:id="71" w:author="Nokia-3" w:date="2024-10-15T05:21:00Z" w16du:dateUtc="2024-10-15T03:21:00Z">
          <w:r w:rsidDel="00996378">
            <w:delText xml:space="preserve"> may consume. This enables an MnS consumer to indicate to the </w:delText>
          </w:r>
        </w:del>
      </w:ins>
      <w:ins w:id="72" w:author="Stephen Mwanje (Nokia)" w:date="2024-09-30T10:37:00Z" w16du:dateUtc="2024-09-30T08:37:00Z">
        <w:del w:id="73" w:author="Nokia-3" w:date="2024-10-15T05:21:00Z" w16du:dateUtc="2024-10-15T03:21:00Z">
          <w:r w:rsidDel="00996378">
            <w:delText xml:space="preserve">CCL step </w:delText>
          </w:r>
        </w:del>
      </w:ins>
      <w:ins w:id="74" w:author="Stephen Mwanje (Nokia)" w:date="2024-09-30T10:36:00Z" w16du:dateUtc="2024-09-30T08:36:00Z">
        <w:del w:id="75" w:author="Nokia-3" w:date="2024-10-15T05:21:00Z" w16du:dateUtc="2024-10-15T03:21:00Z">
          <w:r w:rsidDel="00996378">
            <w:delText xml:space="preserve">what management services </w:delText>
          </w:r>
        </w:del>
      </w:ins>
      <w:ins w:id="76" w:author="Stephen Mwanje (Nokia)" w:date="2024-09-30T10:38:00Z" w16du:dateUtc="2024-09-30T08:38:00Z">
        <w:del w:id="77" w:author="Nokia-3" w:date="2024-10-15T05:21:00Z" w16du:dateUtc="2024-10-15T03:21:00Z">
          <w:r w:rsidDel="00996378">
            <w:delText xml:space="preserve">it </w:delText>
          </w:r>
        </w:del>
      </w:ins>
      <w:ins w:id="78" w:author="Stephen Mwanje (Nokia)" w:date="2024-09-30T10:36:00Z" w16du:dateUtc="2024-09-30T08:36:00Z">
        <w:del w:id="79" w:author="Nokia-3" w:date="2024-10-15T05:21:00Z" w16du:dateUtc="2024-10-15T03:21:00Z">
          <w:r w:rsidDel="00996378">
            <w:delText xml:space="preserve">should consume to accomplish its role. For the CCL, the entity where the CCL is instantiated can configure different </w:delText>
          </w:r>
        </w:del>
      </w:ins>
      <w:ins w:id="80" w:author="Stephen Mwanje (Nokia)" w:date="2024-09-30T10:38:00Z" w16du:dateUtc="2024-09-30T08:38:00Z">
        <w:del w:id="81" w:author="Nokia-3" w:date="2024-10-15T05:21:00Z" w16du:dateUtc="2024-10-15T03:21:00Z">
          <w:r w:rsidDel="00996378">
            <w:delText xml:space="preserve">entities accomplishing the CCL steps </w:delText>
          </w:r>
        </w:del>
      </w:ins>
      <w:ins w:id="82" w:author="Stephen Mwanje (Nokia)" w:date="2024-09-30T10:36:00Z" w16du:dateUtc="2024-09-30T08:36:00Z">
        <w:del w:id="83" w:author="Nokia-3" w:date="2024-10-15T05:21:00Z" w16du:dateUtc="2024-10-15T03:21:00Z">
          <w:r w:rsidDel="00996378">
            <w:delText xml:space="preserve">to consume the </w:delText>
          </w:r>
        </w:del>
      </w:ins>
      <w:ins w:id="84" w:author="Stephen Mwanje (Nokia)" w:date="2024-09-30T10:38:00Z" w16du:dateUtc="2024-09-30T08:38:00Z">
        <w:del w:id="85" w:author="Nokia-3" w:date="2024-10-15T05:21:00Z" w16du:dateUtc="2024-10-15T03:21:00Z">
          <w:r w:rsidDel="00996378">
            <w:delText xml:space="preserve">configured </w:delText>
          </w:r>
        </w:del>
      </w:ins>
      <w:ins w:id="86" w:author="Stephen Mwanje (Nokia)" w:date="2024-09-30T10:36:00Z" w16du:dateUtc="2024-09-30T08:36:00Z">
        <w:del w:id="87" w:author="Nokia-3" w:date="2024-10-15T05:21:00Z" w16du:dateUtc="2024-10-15T03:21:00Z">
          <w:r w:rsidDel="00996378">
            <w:delText xml:space="preserve">services to then realize the loop. </w:delText>
          </w:r>
        </w:del>
      </w:ins>
    </w:p>
    <w:p w14:paraId="4995586B" w14:textId="77777777" w:rsidR="008E53CE" w:rsidRPr="0031242A" w:rsidRDefault="008E53CE" w:rsidP="00A34F66">
      <w:pPr>
        <w:pStyle w:val="B2"/>
      </w:pPr>
    </w:p>
    <w:p w14:paraId="53072967" w14:textId="77777777" w:rsidR="00A34F66" w:rsidRDefault="00A34F66" w:rsidP="00A34F66">
      <w:pPr>
        <w:pStyle w:val="NO"/>
        <w:rPr>
          <w:ins w:id="88" w:author="Nokia-3" w:date="2024-10-15T05:21:00Z" w16du:dateUtc="2024-10-15T03:21:00Z"/>
        </w:rPr>
      </w:pPr>
      <w:r w:rsidRPr="0031242A">
        <w:t>NOTE 3:</w:t>
      </w:r>
      <w:r w:rsidRPr="0031242A">
        <w:tab/>
        <w:t xml:space="preserve">The representation of the </w:t>
      </w:r>
      <w:proofErr w:type="spellStart"/>
      <w:r w:rsidRPr="0031242A">
        <w:t>cCLStep</w:t>
      </w:r>
      <w:proofErr w:type="spellEnd"/>
      <w:r w:rsidRPr="0031242A">
        <w:t xml:space="preserve"> as configuration plan as will be agreed in 3GPP TS 28.872 [7] or as a JEX/XPATH expression is For Further Study.</w:t>
      </w:r>
    </w:p>
    <w:p w14:paraId="153B19BA" w14:textId="0072217C" w:rsidR="00996378" w:rsidRPr="0031242A" w:rsidRDefault="00996378" w:rsidP="00996378">
      <w:pPr>
        <w:pStyle w:val="NO"/>
      </w:pPr>
      <w:ins w:id="89" w:author="Nokia-3" w:date="2024-10-15T05:21:00Z" w16du:dateUtc="2024-10-15T03:21:00Z">
        <w:r w:rsidRPr="0031242A">
          <w:t xml:space="preserve">NOTE </w:t>
        </w:r>
        <w:r>
          <w:t>4</w:t>
        </w:r>
        <w:r w:rsidRPr="0031242A">
          <w:t>:</w:t>
        </w:r>
        <w:r w:rsidRPr="0031242A">
          <w:tab/>
        </w:r>
      </w:ins>
      <w:ins w:id="90" w:author="Nokia-3" w:date="2024-10-15T05:22:00Z" w16du:dateUtc="2024-10-15T03:22:00Z">
        <w:r>
          <w:t>The selection of services consumed by a</w:t>
        </w:r>
      </w:ins>
      <w:ins w:id="91" w:author="Nokia-3" w:date="2024-10-15T05:23:00Z" w16du:dateUtc="2024-10-15T03:23:00Z">
        <w:r>
          <w:t xml:space="preserve"> management function representing a CCL step in an implementation decision / is not considered in this </w:t>
        </w:r>
      </w:ins>
      <w:ins w:id="92" w:author="Nokia-3" w:date="2024-10-15T05:24:00Z" w16du:dateUtc="2024-10-15T03:24:00Z">
        <w:r>
          <w:t>study</w:t>
        </w:r>
      </w:ins>
      <w:ins w:id="93" w:author="Nokia-3" w:date="2024-10-15T05:21:00Z" w16du:dateUtc="2024-10-15T03:21:00Z">
        <w:r w:rsidRPr="0031242A">
          <w:t>.</w:t>
        </w:r>
      </w:ins>
    </w:p>
    <w:p w14:paraId="54CC3EE4" w14:textId="77777777" w:rsidR="00A34F66" w:rsidRPr="0031242A" w:rsidRDefault="00A34F66" w:rsidP="00A34F66">
      <w:pPr>
        <w:pStyle w:val="ListBullet"/>
        <w:numPr>
          <w:ilvl w:val="0"/>
          <w:numId w:val="20"/>
        </w:numPr>
        <w:overflowPunct w:val="0"/>
        <w:autoSpaceDE w:val="0"/>
        <w:autoSpaceDN w:val="0"/>
        <w:adjustRightInd w:val="0"/>
        <w:ind w:left="568" w:hanging="284"/>
        <w:textAlignment w:val="baseline"/>
      </w:pPr>
      <w:r w:rsidRPr="0031242A">
        <w:lastRenderedPageBreak/>
        <w:t xml:space="preserve">Introduce on the CCL IOC, an attribute representing the sequence of steps of the CCL, say called </w:t>
      </w:r>
      <w:proofErr w:type="spellStart"/>
      <w:r w:rsidRPr="0031242A">
        <w:t>cCLSequence</w:t>
      </w:r>
      <w:proofErr w:type="spellEnd"/>
      <w:r w:rsidRPr="0031242A">
        <w:t xml:space="preserve">. The MnS consumer can provide the list of MnFs or MnS producers that should be combined into a CCL. The </w:t>
      </w:r>
      <w:proofErr w:type="spellStart"/>
      <w:r w:rsidRPr="0031242A">
        <w:t>cCLSequence</w:t>
      </w:r>
      <w:proofErr w:type="spellEnd"/>
      <w:r w:rsidRPr="0031242A">
        <w:t xml:space="preserve"> indicates the sequence in which the CCL steps are executed.</w:t>
      </w:r>
    </w:p>
    <w:p w14:paraId="3A958EF0" w14:textId="77777777" w:rsidR="00A34F66" w:rsidRPr="0031242A" w:rsidRDefault="00A34F66" w:rsidP="00A34F66">
      <w:pPr>
        <w:pStyle w:val="EX"/>
      </w:pPr>
      <w:r w:rsidRPr="0031242A">
        <w:t>EXAMLE:</w:t>
      </w:r>
      <w:r w:rsidRPr="0031242A">
        <w:tab/>
        <w:t xml:space="preserve">Is there are 2 steps that contribute to the analysis role, it is </w:t>
      </w:r>
      <w:proofErr w:type="spellStart"/>
      <w:r w:rsidRPr="0031242A">
        <w:t>is</w:t>
      </w:r>
      <w:proofErr w:type="spellEnd"/>
      <w:r w:rsidRPr="0031242A">
        <w:t xml:space="preserve"> necessary to show how those steps are sequenced:</w:t>
      </w:r>
    </w:p>
    <w:p w14:paraId="16996C6D" w14:textId="77777777" w:rsidR="00A34F66" w:rsidRPr="0031242A" w:rsidRDefault="00A34F66" w:rsidP="00A34F66">
      <w:pPr>
        <w:pStyle w:val="B4"/>
        <w:ind w:left="1985"/>
      </w:pPr>
      <w:r w:rsidRPr="0031242A">
        <w:t>-</w:t>
      </w:r>
      <w:r w:rsidRPr="0031242A">
        <w:tab/>
      </w:r>
      <w:proofErr w:type="spellStart"/>
      <w:r w:rsidRPr="0031242A">
        <w:t>cCLSequence</w:t>
      </w:r>
      <w:proofErr w:type="spellEnd"/>
      <w:r w:rsidRPr="0031242A">
        <w:t xml:space="preserve"> may be used as the request to compose a CCL (instance) through its members with each as a </w:t>
      </w:r>
      <w:proofErr w:type="spellStart"/>
      <w:r w:rsidRPr="0031242A">
        <w:t>cCLStep</w:t>
      </w:r>
      <w:proofErr w:type="spellEnd"/>
      <w:r w:rsidRPr="0031242A">
        <w:t xml:space="preserve"> identifying the DNs of the managed service producers or identifiers of management services (capabilities) that the MnS consumer wants to be used in a CCL (instance). The set of DNs may be 1 or more, e.g. only 1 if a single SON function fulfils the objectives of the CCL.</w:t>
      </w:r>
    </w:p>
    <w:p w14:paraId="16E13FE8" w14:textId="77777777" w:rsidR="00A34F66" w:rsidRDefault="00A34F66" w:rsidP="00A34F66">
      <w:pPr>
        <w:pStyle w:val="ListBullet"/>
        <w:numPr>
          <w:ilvl w:val="0"/>
          <w:numId w:val="20"/>
        </w:numPr>
        <w:overflowPunct w:val="0"/>
        <w:autoSpaceDE w:val="0"/>
        <w:autoSpaceDN w:val="0"/>
        <w:adjustRightInd w:val="0"/>
        <w:ind w:left="568" w:hanging="284"/>
        <w:textAlignment w:val="baseline"/>
      </w:pPr>
      <w:r w:rsidRPr="0031242A">
        <w:t>Introduce in CCL an attribute providing information related to the identifiers of the required management functions and the required configuration that make the CCL. When a combination of the sets of management functions and services are all defined to include their data sources, the combination is equivalent to a dynamically composed CCL.</w:t>
      </w:r>
    </w:p>
    <w:p w14:paraId="5A5D647F" w14:textId="77777777" w:rsidR="00A34F66" w:rsidRPr="0031242A" w:rsidRDefault="00A34F66" w:rsidP="00A34F66">
      <w:pPr>
        <w:pStyle w:val="Heading3"/>
      </w:pPr>
      <w:bookmarkStart w:id="94" w:name="_Toc168485171"/>
      <w:bookmarkStart w:id="95" w:name="_Toc168485611"/>
      <w:bookmarkStart w:id="96" w:name="_Toc168485687"/>
      <w:bookmarkStart w:id="97" w:name="_Toc168485895"/>
      <w:bookmarkStart w:id="98" w:name="_Toc177118956"/>
      <w:bookmarkStart w:id="99" w:name="_Toc177138531"/>
      <w:bookmarkStart w:id="100" w:name="_Toc177138894"/>
      <w:r w:rsidRPr="0031242A">
        <w:t>5.1.4</w:t>
      </w:r>
      <w:r w:rsidRPr="0031242A">
        <w:tab/>
        <w:t>Evaluation of solutions</w:t>
      </w:r>
      <w:bookmarkEnd w:id="94"/>
      <w:bookmarkEnd w:id="95"/>
      <w:bookmarkEnd w:id="96"/>
      <w:bookmarkEnd w:id="97"/>
      <w:bookmarkEnd w:id="98"/>
      <w:bookmarkEnd w:id="99"/>
      <w:bookmarkEnd w:id="100"/>
    </w:p>
    <w:p w14:paraId="4BE54556" w14:textId="769A9956" w:rsidR="00A34F66" w:rsidRPr="0031242A" w:rsidRDefault="00A34F66" w:rsidP="00A34F66">
      <w:del w:id="101" w:author="Stephen Mwanje (Nokia)" w:date="2024-09-25T18:19:00Z" w16du:dateUtc="2024-09-25T16:19:00Z">
        <w:r w:rsidRPr="0031242A" w:rsidDel="0017343B">
          <w:delText xml:space="preserve">The </w:delText>
        </w:r>
      </w:del>
      <w:del w:id="102" w:author="Stephen Mwanje (Nokia)" w:date="2024-09-25T18:17:00Z" w16du:dateUtc="2024-09-25T16:17:00Z">
        <w:r w:rsidRPr="0031242A" w:rsidDel="0017343B">
          <w:delText xml:space="preserve">potential </w:delText>
        </w:r>
      </w:del>
      <w:ins w:id="103" w:author="Stephen Mwanje (Nokia)" w:date="2024-09-25T18:18:00Z" w16du:dateUtc="2024-09-25T16:18:00Z">
        <w:r w:rsidR="0017343B">
          <w:t xml:space="preserve">Only 1 </w:t>
        </w:r>
      </w:ins>
      <w:r w:rsidRPr="0031242A">
        <w:t xml:space="preserve">solution </w:t>
      </w:r>
      <w:ins w:id="104" w:author="Stephen Mwanje (Nokia)" w:date="2024-09-25T18:18:00Z" w16du:dateUtc="2024-09-25T16:18:00Z">
        <w:r w:rsidR="0017343B">
          <w:t xml:space="preserve">as </w:t>
        </w:r>
      </w:ins>
      <w:r w:rsidRPr="0031242A">
        <w:t xml:space="preserve">described in clause 5.1.3 is </w:t>
      </w:r>
      <w:ins w:id="105" w:author="Stephen Mwanje (Nokia)" w:date="2024-09-25T18:18:00Z" w16du:dateUtc="2024-09-25T16:18:00Z">
        <w:r w:rsidR="0017343B">
          <w:t>proposed for this use case</w:t>
        </w:r>
        <w:r w:rsidR="0017343B" w:rsidRPr="0031242A">
          <w:t xml:space="preserve"> </w:t>
        </w:r>
      </w:ins>
      <w:ins w:id="106" w:author="Stephen Mwanje (Nokia)" w:date="2024-09-25T18:19:00Z" w16du:dateUtc="2024-09-25T16:19:00Z">
        <w:r w:rsidR="0017343B">
          <w:t xml:space="preserve">applying </w:t>
        </w:r>
      </w:ins>
      <w:r w:rsidRPr="0031242A">
        <w:t xml:space="preserve">a fully NRM-based approach that extends the existing NRM fragments to realize dynamic composition of a CCL. The solution allows the MnS consumer to either directly compose the CCL or to </w:t>
      </w:r>
      <w:ins w:id="107" w:author="Stephen Mwanje (Nokia)" w:date="2024-09-25T18:19:00Z" w16du:dateUtc="2024-09-25T16:19:00Z">
        <w:r w:rsidR="0017343B">
          <w:t>automate the composition by</w:t>
        </w:r>
        <w:r w:rsidR="0017343B" w:rsidRPr="003C79E9">
          <w:t xml:space="preserve"> </w:t>
        </w:r>
      </w:ins>
      <w:r w:rsidRPr="0031242A">
        <w:t>request</w:t>
      </w:r>
      <w:ins w:id="108" w:author="Stephen Mwanje (Nokia)" w:date="2024-09-25T18:19:00Z" w16du:dateUtc="2024-09-25T16:19:00Z">
        <w:r w:rsidR="0017343B">
          <w:t>ing</w:t>
        </w:r>
      </w:ins>
      <w:r w:rsidRPr="0031242A">
        <w:t xml:space="preserve"> </w:t>
      </w:r>
      <w:del w:id="109" w:author="Stephen Mwanje (Nokia)" w:date="2024-09-25T18:19:00Z" w16du:dateUtc="2024-09-25T16:19:00Z">
        <w:r w:rsidRPr="0031242A" w:rsidDel="0017343B">
          <w:delText xml:space="preserve">a </w:delText>
        </w:r>
      </w:del>
      <w:ins w:id="110" w:author="Stephen Mwanje (Nokia)" w:date="2024-09-25T18:19:00Z" w16du:dateUtc="2024-09-25T16:19:00Z">
        <w:r w:rsidR="0017343B">
          <w:t>the</w:t>
        </w:r>
        <w:r w:rsidR="0017343B" w:rsidRPr="0031242A">
          <w:t xml:space="preserve"> </w:t>
        </w:r>
      </w:ins>
      <w:r w:rsidRPr="0031242A">
        <w:t>MnS producer to compose the CCL. The solution enhances the existing ACCL with small straightforward implementable changes that reuse existing information elements like the condition monitor.</w:t>
      </w:r>
      <w:ins w:id="111" w:author="Stephen Mwanje (Nokia)" w:date="2024-09-25T18:20:00Z" w16du:dateUtc="2024-09-25T16:20:00Z">
        <w:r w:rsidR="0017343B">
          <w:t xml:space="preserve"> </w:t>
        </w:r>
        <w:del w:id="112" w:author="Nokia-3" w:date="2024-10-15T05:20:00Z" w16du:dateUtc="2024-10-15T03:20:00Z">
          <w:r w:rsidR="0017343B" w:rsidDel="00996378">
            <w:delText>It also enhances managed functions to be able to consume services of other managed functions.</w:delText>
          </w:r>
        </w:del>
      </w:ins>
    </w:p>
    <w:p w14:paraId="35A1CEFB" w14:textId="77777777" w:rsidR="00A34F66" w:rsidRPr="0031242A" w:rsidRDefault="00A34F66" w:rsidP="00A34F66">
      <w:r w:rsidRPr="0031242A">
        <w:t>Therefore, the solution described in clause 5.1.3 is a feasible solution for dynamic composition of CCLs.</w:t>
      </w:r>
    </w:p>
    <w:p w14:paraId="6A39D77A" w14:textId="77777777" w:rsidR="00B361EF" w:rsidRPr="00CF7D29" w:rsidRDefault="00B361EF" w:rsidP="00B361EF">
      <w:pPr>
        <w:spacing w:after="160" w:line="259" w:lineRule="auto"/>
      </w:pPr>
    </w:p>
    <w:p w14:paraId="2DF7733D" w14:textId="52BEE373" w:rsidR="00B361EF" w:rsidRDefault="00B361EF" w:rsidP="00B361EF"/>
    <w:p w14:paraId="46358C6A" w14:textId="77777777" w:rsidR="00B361EF" w:rsidRDefault="00B361EF" w:rsidP="005C1CBF">
      <w:pPr>
        <w:spacing w:after="160" w:line="259" w:lineRule="auto"/>
      </w:pPr>
    </w:p>
    <w:p w14:paraId="56A54B50" w14:textId="77777777" w:rsidR="00B361EF" w:rsidRPr="00CF7D29" w:rsidRDefault="00B361EF"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9A09EE3" w14:textId="77777777" w:rsidTr="003F1B01">
        <w:tc>
          <w:tcPr>
            <w:tcW w:w="9639" w:type="dxa"/>
            <w:shd w:val="clear" w:color="auto" w:fill="FFFFCC"/>
            <w:vAlign w:val="center"/>
          </w:tcPr>
          <w:p w14:paraId="4C51CFE0"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21FC547E" w14:textId="77777777" w:rsidR="003C286E" w:rsidRDefault="00E0297E" w:rsidP="008E19CC">
      <w:r>
        <w:rPr>
          <w:rFonts w:cs="Arial"/>
          <w:lang w:val="en-US"/>
        </w:rPr>
        <w:t xml:space="preserve"> </w:t>
      </w:r>
    </w:p>
    <w:sectPr w:rsidR="003C286E">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5B0A" w14:textId="77777777" w:rsidR="003E69A8" w:rsidRDefault="003E69A8">
      <w:r>
        <w:separator/>
      </w:r>
    </w:p>
  </w:endnote>
  <w:endnote w:type="continuationSeparator" w:id="0">
    <w:p w14:paraId="6A4E31A1" w14:textId="77777777" w:rsidR="003E69A8" w:rsidRDefault="003E69A8">
      <w:r>
        <w:continuationSeparator/>
      </w:r>
    </w:p>
  </w:endnote>
  <w:endnote w:type="continuationNotice" w:id="1">
    <w:p w14:paraId="37A57720" w14:textId="77777777" w:rsidR="003E69A8" w:rsidRDefault="003E69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94AE7" w14:textId="77777777" w:rsidR="003E69A8" w:rsidRDefault="003E69A8">
      <w:r>
        <w:separator/>
      </w:r>
    </w:p>
  </w:footnote>
  <w:footnote w:type="continuationSeparator" w:id="0">
    <w:p w14:paraId="166F85C5" w14:textId="77777777" w:rsidR="003E69A8" w:rsidRDefault="003E69A8">
      <w:r>
        <w:continuationSeparator/>
      </w:r>
    </w:p>
  </w:footnote>
  <w:footnote w:type="continuationNotice" w:id="1">
    <w:p w14:paraId="6BE3766F" w14:textId="77777777" w:rsidR="003E69A8" w:rsidRDefault="003E69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E0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778ED"/>
    <w:multiLevelType w:val="hybridMultilevel"/>
    <w:tmpl w:val="E6BE83D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B7E5E41"/>
    <w:multiLevelType w:val="hybridMultilevel"/>
    <w:tmpl w:val="59326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BE08F8"/>
    <w:multiLevelType w:val="hybridMultilevel"/>
    <w:tmpl w:val="C10A4E06"/>
    <w:lvl w:ilvl="0" w:tplc="BFB29768">
      <w:start w:val="1"/>
      <w:numFmt w:val="decimal"/>
      <w:lvlText w:val="%1."/>
      <w:lvlJc w:val="left"/>
      <w:pPr>
        <w:ind w:left="927" w:hanging="360"/>
      </w:pPr>
      <w:rPr>
        <w:rFonts w:ascii="Arial" w:eastAsia="SimSun" w:hAnsi="Arial" w:cs="Times New Roman"/>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83839"/>
    <w:multiLevelType w:val="hybridMultilevel"/>
    <w:tmpl w:val="0754768C"/>
    <w:lvl w:ilvl="0" w:tplc="78F0226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87F15"/>
    <w:multiLevelType w:val="hybridMultilevel"/>
    <w:tmpl w:val="501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9121E"/>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44151083"/>
    <w:multiLevelType w:val="hybridMultilevel"/>
    <w:tmpl w:val="54A23F2C"/>
    <w:lvl w:ilvl="0" w:tplc="E6EA4DF4">
      <w:start w:val="1"/>
      <w:numFmt w:val="bullet"/>
      <w:lvlText w:val="•"/>
      <w:lvlJc w:val="left"/>
      <w:pPr>
        <w:tabs>
          <w:tab w:val="num" w:pos="720"/>
        </w:tabs>
        <w:ind w:left="720" w:hanging="360"/>
      </w:pPr>
      <w:rPr>
        <w:rFonts w:ascii="Arial" w:hAnsi="Arial" w:hint="default"/>
      </w:rPr>
    </w:lvl>
    <w:lvl w:ilvl="1" w:tplc="DF52CC50" w:tentative="1">
      <w:start w:val="1"/>
      <w:numFmt w:val="bullet"/>
      <w:lvlText w:val="•"/>
      <w:lvlJc w:val="left"/>
      <w:pPr>
        <w:tabs>
          <w:tab w:val="num" w:pos="1440"/>
        </w:tabs>
        <w:ind w:left="1440" w:hanging="360"/>
      </w:pPr>
      <w:rPr>
        <w:rFonts w:ascii="Arial" w:hAnsi="Arial" w:hint="default"/>
      </w:rPr>
    </w:lvl>
    <w:lvl w:ilvl="2" w:tplc="D47E956E" w:tentative="1">
      <w:start w:val="1"/>
      <w:numFmt w:val="bullet"/>
      <w:lvlText w:val="•"/>
      <w:lvlJc w:val="left"/>
      <w:pPr>
        <w:tabs>
          <w:tab w:val="num" w:pos="2160"/>
        </w:tabs>
        <w:ind w:left="2160" w:hanging="360"/>
      </w:pPr>
      <w:rPr>
        <w:rFonts w:ascii="Arial" w:hAnsi="Arial" w:hint="default"/>
      </w:rPr>
    </w:lvl>
    <w:lvl w:ilvl="3" w:tplc="2306074A" w:tentative="1">
      <w:start w:val="1"/>
      <w:numFmt w:val="bullet"/>
      <w:lvlText w:val="•"/>
      <w:lvlJc w:val="left"/>
      <w:pPr>
        <w:tabs>
          <w:tab w:val="num" w:pos="2880"/>
        </w:tabs>
        <w:ind w:left="2880" w:hanging="360"/>
      </w:pPr>
      <w:rPr>
        <w:rFonts w:ascii="Arial" w:hAnsi="Arial" w:hint="default"/>
      </w:rPr>
    </w:lvl>
    <w:lvl w:ilvl="4" w:tplc="0860C9BA" w:tentative="1">
      <w:start w:val="1"/>
      <w:numFmt w:val="bullet"/>
      <w:lvlText w:val="•"/>
      <w:lvlJc w:val="left"/>
      <w:pPr>
        <w:tabs>
          <w:tab w:val="num" w:pos="3600"/>
        </w:tabs>
        <w:ind w:left="3600" w:hanging="360"/>
      </w:pPr>
      <w:rPr>
        <w:rFonts w:ascii="Arial" w:hAnsi="Arial" w:hint="default"/>
      </w:rPr>
    </w:lvl>
    <w:lvl w:ilvl="5" w:tplc="9A1CC5E0" w:tentative="1">
      <w:start w:val="1"/>
      <w:numFmt w:val="bullet"/>
      <w:lvlText w:val="•"/>
      <w:lvlJc w:val="left"/>
      <w:pPr>
        <w:tabs>
          <w:tab w:val="num" w:pos="4320"/>
        </w:tabs>
        <w:ind w:left="4320" w:hanging="360"/>
      </w:pPr>
      <w:rPr>
        <w:rFonts w:ascii="Arial" w:hAnsi="Arial" w:hint="default"/>
      </w:rPr>
    </w:lvl>
    <w:lvl w:ilvl="6" w:tplc="A5B24FD4" w:tentative="1">
      <w:start w:val="1"/>
      <w:numFmt w:val="bullet"/>
      <w:lvlText w:val="•"/>
      <w:lvlJc w:val="left"/>
      <w:pPr>
        <w:tabs>
          <w:tab w:val="num" w:pos="5040"/>
        </w:tabs>
        <w:ind w:left="5040" w:hanging="360"/>
      </w:pPr>
      <w:rPr>
        <w:rFonts w:ascii="Arial" w:hAnsi="Arial" w:hint="default"/>
      </w:rPr>
    </w:lvl>
    <w:lvl w:ilvl="7" w:tplc="014C21C0" w:tentative="1">
      <w:start w:val="1"/>
      <w:numFmt w:val="bullet"/>
      <w:lvlText w:val="•"/>
      <w:lvlJc w:val="left"/>
      <w:pPr>
        <w:tabs>
          <w:tab w:val="num" w:pos="5760"/>
        </w:tabs>
        <w:ind w:left="5760" w:hanging="360"/>
      </w:pPr>
      <w:rPr>
        <w:rFonts w:ascii="Arial" w:hAnsi="Arial" w:hint="default"/>
      </w:rPr>
    </w:lvl>
    <w:lvl w:ilvl="8" w:tplc="304882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42D3B"/>
    <w:multiLevelType w:val="hybridMultilevel"/>
    <w:tmpl w:val="995E22BC"/>
    <w:lvl w:ilvl="0" w:tplc="36EC8D2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7D7A0D"/>
    <w:multiLevelType w:val="multilevel"/>
    <w:tmpl w:val="0C0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F3CF8"/>
    <w:multiLevelType w:val="hybridMultilevel"/>
    <w:tmpl w:val="5802A7C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0283695"/>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6C2F28B4"/>
    <w:multiLevelType w:val="multilevel"/>
    <w:tmpl w:val="846E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E32B3"/>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6" w15:restartNumberingAfterBreak="0">
    <w:nsid w:val="725E5CB4"/>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72EC1182"/>
    <w:multiLevelType w:val="hybridMultilevel"/>
    <w:tmpl w:val="B67E71AC"/>
    <w:lvl w:ilvl="0" w:tplc="34946E6A">
      <w:start w:val="1"/>
      <w:numFmt w:val="bullet"/>
      <w:lvlText w:val="•"/>
      <w:lvlJc w:val="left"/>
      <w:pPr>
        <w:tabs>
          <w:tab w:val="num" w:pos="720"/>
        </w:tabs>
        <w:ind w:left="720" w:hanging="360"/>
      </w:pPr>
      <w:rPr>
        <w:rFonts w:ascii="Arial" w:hAnsi="Arial" w:hint="default"/>
      </w:rPr>
    </w:lvl>
    <w:lvl w:ilvl="1" w:tplc="75ACAC44">
      <w:start w:val="1"/>
      <w:numFmt w:val="bullet"/>
      <w:lvlText w:val="•"/>
      <w:lvlJc w:val="left"/>
      <w:pPr>
        <w:tabs>
          <w:tab w:val="num" w:pos="1440"/>
        </w:tabs>
        <w:ind w:left="1440" w:hanging="360"/>
      </w:pPr>
      <w:rPr>
        <w:rFonts w:ascii="Arial" w:hAnsi="Arial" w:hint="default"/>
      </w:rPr>
    </w:lvl>
    <w:lvl w:ilvl="2" w:tplc="1B003718" w:tentative="1">
      <w:start w:val="1"/>
      <w:numFmt w:val="bullet"/>
      <w:lvlText w:val="•"/>
      <w:lvlJc w:val="left"/>
      <w:pPr>
        <w:tabs>
          <w:tab w:val="num" w:pos="2160"/>
        </w:tabs>
        <w:ind w:left="2160" w:hanging="360"/>
      </w:pPr>
      <w:rPr>
        <w:rFonts w:ascii="Arial" w:hAnsi="Arial" w:hint="default"/>
      </w:rPr>
    </w:lvl>
    <w:lvl w:ilvl="3" w:tplc="FBFA5F86" w:tentative="1">
      <w:start w:val="1"/>
      <w:numFmt w:val="bullet"/>
      <w:lvlText w:val="•"/>
      <w:lvlJc w:val="left"/>
      <w:pPr>
        <w:tabs>
          <w:tab w:val="num" w:pos="2880"/>
        </w:tabs>
        <w:ind w:left="2880" w:hanging="360"/>
      </w:pPr>
      <w:rPr>
        <w:rFonts w:ascii="Arial" w:hAnsi="Arial" w:hint="default"/>
      </w:rPr>
    </w:lvl>
    <w:lvl w:ilvl="4" w:tplc="0846C44C" w:tentative="1">
      <w:start w:val="1"/>
      <w:numFmt w:val="bullet"/>
      <w:lvlText w:val="•"/>
      <w:lvlJc w:val="left"/>
      <w:pPr>
        <w:tabs>
          <w:tab w:val="num" w:pos="3600"/>
        </w:tabs>
        <w:ind w:left="3600" w:hanging="360"/>
      </w:pPr>
      <w:rPr>
        <w:rFonts w:ascii="Arial" w:hAnsi="Arial" w:hint="default"/>
      </w:rPr>
    </w:lvl>
    <w:lvl w:ilvl="5" w:tplc="4DBC8A86" w:tentative="1">
      <w:start w:val="1"/>
      <w:numFmt w:val="bullet"/>
      <w:lvlText w:val="•"/>
      <w:lvlJc w:val="left"/>
      <w:pPr>
        <w:tabs>
          <w:tab w:val="num" w:pos="4320"/>
        </w:tabs>
        <w:ind w:left="4320" w:hanging="360"/>
      </w:pPr>
      <w:rPr>
        <w:rFonts w:ascii="Arial" w:hAnsi="Arial" w:hint="default"/>
      </w:rPr>
    </w:lvl>
    <w:lvl w:ilvl="6" w:tplc="B32ABE1E" w:tentative="1">
      <w:start w:val="1"/>
      <w:numFmt w:val="bullet"/>
      <w:lvlText w:val="•"/>
      <w:lvlJc w:val="left"/>
      <w:pPr>
        <w:tabs>
          <w:tab w:val="num" w:pos="5040"/>
        </w:tabs>
        <w:ind w:left="5040" w:hanging="360"/>
      </w:pPr>
      <w:rPr>
        <w:rFonts w:ascii="Arial" w:hAnsi="Arial" w:hint="default"/>
      </w:rPr>
    </w:lvl>
    <w:lvl w:ilvl="7" w:tplc="00F280F6" w:tentative="1">
      <w:start w:val="1"/>
      <w:numFmt w:val="bullet"/>
      <w:lvlText w:val="•"/>
      <w:lvlJc w:val="left"/>
      <w:pPr>
        <w:tabs>
          <w:tab w:val="num" w:pos="5760"/>
        </w:tabs>
        <w:ind w:left="5760" w:hanging="360"/>
      </w:pPr>
      <w:rPr>
        <w:rFonts w:ascii="Arial" w:hAnsi="Arial" w:hint="default"/>
      </w:rPr>
    </w:lvl>
    <w:lvl w:ilvl="8" w:tplc="FC9A33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DC719E"/>
    <w:multiLevelType w:val="singleLevel"/>
    <w:tmpl w:val="876E2FB6"/>
    <w:lvl w:ilvl="0">
      <w:numFmt w:val="decimal"/>
      <w:lvlText w:val="%1"/>
      <w:legacy w:legacy="1" w:legacySpace="0" w:legacyIndent="0"/>
      <w:lvlJc w:val="left"/>
      <w:rPr>
        <w:rFonts w:ascii="Times New Roman" w:hAnsi="Times New Roman" w:cs="Times New Roman" w:hint="default"/>
      </w:rPr>
    </w:lvl>
  </w:abstractNum>
  <w:num w:numId="1" w16cid:durableId="1384717261">
    <w:abstractNumId w:val="4"/>
  </w:num>
  <w:num w:numId="2" w16cid:durableId="1281109484">
    <w:abstractNumId w:val="5"/>
  </w:num>
  <w:num w:numId="3" w16cid:durableId="1876112691">
    <w:abstractNumId w:val="3"/>
  </w:num>
  <w:num w:numId="4" w16cid:durableId="821771526">
    <w:abstractNumId w:val="7"/>
  </w:num>
  <w:num w:numId="5" w16cid:durableId="1268077609">
    <w:abstractNumId w:val="16"/>
  </w:num>
  <w:num w:numId="6" w16cid:durableId="1851676225">
    <w:abstractNumId w:val="18"/>
  </w:num>
  <w:num w:numId="7" w16cid:durableId="822089373">
    <w:abstractNumId w:val="13"/>
  </w:num>
  <w:num w:numId="8" w16cid:durableId="1090155560">
    <w:abstractNumId w:val="15"/>
  </w:num>
  <w:num w:numId="9" w16cid:durableId="1637876799">
    <w:abstractNumId w:val="2"/>
  </w:num>
  <w:num w:numId="10" w16cid:durableId="64379887">
    <w:abstractNumId w:val="1"/>
  </w:num>
  <w:num w:numId="11" w16cid:durableId="949047715">
    <w:abstractNumId w:val="12"/>
  </w:num>
  <w:num w:numId="12" w16cid:durableId="288515118">
    <w:abstractNumId w:val="6"/>
  </w:num>
  <w:num w:numId="13" w16cid:durableId="238053183">
    <w:abstractNumId w:val="17"/>
  </w:num>
  <w:num w:numId="14" w16cid:durableId="853032103">
    <w:abstractNumId w:val="8"/>
  </w:num>
  <w:num w:numId="15" w16cid:durableId="493112584">
    <w:abstractNumId w:val="9"/>
  </w:num>
  <w:num w:numId="16" w16cid:durableId="1790203343">
    <w:abstractNumId w:val="11"/>
  </w:num>
  <w:num w:numId="17" w16cid:durableId="859970011">
    <w:abstractNumId w:val="10"/>
  </w:num>
  <w:num w:numId="18" w16cid:durableId="286817810">
    <w:abstractNumId w:val="14"/>
  </w:num>
  <w:num w:numId="19" w16cid:durableId="101989064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2037609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117"/>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A2D"/>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2DE4"/>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43B"/>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D7ED1"/>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69A8"/>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014"/>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218"/>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18D"/>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5E5D"/>
    <w:rsid w:val="0067644F"/>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0DE4"/>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575"/>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5FA4"/>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9E7"/>
    <w:rsid w:val="00846F48"/>
    <w:rsid w:val="008470A2"/>
    <w:rsid w:val="008473A8"/>
    <w:rsid w:val="00850117"/>
    <w:rsid w:val="00850516"/>
    <w:rsid w:val="008509F3"/>
    <w:rsid w:val="00850EA7"/>
    <w:rsid w:val="00851A01"/>
    <w:rsid w:val="0085322B"/>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5DA"/>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526"/>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6CF3"/>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3CE"/>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1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4ED6"/>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378"/>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51"/>
    <w:rsid w:val="009F3B69"/>
    <w:rsid w:val="009F4339"/>
    <w:rsid w:val="009F4379"/>
    <w:rsid w:val="009F5832"/>
    <w:rsid w:val="009F586E"/>
    <w:rsid w:val="009F6A9E"/>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4F66"/>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67CCD"/>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2EA"/>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1EF"/>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14FC"/>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A52"/>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2A0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18BD"/>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4EA0"/>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6D8"/>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755"/>
    <w:rsid w:val="00F969B8"/>
    <w:rsid w:val="00F96A41"/>
    <w:rsid w:val="00F96C59"/>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64E"/>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0790"/>
  <w15:chartTrackingRefBased/>
  <w15:docId w15:val="{F5E115B6-5999-438E-9E86-45D6BCD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3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PlantUML">
    <w:name w:val="PlantUML"/>
    <w:basedOn w:val="Normal"/>
    <w:link w:val="PlantUMLChar"/>
    <w:autoRedefine/>
    <w:rsid w:val="00B361EF"/>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Times New Roman" w:hAnsi="Courier New" w:cs="Courier New"/>
      <w:noProof/>
      <w:color w:val="008000"/>
      <w:sz w:val="18"/>
      <w:lang w:eastAsia="en-GB"/>
    </w:rPr>
  </w:style>
  <w:style w:type="character" w:customStyle="1" w:styleId="PlantUMLChar">
    <w:name w:val="PlantUML Char"/>
    <w:link w:val="PlantUML"/>
    <w:rsid w:val="00B361EF"/>
    <w:rPr>
      <w:rFonts w:ascii="Courier New" w:eastAsia="Times New Roman" w:hAnsi="Courier New" w:cs="Courier New"/>
      <w:noProof/>
      <w:color w:val="008000"/>
      <w:sz w:val="18"/>
      <w:shd w:val="clear" w:color="auto" w:fill="BAFDBA"/>
      <w:lang w:val="en-GB" w:eastAsia="en-GB"/>
    </w:rPr>
  </w:style>
  <w:style w:type="paragraph" w:customStyle="1" w:styleId="PlantUMLImg">
    <w:name w:val="PlantUMLImg"/>
    <w:basedOn w:val="Normal"/>
    <w:link w:val="PlantUMLImgChar"/>
    <w:autoRedefine/>
    <w:rsid w:val="00B361EF"/>
    <w:pPr>
      <w:overflowPunct w:val="0"/>
      <w:autoSpaceDE w:val="0"/>
      <w:autoSpaceDN w:val="0"/>
      <w:adjustRightInd w:val="0"/>
      <w:textAlignment w:val="baseline"/>
    </w:pPr>
    <w:rPr>
      <w:rFonts w:ascii="Courier New" w:eastAsia="Times New Roman" w:hAnsi="Courier New" w:cs="Courier New"/>
      <w:noProof/>
      <w:color w:val="008000"/>
      <w:sz w:val="18"/>
      <w:szCs w:val="18"/>
    </w:rPr>
  </w:style>
  <w:style w:type="character" w:customStyle="1" w:styleId="PlantUMLImgChar">
    <w:name w:val="PlantUMLImg Char"/>
    <w:link w:val="PlantUMLImg"/>
    <w:rsid w:val="00B361EF"/>
    <w:rPr>
      <w:rFonts w:ascii="Courier New" w:eastAsia="Times New Roman" w:hAnsi="Courier New" w:cs="Courier New"/>
      <w:noProof/>
      <w:color w:val="008000"/>
      <w:sz w:val="18"/>
      <w:szCs w:val="18"/>
      <w:lang w:val="en-GB"/>
    </w:rPr>
  </w:style>
  <w:style w:type="character" w:customStyle="1" w:styleId="EXChar">
    <w:name w:val="EX Char"/>
    <w:locked/>
    <w:rsid w:val="00A34F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RBI5PAMIO524-1616901215-29943</_dlc_DocId>
    <_dlc_DocIdUrl xmlns="71c5aaf6-e6ce-465b-b873-5148d2a4c105">
      <Url>https://nokia.sharepoint.com/sites/gxp/_layouts/15/DocIdRedir.aspx?ID=RBI5PAMIO524-1616901215-29943</Url>
      <Description>RBI5PAMIO524-1616901215-29943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2.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3.xml><?xml version="1.0" encoding="utf-8"?>
<ds:datastoreItem xmlns:ds="http://schemas.openxmlformats.org/officeDocument/2006/customXml" ds:itemID="{6818B229-F9E1-4D26-982C-30D576779D9B}">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5.xml><?xml version="1.0" encoding="utf-8"?>
<ds:datastoreItem xmlns:ds="http://schemas.openxmlformats.org/officeDocument/2006/customXml" ds:itemID="{D5B9C983-4FA8-42D3-8B1B-9B247464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7.xml><?xml version="1.0" encoding="utf-8"?>
<ds:datastoreItem xmlns:ds="http://schemas.openxmlformats.org/officeDocument/2006/customXml" ds:itemID="{B5D71B13-C335-42FE-83F2-99B65428FB5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4</Pages>
  <Words>1309</Words>
  <Characters>7465</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14</cp:revision>
  <dcterms:created xsi:type="dcterms:W3CDTF">2024-09-24T13:40:00Z</dcterms:created>
  <dcterms:modified xsi:type="dcterms:W3CDTF">2024-10-15T03:24:00Z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32cb4e56-91fa-4331-b46c-34e464a9ce9d</vt:lpwstr>
  </property>
</Properties>
</file>