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</w:t>
      </w:r>
      <w:r>
        <w:rPr>
          <w:rFonts w:hint="eastAsia"/>
          <w:b/>
          <w:i/>
          <w:sz w:val="28"/>
          <w:lang w:val="en-US" w:eastAsia="zh-CN"/>
        </w:rPr>
        <w:t>4</w:t>
      </w:r>
      <w:r>
        <w:rPr>
          <w:b/>
          <w:i/>
          <w:sz w:val="28"/>
          <w:lang w:val="en-US" w:eastAsia="zh-CN"/>
        </w:rPr>
        <w:t>4</w:t>
      </w:r>
      <w:r>
        <w:rPr>
          <w:rFonts w:hint="eastAsia"/>
          <w:b/>
          <w:i/>
          <w:sz w:val="28"/>
          <w:lang w:val="en-US" w:eastAsia="zh-CN"/>
        </w:rPr>
        <w:t>790</w:t>
      </w:r>
      <w:bookmarkStart w:id="0" w:name="_GoBack"/>
      <w:bookmarkEnd w:id="0"/>
    </w:p>
    <w:p>
      <w:pPr>
        <w:pStyle w:val="82"/>
        <w:outlineLvl w:val="0"/>
        <w:rPr>
          <w:b/>
          <w:sz w:val="24"/>
        </w:rPr>
      </w:pPr>
      <w:r>
        <w:rPr>
          <w:rFonts w:cs="Arial"/>
          <w:b/>
          <w:sz w:val="24"/>
        </w:rPr>
        <w:t>Maastricht, The Netherlands, 19 - 23 August 2024</w:t>
      </w:r>
    </w:p>
    <w:p>
      <w:pPr>
        <w:pStyle w:val="82"/>
        <w:outlineLvl w:val="0"/>
        <w:rPr>
          <w:b/>
          <w:bCs/>
          <w:sz w:val="24"/>
        </w:rPr>
      </w:pPr>
    </w:p>
    <w:p>
      <w:pPr>
        <w:pStyle w:val="33"/>
        <w:tabs>
          <w:tab w:val="right" w:pos="9498"/>
        </w:tabs>
        <w:rPr>
          <w:rFonts w:cs="Arial"/>
          <w:b w:val="0"/>
          <w:sz w:val="24"/>
        </w:rPr>
      </w:pPr>
    </w:p>
    <w:p>
      <w:pPr>
        <w:pStyle w:val="33"/>
        <w:tabs>
          <w:tab w:val="right" w:pos="9498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TSG-SA Meeting #105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 xml:space="preserve">Tdoc </w:t>
      </w:r>
      <w:r>
        <w:rPr>
          <w:rFonts w:cs="Arial"/>
          <w:bCs/>
          <w:color w:val="2F5496"/>
          <w:sz w:val="22"/>
        </w:rPr>
        <w:t>&lt;DocNumber&gt;</w:t>
      </w:r>
    </w:p>
    <w:p>
      <w:pPr>
        <w:pStyle w:val="82"/>
        <w:outlineLvl w:val="0"/>
        <w:rPr>
          <w:rFonts w:cs="Arial"/>
          <w:bCs/>
          <w:color w:val="4472C4"/>
          <w:sz w:val="22"/>
        </w:rPr>
      </w:pPr>
      <w:r>
        <w:rPr>
          <w:rFonts w:hint="eastAsia" w:cs="Arial"/>
          <w:b/>
          <w:sz w:val="24"/>
          <w:lang w:val="en-US" w:eastAsia="zh-CN"/>
        </w:rPr>
        <w:t>1</w:t>
      </w:r>
      <w:r>
        <w:rPr>
          <w:rFonts w:cs="Arial"/>
          <w:b/>
          <w:sz w:val="24"/>
          <w:lang w:val="en-US" w:eastAsia="zh-CN"/>
        </w:rPr>
        <w:t>0</w:t>
      </w:r>
      <w:r>
        <w:rPr>
          <w:rFonts w:cs="Arial"/>
          <w:b/>
          <w:sz w:val="24"/>
          <w:lang w:eastAsia="zh-CN"/>
        </w:rPr>
        <w:t xml:space="preserve"> – </w:t>
      </w:r>
      <w:r>
        <w:rPr>
          <w:rFonts w:hint="eastAsia" w:cs="Arial"/>
          <w:b/>
          <w:sz w:val="24"/>
          <w:lang w:val="en-US" w:eastAsia="zh-CN"/>
        </w:rPr>
        <w:t>1</w:t>
      </w:r>
      <w:r>
        <w:rPr>
          <w:rFonts w:cs="Arial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eastAsia="zh-CN"/>
        </w:rPr>
        <w:t xml:space="preserve"> </w:t>
      </w:r>
      <w:r>
        <w:rPr>
          <w:rFonts w:cs="Arial"/>
          <w:b/>
          <w:sz w:val="24"/>
          <w:lang w:val="en-US" w:eastAsia="zh-CN"/>
        </w:rPr>
        <w:t>Sept</w:t>
      </w:r>
      <w:r>
        <w:rPr>
          <w:rFonts w:cs="Arial"/>
          <w:b/>
          <w:sz w:val="24"/>
          <w:lang w:eastAsia="zh-CN"/>
        </w:rPr>
        <w:t xml:space="preserve"> 2024, </w:t>
      </w:r>
      <w:r>
        <w:rPr>
          <w:rFonts w:cs="Arial"/>
          <w:b/>
          <w:sz w:val="24"/>
          <w:lang w:val="en-US" w:eastAsia="zh-CN"/>
        </w:rPr>
        <w:t>Melbourne, AU</w:t>
      </w:r>
      <w:r>
        <w:rPr>
          <w:sz w:val="24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0000FF"/>
        </w:rPr>
        <w:t>TR 28.874</w:t>
      </w:r>
      <w:r>
        <w:rPr>
          <w:rFonts w:ascii="Arial" w:hAnsi="Arial" w:cs="Arial"/>
          <w:b/>
        </w:rPr>
        <w:t>, Version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hint="eastAsia" w:ascii="Arial" w:hAnsi="Arial" w:cs="Arial"/>
          <w:b/>
          <w:color w:val="0000FF"/>
          <w:lang w:val="en-US" w:eastAsia="zh-CN"/>
        </w:rPr>
        <w:t>0</w:t>
      </w:r>
      <w:r>
        <w:rPr>
          <w:rFonts w:ascii="Arial" w:hAnsi="Arial" w:cs="Arial"/>
          <w:b/>
          <w:color w:val="0000FF"/>
        </w:rPr>
        <w:t>.</w:t>
      </w:r>
      <w:r>
        <w:rPr>
          <w:rFonts w:hint="eastAsia" w:ascii="Arial" w:hAnsi="Arial" w:cs="Arial"/>
          <w:b/>
          <w:color w:val="0000FF"/>
          <w:lang w:val="en-US" w:eastAsia="zh-CN"/>
        </w:rPr>
        <w:t>3</w:t>
      </w:r>
      <w:r>
        <w:rPr>
          <w:rFonts w:ascii="Arial" w:hAnsi="Arial" w:cs="Arial"/>
          <w:b/>
          <w:color w:val="0000FF"/>
        </w:rPr>
        <w:t>.0</w:t>
      </w:r>
      <w:r>
        <w:rPr>
          <w:rFonts w:ascii="Arial" w:hAnsi="Arial" w:cs="Arial"/>
          <w:b/>
          <w:color w:val="0000FF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2F5496"/>
        </w:rPr>
        <w:t>SA5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0000FF"/>
          <w:lang w:val="en-US" w:eastAsia="zh-CN"/>
        </w:rPr>
        <w:t>Information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>It is the TR for management aspect of NTN phase 2 in R19, which studies the key issues associated with service and network management of NTN enhancements</w:t>
      </w:r>
      <w:r>
        <w:rPr>
          <w:rFonts w:hint="eastAsia"/>
          <w:color w:val="0000FF"/>
          <w:sz w:val="24"/>
          <w:lang w:val="en-US" w:eastAsia="zh-CN"/>
        </w:rPr>
        <w:t>.</w:t>
      </w:r>
      <w:r>
        <w:rPr>
          <w:color w:val="0000FF"/>
          <w:sz w:val="24"/>
        </w:rPr>
        <w:t xml:space="preserve"> The TR describes the use cases, potential requirements and possible solutions for NTN management.</w:t>
      </w:r>
      <w:r>
        <w:rPr>
          <w:rFonts w:hint="eastAsia"/>
          <w:color w:val="0000FF"/>
          <w:sz w:val="24"/>
        </w:rPr>
        <w:t xml:space="preserve"> </w:t>
      </w:r>
    </w:p>
    <w:p>
      <w:pPr>
        <w:tabs>
          <w:tab w:val="left" w:pos="3119"/>
        </w:tabs>
        <w:jc w:val="both"/>
        <w:rPr>
          <w:color w:val="0000FF"/>
          <w:sz w:val="24"/>
          <w:lang w:val="en-US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N/A.</w:t>
      </w:r>
    </w:p>
    <w:p>
      <w:pPr>
        <w:tabs>
          <w:tab w:val="left" w:pos="3119"/>
        </w:tabs>
        <w:rPr>
          <w:color w:val="0000FF"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jc w:val="both"/>
        <w:rPr>
          <w:rFonts w:hint="eastAsia" w:ascii="Times New Roman" w:hAnsi="Times New Roman" w:eastAsia="等线" w:cs="Times New Roman"/>
          <w:color w:val="0000FF"/>
          <w:sz w:val="24"/>
          <w:lang w:val="en-US" w:eastAsia="zh-CN"/>
        </w:rPr>
      </w:pPr>
      <w:r>
        <w:rPr>
          <w:color w:val="0000FF"/>
          <w:sz w:val="24"/>
        </w:rPr>
        <w:t>·</w:t>
      </w:r>
      <w:r>
        <w:rPr>
          <w:rFonts w:hint="eastAsia"/>
          <w:color w:val="0000FF"/>
          <w:sz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</w:rPr>
        <w:t>The two use cases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>lack potential solutions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>:</w:t>
      </w:r>
    </w:p>
    <w:p>
      <w:pPr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    - </w:t>
      </w:r>
      <w:r>
        <w:rPr>
          <w:rFonts w:ascii="Times New Roman" w:hAnsi="Times New Roman" w:cs="Times New Roman"/>
          <w:color w:val="0000FF"/>
          <w:sz w:val="24"/>
        </w:rPr>
        <w:t xml:space="preserve"> MEC Deployed on the Satellite </w:t>
      </w:r>
    </w:p>
    <w:p>
      <w:pPr>
        <w:ind w:firstLine="240" w:firstLineChars="100"/>
        <w:jc w:val="both"/>
        <w:rPr>
          <w:rFonts w:hint="default" w:ascii="Times New Roman" w:hAnsi="Times New Roman" w:eastAsia="等线" w:cs="Times New Roman"/>
          <w:color w:val="0000FF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-  </w:t>
      </w:r>
      <w:r>
        <w:rPr>
          <w:rFonts w:ascii="Times New Roman" w:hAnsi="Times New Roman" w:cs="Times New Roman"/>
          <w:color w:val="0000FF"/>
          <w:sz w:val="24"/>
        </w:rPr>
        <w:t xml:space="preserve">Distinguish Which Network Elements Support Store and Forward Satellite Operation, </w:t>
      </w:r>
    </w:p>
    <w:p>
      <w:pPr>
        <w:jc w:val="both"/>
        <w:rPr>
          <w:rFonts w:hint="eastAsia" w:ascii="Times New Roman" w:hAnsi="Times New Roman" w:cs="Times New Roman"/>
          <w:color w:val="0000FF"/>
          <w:sz w:val="24"/>
          <w:lang w:val="en-US" w:eastAsia="zh-CN"/>
        </w:rPr>
      </w:pPr>
      <w:r>
        <w:rPr>
          <w:rFonts w:ascii="Times New Roman" w:hAnsi="Times New Roman" w:cs="Times New Roman"/>
          <w:color w:val="0000FF"/>
          <w:sz w:val="24"/>
        </w:rPr>
        <w:t>·</w:t>
      </w:r>
      <w:r>
        <w:rPr>
          <w:rFonts w:hint="eastAsia" w:ascii="Times New Roman" w:hAnsi="Times New Roman" w:cs="Times New Roman"/>
          <w:color w:val="0000FF"/>
          <w:sz w:val="24"/>
        </w:rPr>
        <w:t xml:space="preserve">  </w:t>
      </w:r>
      <w:r>
        <w:rPr>
          <w:rFonts w:ascii="Times New Roman" w:hAnsi="Times New Roman" w:cs="Times New Roman"/>
          <w:color w:val="0000FF"/>
          <w:sz w:val="24"/>
        </w:rPr>
        <w:t xml:space="preserve">The 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three </w:t>
      </w:r>
      <w:r>
        <w:rPr>
          <w:rFonts w:ascii="Times New Roman" w:hAnsi="Times New Roman" w:cs="Times New Roman"/>
          <w:color w:val="0000FF"/>
          <w:sz w:val="24"/>
        </w:rPr>
        <w:t>use case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s </w:t>
      </w:r>
      <w:r>
        <w:rPr>
          <w:rFonts w:ascii="Times New Roman" w:hAnsi="Times New Roman" w:cs="Times New Roman"/>
          <w:color w:val="0000FF"/>
          <w:sz w:val="24"/>
        </w:rPr>
        <w:t>ha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>ve</w:t>
      </w:r>
      <w:r>
        <w:rPr>
          <w:rFonts w:ascii="Times New Roman" w:hAnsi="Times New Roman" w:cs="Times New Roman"/>
          <w:color w:val="0000FF"/>
          <w:sz w:val="24"/>
        </w:rPr>
        <w:t xml:space="preserve"> 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>more than 1</w:t>
      </w:r>
      <w:r>
        <w:rPr>
          <w:rFonts w:ascii="Times New Roman" w:hAnsi="Times New Roman" w:cs="Times New Roman"/>
          <w:color w:val="0000FF"/>
          <w:sz w:val="24"/>
        </w:rPr>
        <w:t xml:space="preserve"> potential solutions but no conclusion has been reached yet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>:</w:t>
      </w:r>
    </w:p>
    <w:p>
      <w:pPr>
        <w:ind w:firstLine="240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-  </w:t>
      </w:r>
      <w:r>
        <w:rPr>
          <w:rFonts w:ascii="Times New Roman" w:hAnsi="Times New Roman" w:cs="Times New Roman"/>
          <w:color w:val="0000FF"/>
          <w:sz w:val="24"/>
        </w:rPr>
        <w:t>Connections between RAN Node On-board Satellite and CN (Regenerative Mode)</w:t>
      </w:r>
    </w:p>
    <w:p>
      <w:pPr>
        <w:ind w:firstLine="240"/>
        <w:jc w:val="both"/>
        <w:rPr>
          <w:rFonts w:ascii="Times New Roman" w:hAnsi="Times New Roman" w:cs="Times New Roman"/>
          <w:color w:val="0000FF"/>
          <w:sz w:val="24"/>
          <w:lang w:val="en-US" w:eastAsia="ja-JP"/>
        </w:rPr>
      </w:pP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- </w:t>
      </w:r>
      <w:r>
        <w:rPr>
          <w:rFonts w:ascii="Times New Roman" w:hAnsi="Times New Roman" w:cs="Times New Roman"/>
          <w:color w:val="0000FF"/>
          <w:sz w:val="24"/>
        </w:rPr>
        <w:t>A</w:t>
      </w:r>
      <w:r>
        <w:rPr>
          <w:rFonts w:ascii="Times New Roman" w:hAnsi="Times New Roman" w:cs="Times New Roman"/>
          <w:color w:val="0000FF"/>
          <w:sz w:val="24"/>
          <w:lang w:eastAsia="ja-JP"/>
        </w:rPr>
        <w:t>ssociations betwe</w:t>
      </w:r>
      <w:r>
        <w:rPr>
          <w:rFonts w:ascii="Times New Roman" w:hAnsi="Times New Roman" w:cs="Times New Roman"/>
          <w:color w:val="0000FF"/>
          <w:sz w:val="24"/>
          <w:lang w:val="en-US" w:eastAsia="ja-JP"/>
        </w:rPr>
        <w:t>en SectorEquipmentFunction on-board satellite and the RAN nodes (</w:t>
      </w:r>
      <w:r>
        <w:rPr>
          <w:rFonts w:ascii="Times New Roman" w:hAnsi="Times New Roman" w:cs="Times New Roman"/>
          <w:color w:val="0000FF"/>
          <w:sz w:val="24"/>
          <w:lang w:val="en-US" w:eastAsia="ko-KR"/>
        </w:rPr>
        <w:t>gNB/eNB</w:t>
      </w:r>
      <w:r>
        <w:rPr>
          <w:rFonts w:ascii="Times New Roman" w:hAnsi="Times New Roman" w:cs="Times New Roman"/>
          <w:color w:val="0000FF"/>
          <w:sz w:val="24"/>
          <w:lang w:val="en-US" w:eastAsia="ja-JP"/>
        </w:rPr>
        <w:t>) on ground (transparent mode)</w:t>
      </w:r>
    </w:p>
    <w:p>
      <w:pPr>
        <w:ind w:firstLine="240"/>
        <w:jc w:val="both"/>
        <w:rPr>
          <w:rFonts w:hint="default" w:ascii="Times New Roman" w:hAnsi="Times New Roman" w:cs="Times New Roman"/>
          <w:color w:val="0000FF"/>
          <w:sz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-  </w:t>
      </w:r>
      <w:r>
        <w:rPr>
          <w:rFonts w:ascii="Times New Roman" w:hAnsi="Times New Roman" w:cs="Times New Roman"/>
          <w:color w:val="0000FF"/>
          <w:sz w:val="24"/>
          <w:lang w:val="en-US" w:eastAsia="ko-KR"/>
        </w:rPr>
        <w:t>UE-Satellite-UE Communication via UPFs on-board the satellite</w:t>
      </w:r>
      <w:r>
        <w:rPr>
          <w:rFonts w:hint="eastAsia" w:ascii="Times New Roman" w:hAnsi="Times New Roman" w:cs="Times New Roman"/>
          <w:color w:val="0000FF"/>
          <w:sz w:val="24"/>
          <w:lang w:val="en-US" w:eastAsia="zh-CN"/>
        </w:rPr>
        <w:t xml:space="preserve">, 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None.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85E65"/>
    <w:rsid w:val="000A01AA"/>
    <w:rsid w:val="000A0BF9"/>
    <w:rsid w:val="000A4545"/>
    <w:rsid w:val="000F7ECB"/>
    <w:rsid w:val="00103320"/>
    <w:rsid w:val="00106ABB"/>
    <w:rsid w:val="00117B4D"/>
    <w:rsid w:val="001236C2"/>
    <w:rsid w:val="001302DA"/>
    <w:rsid w:val="0017511D"/>
    <w:rsid w:val="001970B4"/>
    <w:rsid w:val="001D45C5"/>
    <w:rsid w:val="001E0B38"/>
    <w:rsid w:val="001F489F"/>
    <w:rsid w:val="00201520"/>
    <w:rsid w:val="00222D66"/>
    <w:rsid w:val="0023793B"/>
    <w:rsid w:val="002730E6"/>
    <w:rsid w:val="00287B6A"/>
    <w:rsid w:val="002A6CA6"/>
    <w:rsid w:val="002B09A1"/>
    <w:rsid w:val="002B220E"/>
    <w:rsid w:val="002D6A80"/>
    <w:rsid w:val="002E5C80"/>
    <w:rsid w:val="003647FC"/>
    <w:rsid w:val="00366E2A"/>
    <w:rsid w:val="00367D74"/>
    <w:rsid w:val="003874F2"/>
    <w:rsid w:val="003910FA"/>
    <w:rsid w:val="00397034"/>
    <w:rsid w:val="003F6BB5"/>
    <w:rsid w:val="00424D9F"/>
    <w:rsid w:val="004521B9"/>
    <w:rsid w:val="0045428D"/>
    <w:rsid w:val="00462739"/>
    <w:rsid w:val="0047776C"/>
    <w:rsid w:val="004917FF"/>
    <w:rsid w:val="004B6D7A"/>
    <w:rsid w:val="004C04A5"/>
    <w:rsid w:val="004F39C0"/>
    <w:rsid w:val="00502407"/>
    <w:rsid w:val="00513667"/>
    <w:rsid w:val="0051397A"/>
    <w:rsid w:val="0056126A"/>
    <w:rsid w:val="005638D6"/>
    <w:rsid w:val="00567C87"/>
    <w:rsid w:val="005F10CC"/>
    <w:rsid w:val="006010B4"/>
    <w:rsid w:val="00607EC1"/>
    <w:rsid w:val="00623423"/>
    <w:rsid w:val="00635529"/>
    <w:rsid w:val="00650510"/>
    <w:rsid w:val="006938BE"/>
    <w:rsid w:val="006A67B1"/>
    <w:rsid w:val="006B2592"/>
    <w:rsid w:val="006C1CD1"/>
    <w:rsid w:val="006F3832"/>
    <w:rsid w:val="006F5B0E"/>
    <w:rsid w:val="007426F1"/>
    <w:rsid w:val="007C7C34"/>
    <w:rsid w:val="007D4F8D"/>
    <w:rsid w:val="007D6195"/>
    <w:rsid w:val="007E611E"/>
    <w:rsid w:val="007E7328"/>
    <w:rsid w:val="008106A7"/>
    <w:rsid w:val="00822DC9"/>
    <w:rsid w:val="00830C39"/>
    <w:rsid w:val="0085768E"/>
    <w:rsid w:val="008715D6"/>
    <w:rsid w:val="00884117"/>
    <w:rsid w:val="0089418B"/>
    <w:rsid w:val="0089516A"/>
    <w:rsid w:val="008B32D5"/>
    <w:rsid w:val="009663B1"/>
    <w:rsid w:val="009B3162"/>
    <w:rsid w:val="009C3D5A"/>
    <w:rsid w:val="009D5026"/>
    <w:rsid w:val="009D7D77"/>
    <w:rsid w:val="009F796F"/>
    <w:rsid w:val="00A06FC8"/>
    <w:rsid w:val="00A15D3A"/>
    <w:rsid w:val="00A31511"/>
    <w:rsid w:val="00A31676"/>
    <w:rsid w:val="00A55084"/>
    <w:rsid w:val="00A96382"/>
    <w:rsid w:val="00AA6347"/>
    <w:rsid w:val="00B03A93"/>
    <w:rsid w:val="00B223D6"/>
    <w:rsid w:val="00B2526A"/>
    <w:rsid w:val="00B439F6"/>
    <w:rsid w:val="00B8637D"/>
    <w:rsid w:val="00B97929"/>
    <w:rsid w:val="00BA0273"/>
    <w:rsid w:val="00BC0F19"/>
    <w:rsid w:val="00BC14E8"/>
    <w:rsid w:val="00BE5651"/>
    <w:rsid w:val="00BF0958"/>
    <w:rsid w:val="00C0007C"/>
    <w:rsid w:val="00C037B9"/>
    <w:rsid w:val="00C70A20"/>
    <w:rsid w:val="00C73D3B"/>
    <w:rsid w:val="00CB243C"/>
    <w:rsid w:val="00CC358C"/>
    <w:rsid w:val="00CE6629"/>
    <w:rsid w:val="00CF6DE2"/>
    <w:rsid w:val="00D010C8"/>
    <w:rsid w:val="00D079B3"/>
    <w:rsid w:val="00D323CB"/>
    <w:rsid w:val="00D45010"/>
    <w:rsid w:val="00D557FB"/>
    <w:rsid w:val="00D72019"/>
    <w:rsid w:val="00D7617F"/>
    <w:rsid w:val="00DC278D"/>
    <w:rsid w:val="00DD3EBC"/>
    <w:rsid w:val="00DD7AC2"/>
    <w:rsid w:val="00DE54AE"/>
    <w:rsid w:val="00E2233F"/>
    <w:rsid w:val="00E2698B"/>
    <w:rsid w:val="00E26E5D"/>
    <w:rsid w:val="00E533D7"/>
    <w:rsid w:val="00E57AFD"/>
    <w:rsid w:val="00EB746A"/>
    <w:rsid w:val="00F20EB7"/>
    <w:rsid w:val="00F504A3"/>
    <w:rsid w:val="00F8535E"/>
    <w:rsid w:val="00FC4373"/>
    <w:rsid w:val="00FD3DA1"/>
    <w:rsid w:val="00FD5FEA"/>
    <w:rsid w:val="082E4EFC"/>
    <w:rsid w:val="0B155D8A"/>
    <w:rsid w:val="17332A5A"/>
    <w:rsid w:val="1A565849"/>
    <w:rsid w:val="1E981141"/>
    <w:rsid w:val="2046191A"/>
    <w:rsid w:val="29FE6C6E"/>
    <w:rsid w:val="322B734F"/>
    <w:rsid w:val="325A5EC0"/>
    <w:rsid w:val="368F2D71"/>
    <w:rsid w:val="3EA03BF2"/>
    <w:rsid w:val="45B1654A"/>
    <w:rsid w:val="47E97330"/>
    <w:rsid w:val="48A94680"/>
    <w:rsid w:val="51935A63"/>
    <w:rsid w:val="5E0744EC"/>
    <w:rsid w:val="5EFA1F3C"/>
    <w:rsid w:val="65EC10C6"/>
    <w:rsid w:val="73D0517B"/>
    <w:rsid w:val="73E476B3"/>
    <w:rsid w:val="7BE2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等线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等线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等线" w:cs="Times New Roman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0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zh-CN"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1"/>
    <w:qFormat/>
    <w:uiPriority w:val="0"/>
    <w:pPr>
      <w:spacing w:after="0"/>
    </w:pPr>
    <w:rPr>
      <w:rFonts w:ascii="Segoe UI" w:hAnsi="Segoe UI"/>
      <w:sz w:val="18"/>
      <w:szCs w:val="18"/>
      <w:lang w:val="zh-CN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9"/>
    <w:qFormat/>
    <w:uiPriority w:val="0"/>
    <w:pPr>
      <w:widowControl w:val="0"/>
    </w:pPr>
    <w:rPr>
      <w:rFonts w:ascii="Arial" w:hAnsi="Arial" w:eastAsia="等线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character" w:styleId="43">
    <w:name w:val="Strong"/>
    <w:basedOn w:val="42"/>
    <w:qFormat/>
    <w:uiPriority w:val="0"/>
    <w:rPr>
      <w:b/>
    </w:rPr>
  </w:style>
  <w:style w:type="character" w:styleId="44">
    <w:name w:val="annotation reference"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等线" w:cs="Times New Roman"/>
      <w:b/>
      <w:sz w:val="34"/>
      <w:lang w:val="en-GB" w:eastAsia="ko-KR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等线" w:cs="Times New Roman"/>
      <w:lang w:val="en-GB" w:eastAsia="ko-KR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Courier New" w:hAnsi="Courier New" w:eastAsia="等线" w:cs="Times New Roman"/>
      <w:lang w:val="en-GB" w:eastAsia="ko-KR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等线" w:cs="Times New Roman"/>
      <w:sz w:val="16"/>
      <w:lang w:val="en-GB" w:eastAsia="ko-KR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等线" w:cs="Times New Roman"/>
      <w:sz w:val="40"/>
      <w:lang w:val="en-GB" w:eastAsia="ko-KR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等线" w:cs="Times New Roman"/>
      <w:i/>
      <w:lang w:val="en-GB" w:eastAsia="ko-KR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等线" w:cs="Times New Roman"/>
      <w:sz w:val="32"/>
      <w:lang w:val="en-GB" w:eastAsia="ko-KR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等线" w:cs="Times New Roman"/>
      <w:lang w:val="en-GB" w:eastAsia="ko-KR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等线" w:cs="Times New Roman"/>
      <w:lang w:val="en-GB" w:eastAsia="ko-KR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character" w:customStyle="1" w:styleId="79">
    <w:name w:val="页眉 字符"/>
    <w:link w:val="33"/>
    <w:qFormat/>
    <w:uiPriority w:val="0"/>
    <w:rPr>
      <w:rFonts w:ascii="Arial" w:hAnsi="Arial"/>
      <w:b/>
      <w:sz w:val="18"/>
      <w:lang w:eastAsia="ko-KR" w:bidi="ar-SA"/>
    </w:rPr>
  </w:style>
  <w:style w:type="character" w:customStyle="1" w:styleId="80">
    <w:name w:val="批注文字 字符"/>
    <w:link w:val="28"/>
    <w:qFormat/>
    <w:uiPriority w:val="0"/>
    <w:rPr>
      <w:rFonts w:ascii="Arial" w:hAnsi="Arial"/>
      <w:lang w:eastAsia="en-US"/>
    </w:rPr>
  </w:style>
  <w:style w:type="character" w:customStyle="1" w:styleId="81">
    <w:name w:val="批注框文本 字符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83">
    <w:name w:val="不明显强调1"/>
    <w:qFormat/>
    <w:uiPriority w:val="19"/>
    <w:rPr>
      <w:i/>
      <w:iCs/>
      <w:color w:val="4040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137</Words>
  <Characters>783</Characters>
  <Lines>6</Lines>
  <Paragraphs>1</Paragraphs>
  <TotalTime>3</TotalTime>
  <ScaleCrop>false</ScaleCrop>
  <LinksUpToDate>false</LinksUpToDate>
  <CharactersWithSpaces>919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2021-10-26T08:00:00Z</dcterms:created>
  <dc:creator>Maurice Pope</dc:creator>
  <dc:description>Template for presentation of Specifications to TSGs and WGs</dc:description>
  <cp:lastModifiedBy>Xuemiao</cp:lastModifiedBy>
  <dcterms:modified xsi:type="dcterms:W3CDTF">2024-08-21T15:51:11Z</dcterms:modified>
  <dc:title>Presentation to TSG / WG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7A0C67CE1745484982FB4086196F4B1F</vt:lpwstr>
  </property>
</Properties>
</file>