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7929CDC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D42619">
        <w:rPr>
          <w:rFonts w:ascii="Arial" w:hAnsi="Arial" w:cs="Arial"/>
          <w:szCs w:val="24"/>
          <w:lang w:val="en-US" w:eastAsia="ja-JP"/>
        </w:rPr>
        <w:t>9.7</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7358FA70" w:rsidR="00610027" w:rsidRPr="00D42619" w:rsidRDefault="00610027" w:rsidP="00D42619">
      <w:pPr>
        <w:tabs>
          <w:tab w:val="left" w:pos="2268"/>
        </w:tabs>
        <w:ind w:left="2268" w:hanging="2268"/>
        <w:rPr>
          <w:rFonts w:ascii="Arial" w:hAnsi="Arial" w:cs="Arial"/>
          <w:b/>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D42619">
        <w:rPr>
          <w:rFonts w:ascii="Arial" w:hAnsi="Arial" w:cs="Arial"/>
          <w:b/>
          <w:szCs w:val="24"/>
          <w:lang w:val="en-US" w:eastAsia="ja-JP"/>
        </w:rPr>
        <w:t>FS_AVATAR</w:t>
      </w:r>
      <w:r w:rsidR="00DF7631">
        <w:rPr>
          <w:rFonts w:ascii="Arial" w:hAnsi="Arial" w:cs="Arial"/>
          <w:b/>
          <w:szCs w:val="24"/>
          <w:lang w:val="en-US" w:eastAsia="ja-JP"/>
        </w:rPr>
        <w:t>]</w:t>
      </w:r>
      <w:r w:rsidR="00D42619">
        <w:rPr>
          <w:rFonts w:ascii="Arial" w:hAnsi="Arial" w:cs="Arial"/>
          <w:b/>
          <w:szCs w:val="24"/>
          <w:lang w:val="en-US" w:eastAsia="ja-JP"/>
        </w:rPr>
        <w:t xml:space="preserve"> MPEG’s Avatar Representation Format (ARF)</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7CA68E01" w:rsidR="00B20D7B" w:rsidRPr="00AB234E" w:rsidRDefault="0083671E" w:rsidP="00AB234E">
      <w:pPr>
        <w:rPr>
          <w:lang w:val="en-US"/>
        </w:rPr>
      </w:pPr>
      <w:r>
        <w:rPr>
          <w:lang w:val="en-US"/>
        </w:rPr>
        <w:t>In this contribution,</w:t>
      </w:r>
      <w:r w:rsidR="00ED1E9E">
        <w:rPr>
          <w:lang w:val="en-US"/>
        </w:rPr>
        <w:t xml:space="preserve"> </w:t>
      </w:r>
      <w:r w:rsidR="00D42619">
        <w:rPr>
          <w:lang w:val="en-US"/>
        </w:rPr>
        <w:t>we provide a description of the MPEG’s Avatar Representation Format (ARF)</w:t>
      </w:r>
      <w:r w:rsidR="00C510FA">
        <w:rPr>
          <w:lang w:val="en-US"/>
        </w:rPr>
        <w:t xml:space="preserve"> [1]</w:t>
      </w:r>
      <w:r w:rsidR="00B20D7B">
        <w:rPr>
          <w:lang w:val="en-US"/>
        </w:rPr>
        <w:t>.</w:t>
      </w:r>
      <w:r w:rsidR="00D42619">
        <w:rPr>
          <w:lang w:val="en-US"/>
        </w:rPr>
        <w:t xml:space="preserve"> </w:t>
      </w:r>
    </w:p>
    <w:p w14:paraId="100F9A4B" w14:textId="1E011A28" w:rsidR="00D42619" w:rsidRDefault="000973F7" w:rsidP="00D42619">
      <w:pPr>
        <w:pStyle w:val="Heading1"/>
        <w:numPr>
          <w:ilvl w:val="0"/>
          <w:numId w:val="3"/>
        </w:numPr>
      </w:pPr>
      <w:r>
        <w:t>M</w:t>
      </w:r>
      <w:r w:rsidR="00D42619">
        <w:t>PEG’s Avatar Representation Format (ARF)</w:t>
      </w:r>
    </w:p>
    <w:p w14:paraId="063632DA" w14:textId="66E7900E" w:rsidR="00D42619" w:rsidRDefault="00D42619" w:rsidP="00D42619">
      <w:r>
        <w:t>The Avatar Representation Format (ARF) is currently under development by MPEG with a working draft expected in December and CD in early February. ARF serves dual purposes: it provides an exchange format enabling users to capture their 3D avatars once and use them universally across applications, platforms, and Metaverse worlds, while also offering a standardized interoperable storage and exchange animation format for applications and services to build upon.</w:t>
      </w:r>
    </w:p>
    <w:p w14:paraId="65B15B50" w14:textId="6C31BEE8" w:rsidR="00D42619" w:rsidRDefault="00D42619" w:rsidP="00D42619">
      <w:r>
        <w:t xml:space="preserve">At its core, ARF consists of two primary components. The first is the base avatar container, which functions as a comprehensive repository for all avatar elements, including meshes, texture maps, skeletons, </w:t>
      </w:r>
      <w:proofErr w:type="spellStart"/>
      <w:r>
        <w:t>blendshapes</w:t>
      </w:r>
      <w:proofErr w:type="spellEnd"/>
      <w:r>
        <w:t xml:space="preserve">, garments, and other digital assets. The second component comprises animation streams, supporting facial expressions through </w:t>
      </w:r>
      <w:proofErr w:type="spellStart"/>
      <w:r>
        <w:t>blendshapes</w:t>
      </w:r>
      <w:proofErr w:type="spellEnd"/>
      <w:r>
        <w:t>, body animation via Linear Blend Skinning (LBS), and hand animation capabilities.</w:t>
      </w:r>
    </w:p>
    <w:p w14:paraId="538D7C61" w14:textId="1B6C7498" w:rsidR="00D42619" w:rsidRDefault="00D42619" w:rsidP="00D42619">
      <w:r>
        <w:t xml:space="preserve">In a typical avatar-based communication scenario, the process </w:t>
      </w:r>
      <w:r w:rsidR="00C007FE">
        <w:t>is</w:t>
      </w:r>
      <w:r>
        <w:t xml:space="preserve"> illustrated in the following diagram:</w:t>
      </w:r>
    </w:p>
    <w:p w14:paraId="75E96BA1" w14:textId="20E24557" w:rsidR="00D42619" w:rsidRDefault="00D42619" w:rsidP="00D42619">
      <w:r>
        <w:rPr>
          <w:noProof/>
        </w:rPr>
        <w:lastRenderedPageBreak/>
        <w:drawing>
          <wp:inline distT="114300" distB="114300" distL="114300" distR="114300" wp14:anchorId="238ACC0F" wp14:editId="7822056E">
            <wp:extent cx="5943600" cy="3695700"/>
            <wp:effectExtent l="0" t="0" r="0" b="0"/>
            <wp:docPr id="3" name="image1.png" descr="A diagram of a process&#10;&#10;Description automatically generated"/>
            <wp:cNvGraphicFramePr/>
            <a:graphic xmlns:a="http://schemas.openxmlformats.org/drawingml/2006/main">
              <a:graphicData uri="http://schemas.openxmlformats.org/drawingml/2006/picture">
                <pic:pic xmlns:pic="http://schemas.openxmlformats.org/drawingml/2006/picture">
                  <pic:nvPicPr>
                    <pic:cNvPr id="3" name="image1.png" descr="A diagram of a process&#10;&#10;Description automatically generated"/>
                    <pic:cNvPicPr preferRelativeResize="0"/>
                  </pic:nvPicPr>
                  <pic:blipFill>
                    <a:blip r:embed="rId11"/>
                    <a:srcRect/>
                    <a:stretch>
                      <a:fillRect/>
                    </a:stretch>
                  </pic:blipFill>
                  <pic:spPr>
                    <a:xfrm>
                      <a:off x="0" y="0"/>
                      <a:ext cx="5943600" cy="3695700"/>
                    </a:xfrm>
                    <a:prstGeom prst="rect">
                      <a:avLst/>
                    </a:prstGeom>
                    <a:ln/>
                  </pic:spPr>
                </pic:pic>
              </a:graphicData>
            </a:graphic>
          </wp:inline>
        </w:drawing>
      </w:r>
    </w:p>
    <w:p w14:paraId="68499DA9" w14:textId="77777777" w:rsidR="00D42619" w:rsidRDefault="00D42619" w:rsidP="00D42619">
      <w:r>
        <w:t>The workflow begins with users generating and uploading their base avatar models. When joining a communication session, users share their avatar information through the scene description, allowing other participants to download and animate their avatar in real-time. This process ensures seamless integration and interaction within shared virtual spaces.</w:t>
      </w:r>
    </w:p>
    <w:p w14:paraId="054274D4" w14:textId="2842E8A5" w:rsidR="00D42619" w:rsidRDefault="00D42619" w:rsidP="00D42619">
      <w:r>
        <w:t>The avatar animation pipeline, depicted below, demonstrates how ARF processes and renders avatars in real-time:</w:t>
      </w:r>
    </w:p>
    <w:p w14:paraId="61889A18" w14:textId="655BB0C9" w:rsidR="00D42619" w:rsidRDefault="00C67F57" w:rsidP="00D42619">
      <w:r>
        <w:rPr>
          <w:noProof/>
        </w:rPr>
        <w:drawing>
          <wp:inline distT="0" distB="0" distL="0" distR="0" wp14:anchorId="56513D2D" wp14:editId="122BF7F8">
            <wp:extent cx="6153785" cy="2065020"/>
            <wp:effectExtent l="0" t="0" r="0" b="0"/>
            <wp:docPr id="1176035420"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035420" name="Picture 1" descr="A diagram of a flow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85" cy="2065020"/>
                    </a:xfrm>
                    <a:prstGeom prst="rect">
                      <a:avLst/>
                    </a:prstGeom>
                    <a:noFill/>
                    <a:ln>
                      <a:noFill/>
                    </a:ln>
                  </pic:spPr>
                </pic:pic>
              </a:graphicData>
            </a:graphic>
          </wp:inline>
        </w:drawing>
      </w:r>
    </w:p>
    <w:p w14:paraId="726AB392" w14:textId="77777777" w:rsidR="00D42619" w:rsidRDefault="00D42619" w:rsidP="00D42619">
      <w:r>
        <w:t>The pipeline handles everything from retrieving and reconstructing the avatar to animating it based on incoming animation streams. This systematic approach ensures smooth, realistic avatar movement and expression.</w:t>
      </w:r>
    </w:p>
    <w:p w14:paraId="0277D7C3" w14:textId="77777777" w:rsidR="00D42619" w:rsidRDefault="00D42619" w:rsidP="00D42619"/>
    <w:p w14:paraId="4A9D00B9" w14:textId="30326F4C" w:rsidR="00D42619" w:rsidRDefault="00D42619" w:rsidP="00D42619">
      <w:r>
        <w:lastRenderedPageBreak/>
        <w:t xml:space="preserve">ARF supports facial animation through </w:t>
      </w:r>
      <w:proofErr w:type="spellStart"/>
      <w:r>
        <w:t>blendshapes</w:t>
      </w:r>
      <w:proofErr w:type="spellEnd"/>
      <w:r>
        <w:t>, allowing for precise control over facial expressions. The following image demonstrates the application of a "smile" expression at varying intensities:</w:t>
      </w:r>
    </w:p>
    <w:p w14:paraId="04318B7C" w14:textId="453040D5" w:rsidR="00D42619" w:rsidRDefault="00C67F57" w:rsidP="00D42619">
      <w:r>
        <w:rPr>
          <w:noProof/>
        </w:rPr>
        <w:drawing>
          <wp:inline distT="114300" distB="114300" distL="114300" distR="114300" wp14:anchorId="6733FCAD" wp14:editId="4DD80392">
            <wp:extent cx="5943600" cy="2717800"/>
            <wp:effectExtent l="0" t="0" r="0" b="0"/>
            <wp:docPr id="4" name="image3.png" descr="A person's face with different facial features&#10;&#10;Description automatically generated"/>
            <wp:cNvGraphicFramePr/>
            <a:graphic xmlns:a="http://schemas.openxmlformats.org/drawingml/2006/main">
              <a:graphicData uri="http://schemas.openxmlformats.org/drawingml/2006/picture">
                <pic:pic xmlns:pic="http://schemas.openxmlformats.org/drawingml/2006/picture">
                  <pic:nvPicPr>
                    <pic:cNvPr id="4" name="image3.png" descr="A person's face with different facial features&#10;&#10;Description automatically generated"/>
                    <pic:cNvPicPr preferRelativeResize="0"/>
                  </pic:nvPicPr>
                  <pic:blipFill>
                    <a:blip r:embed="rId13"/>
                    <a:srcRect/>
                    <a:stretch>
                      <a:fillRect/>
                    </a:stretch>
                  </pic:blipFill>
                  <pic:spPr>
                    <a:xfrm>
                      <a:off x="0" y="0"/>
                      <a:ext cx="5943600" cy="2717800"/>
                    </a:xfrm>
                    <a:prstGeom prst="rect">
                      <a:avLst/>
                    </a:prstGeom>
                    <a:ln/>
                  </pic:spPr>
                </pic:pic>
              </a:graphicData>
            </a:graphic>
          </wp:inline>
        </w:drawing>
      </w:r>
    </w:p>
    <w:p w14:paraId="43A975B4" w14:textId="04F2CF43" w:rsidR="003B4746" w:rsidRDefault="00D42619" w:rsidP="00D42619">
      <w:r>
        <w:t>The format offers two container options: an ISOBMFF-based container format and a ZIP-based container format. Both support multiple levels of detail (LOD) and enable partial access, allowing applications to selectively download avatar components based on their specific requirements and network conditions.</w:t>
      </w:r>
    </w:p>
    <w:p w14:paraId="613FE5E7" w14:textId="779255CF" w:rsidR="00090904" w:rsidRDefault="00090904" w:rsidP="00090904">
      <w:pPr>
        <w:pStyle w:val="Heading1"/>
        <w:numPr>
          <w:ilvl w:val="0"/>
          <w:numId w:val="3"/>
        </w:numPr>
      </w:pPr>
      <w:r>
        <w:t>Proposal</w:t>
      </w:r>
    </w:p>
    <w:bookmarkEnd w:id="0"/>
    <w:p w14:paraId="4B6EACC5" w14:textId="5DD29540" w:rsidR="00514422" w:rsidRPr="003B4746" w:rsidRDefault="00514422" w:rsidP="00514422">
      <w:r>
        <w:t>We propose</w:t>
      </w:r>
      <w:r w:rsidR="00C67F57">
        <w:t xml:space="preserve"> to document the content of section 2 into the Avatar PD and to keep it updated based on the progress in MPEG.</w:t>
      </w:r>
      <w:r>
        <w:t xml:space="preserve"> </w:t>
      </w:r>
    </w:p>
    <w:p w14:paraId="4D14DD41" w14:textId="2CE4882E" w:rsidR="00EE5926" w:rsidRDefault="00EE5926" w:rsidP="00514422">
      <w:pPr>
        <w:pStyle w:val="Heading1"/>
        <w:numPr>
          <w:ilvl w:val="0"/>
          <w:numId w:val="3"/>
        </w:numPr>
      </w:pPr>
      <w:r>
        <w:t>References</w:t>
      </w:r>
    </w:p>
    <w:p w14:paraId="48F5A4F5" w14:textId="3218B10E" w:rsidR="008325E3" w:rsidRDefault="00EE5926" w:rsidP="007F6DA5">
      <w:pPr>
        <w:rPr>
          <w:lang w:val="en-US"/>
        </w:rPr>
      </w:pPr>
      <w:r>
        <w:rPr>
          <w:lang w:val="en-US"/>
        </w:rPr>
        <w:t>[1</w:t>
      </w:r>
      <w:proofErr w:type="gramStart"/>
      <w:r>
        <w:rPr>
          <w:lang w:val="en-US"/>
        </w:rPr>
        <w:t>]</w:t>
      </w:r>
      <w:r>
        <w:rPr>
          <w:lang w:val="en-US"/>
        </w:rPr>
        <w:tab/>
        <w:t xml:space="preserve"> </w:t>
      </w:r>
      <w:r>
        <w:rPr>
          <w:lang w:val="en-US"/>
        </w:rPr>
        <w:tab/>
      </w:r>
      <w:proofErr w:type="gramEnd"/>
      <w:r w:rsidR="00C67F57" w:rsidRPr="00C67F57">
        <w:t>N01398</w:t>
      </w:r>
      <w:r w:rsidR="00C67F57">
        <w:t xml:space="preserve">, </w:t>
      </w:r>
      <w:r w:rsidR="00C67F57">
        <w:rPr>
          <w:lang w:val="en-US"/>
        </w:rPr>
        <w:t xml:space="preserve">MPEG, </w:t>
      </w:r>
      <w:r w:rsidR="00C67F57" w:rsidRPr="00C67F57">
        <w:t>WD of ISO/IEC 23090-39 Avatar representation formats</w:t>
      </w:r>
    </w:p>
    <w:sectPr w:rsidR="008325E3" w:rsidSect="00072989">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2D645" w14:textId="77777777" w:rsidR="00D05599" w:rsidRDefault="00D05599">
      <w:r>
        <w:separator/>
      </w:r>
    </w:p>
  </w:endnote>
  <w:endnote w:type="continuationSeparator" w:id="0">
    <w:p w14:paraId="293B97DA" w14:textId="77777777" w:rsidR="00D05599" w:rsidRDefault="00D0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EB1BB" w14:textId="77777777" w:rsidR="00D05599" w:rsidRDefault="00D05599">
      <w:r>
        <w:separator/>
      </w:r>
    </w:p>
  </w:footnote>
  <w:footnote w:type="continuationSeparator" w:id="0">
    <w:p w14:paraId="549B9CD5" w14:textId="77777777" w:rsidR="00D05599" w:rsidRDefault="00D05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0BADC94A"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#130</w:t>
    </w:r>
    <w:r w:rsidRPr="007C550E">
      <w:rPr>
        <w:b/>
        <w:noProof/>
        <w:sz w:val="24"/>
      </w:rPr>
      <w:tab/>
    </w:r>
    <w:r>
      <w:rPr>
        <w:b/>
        <w:noProof/>
        <w:sz w:val="24"/>
      </w:rPr>
      <w:t>S4</w:t>
    </w:r>
    <w:r w:rsidR="00ED1E9E">
      <w:rPr>
        <w:b/>
        <w:noProof/>
        <w:sz w:val="24"/>
      </w:rPr>
      <w:t>-</w:t>
    </w:r>
    <w:r>
      <w:rPr>
        <w:b/>
        <w:noProof/>
        <w:sz w:val="24"/>
      </w:rPr>
      <w:t>240</w:t>
    </w:r>
    <w:r w:rsidR="00E30EF7">
      <w:rPr>
        <w:b/>
        <w:noProof/>
        <w:sz w:val="24"/>
      </w:rPr>
      <w:t>2003</w:t>
    </w:r>
  </w:p>
  <w:p w14:paraId="3B56539F" w14:textId="093E43A4" w:rsidR="008075BF" w:rsidRPr="00AC4A3E" w:rsidRDefault="00ED1E9E" w:rsidP="00AC4A3E">
    <w:pPr>
      <w:pStyle w:val="Header"/>
    </w:pPr>
    <w:r>
      <w:rPr>
        <w:sz w:val="24"/>
      </w:rPr>
      <w:t>Orlando, FL, US, 18-22 November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B746B"/>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7FE"/>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0FA"/>
    <w:rsid w:val="00C51103"/>
    <w:rsid w:val="00C519B8"/>
    <w:rsid w:val="00C522A3"/>
    <w:rsid w:val="00C53656"/>
    <w:rsid w:val="00C544D5"/>
    <w:rsid w:val="00C54C14"/>
    <w:rsid w:val="00C54EBD"/>
    <w:rsid w:val="00C600C6"/>
    <w:rsid w:val="00C60807"/>
    <w:rsid w:val="00C6198E"/>
    <w:rsid w:val="00C643FF"/>
    <w:rsid w:val="00C65F64"/>
    <w:rsid w:val="00C674A1"/>
    <w:rsid w:val="00C67F57"/>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599"/>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2619"/>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0EF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A11"/>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47B0"/>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405</Words>
  <Characters>2310</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2024-11-12T18:19:00Z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