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_rels/item6.xml.rels" ContentType="application/vnd.openxmlformats-package.relationships+xml"/>
  <Override PartName="/customXml/_rels/item3.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284"/>
          <w:tab w:val="right" w:pos="9639" w:leader="none"/>
        </w:tabs>
        <w:spacing w:before="0" w:after="0"/>
        <w:rPr>
          <w:rFonts w:ascii="Arial" w:hAnsi="Arial" w:cs="Arial"/>
          <w:b/>
          <w:b/>
          <w:sz w:val="22"/>
          <w:szCs w:val="22"/>
        </w:rPr>
      </w:pPr>
      <w:r>
        <w:rPr>
          <w:rFonts w:cs="Arial" w:ascii="Arial" w:hAnsi="Arial"/>
          <w:b/>
          <w:sz w:val="22"/>
          <w:szCs w:val="22"/>
        </w:rPr>
        <w:t>,</w:t>
      </w:r>
    </w:p>
    <w:p>
      <w:pPr>
        <w:pStyle w:val="Header"/>
        <w:rPr>
          <w:sz w:val="22"/>
          <w:szCs w:val="22"/>
        </w:rPr>
      </w:pPr>
      <w:r>
        <w:rPr>
          <w:rFonts w:cs="Arial"/>
          <w:sz w:val="22"/>
          <w:szCs w:val="22"/>
        </w:rPr>
        <w:t>Orlando, USA 11 - 15 November 2024</w:t>
      </w:r>
    </w:p>
    <w:p>
      <w:pPr>
        <w:pStyle w:val="CRCoverPage"/>
        <w:numPr>
          <w:ilvl w:val="0"/>
          <w:numId w:val="0"/>
        </w:numPr>
        <w:outlineLvl w:val="0"/>
        <w:rPr>
          <w:b/>
          <w:b/>
          <w:bCs/>
          <w:sz w:val="24"/>
        </w:rPr>
      </w:pPr>
      <w:r>
        <w:rPr>
          <w:b/>
          <w:bCs/>
          <w:sz w:val="24"/>
        </w:rPr>
      </w:r>
    </w:p>
    <w:tbl>
      <w:tblPr>
        <w:tblW w:w="9641" w:type="dxa"/>
        <w:jc w:val="left"/>
        <w:tblInd w:w="42" w:type="dxa"/>
        <w:tblCellMar>
          <w:top w:w="0" w:type="dxa"/>
          <w:left w:w="42" w:type="dxa"/>
          <w:bottom w:w="0" w:type="dxa"/>
          <w:right w:w="42" w:type="dxa"/>
        </w:tblCellMar>
        <w:tblLook w:val="0000" w:noHBand="0" w:noVBand="0" w:firstColumn="0" w:lastRow="0" w:lastColumn="0" w:firstRow="0"/>
      </w:tblPr>
      <w:tblGrid>
        <w:gridCol w:w="134"/>
        <w:gridCol w:w="1557"/>
        <w:gridCol w:w="723"/>
        <w:gridCol w:w="1270"/>
        <w:gridCol w:w="715"/>
        <w:gridCol w:w="993"/>
        <w:gridCol w:w="2406"/>
        <w:gridCol w:w="1708"/>
        <w:gridCol w:w="134"/>
      </w:tblGrid>
      <w:tr>
        <w:trPr/>
        <w:tc>
          <w:tcPr>
            <w:tcW w:w="9640" w:type="dxa"/>
            <w:gridSpan w:val="9"/>
            <w:tcBorders>
              <w:top w:val="single" w:sz="4" w:space="0" w:color="000000"/>
              <w:left w:val="single" w:sz="4" w:space="0" w:color="000000"/>
              <w:right w:val="single" w:sz="4" w:space="0" w:color="000000"/>
            </w:tcBorders>
          </w:tcPr>
          <w:p>
            <w:pPr>
              <w:pStyle w:val="CRCoverPage"/>
              <w:widowControl w:val="false"/>
              <w:spacing w:before="0" w:after="0"/>
              <w:jc w:val="right"/>
              <w:rPr>
                <w:i/>
                <w:i/>
              </w:rPr>
            </w:pPr>
            <w:r>
              <w:rPr>
                <w:i/>
                <w:sz w:val="14"/>
              </w:rPr>
              <w:t>CR-Form-v12.1</w:t>
            </w:r>
          </w:p>
        </w:tc>
      </w:tr>
      <w:tr>
        <w:trPr/>
        <w:tc>
          <w:tcPr>
            <w:tcW w:w="9640" w:type="dxa"/>
            <w:gridSpan w:val="9"/>
            <w:tcBorders>
              <w:left w:val="single" w:sz="4" w:space="0" w:color="000000"/>
              <w:right w:val="single" w:sz="4" w:space="0" w:color="000000"/>
            </w:tcBorders>
          </w:tcPr>
          <w:p>
            <w:pPr>
              <w:pStyle w:val="CRCoverPage"/>
              <w:widowControl w:val="false"/>
              <w:spacing w:before="0" w:after="0"/>
              <w:jc w:val="center"/>
              <w:rPr/>
            </w:pPr>
            <w:r>
              <w:rPr>
                <w:b/>
                <w:sz w:val="32"/>
              </w:rPr>
              <w:t>CHANGE REQUEST</w:t>
            </w:r>
          </w:p>
        </w:tc>
      </w:tr>
      <w:tr>
        <w:trPr/>
        <w:tc>
          <w:tcPr>
            <w:tcW w:w="9640" w:type="dxa"/>
            <w:gridSpan w:val="9"/>
            <w:tcBorders>
              <w:left w:val="single" w:sz="4" w:space="0" w:color="000000"/>
              <w:right w:val="single" w:sz="4" w:space="0" w:color="000000"/>
            </w:tcBorders>
          </w:tcPr>
          <w:p>
            <w:pPr>
              <w:pStyle w:val="CRCoverPage"/>
              <w:widowControl w:val="false"/>
              <w:spacing w:before="0" w:after="0"/>
              <w:rPr>
                <w:sz w:val="8"/>
                <w:szCs w:val="8"/>
              </w:rPr>
            </w:pPr>
            <w:r>
              <w:rPr>
                <w:sz w:val="8"/>
                <w:szCs w:val="8"/>
              </w:rPr>
            </w:r>
          </w:p>
        </w:tc>
      </w:tr>
      <w:tr>
        <w:trPr/>
        <w:tc>
          <w:tcPr>
            <w:tcW w:w="134" w:type="dxa"/>
            <w:tcBorders>
              <w:left w:val="single" w:sz="4" w:space="0" w:color="000000"/>
            </w:tcBorders>
          </w:tcPr>
          <w:p>
            <w:pPr>
              <w:pStyle w:val="CRCoverPage"/>
              <w:widowControl w:val="false"/>
              <w:spacing w:before="0" w:after="0"/>
              <w:jc w:val="right"/>
              <w:rPr/>
            </w:pPr>
            <w:r>
              <w:rPr/>
            </w:r>
          </w:p>
        </w:tc>
        <w:tc>
          <w:tcPr>
            <w:tcW w:w="1557" w:type="dxa"/>
            <w:tcBorders/>
            <w:shd w:color="FFFF00" w:fill="auto" w:val="pct30"/>
          </w:tcPr>
          <w:p>
            <w:pPr>
              <w:pStyle w:val="CRCoverPage"/>
              <w:widowControl w:val="false"/>
              <w:spacing w:before="0" w:after="0"/>
              <w:jc w:val="right"/>
              <w:rPr>
                <w:b/>
                <w:b/>
                <w:sz w:val="28"/>
              </w:rPr>
            </w:pPr>
            <w:r>
              <w:rPr>
                <w:b/>
                <w:sz w:val="28"/>
              </w:rPr>
              <w:t>33.501</w:t>
            </w:r>
          </w:p>
        </w:tc>
        <w:tc>
          <w:tcPr>
            <w:tcW w:w="723" w:type="dxa"/>
            <w:tcBorders/>
          </w:tcPr>
          <w:p>
            <w:pPr>
              <w:pStyle w:val="CRCoverPage"/>
              <w:widowControl w:val="false"/>
              <w:spacing w:before="0" w:after="0"/>
              <w:jc w:val="center"/>
              <w:rPr/>
            </w:pPr>
            <w:r>
              <w:rPr>
                <w:b/>
                <w:sz w:val="28"/>
              </w:rPr>
              <w:t>CR</w:t>
            </w:r>
          </w:p>
        </w:tc>
        <w:tc>
          <w:tcPr>
            <w:tcW w:w="1270" w:type="dxa"/>
            <w:tcBorders/>
            <w:shd w:color="FFFF00" w:fill="auto" w:val="pct30"/>
          </w:tcPr>
          <w:p>
            <w:pPr>
              <w:pStyle w:val="CRCoverPage"/>
              <w:widowControl w:val="false"/>
              <w:spacing w:before="0" w:after="0"/>
              <w:rPr/>
            </w:pPr>
            <w:r>
              <w:rPr>
                <w:b/>
                <w:sz w:val="28"/>
              </w:rPr>
              <w:t>2053</w:t>
            </w:r>
          </w:p>
        </w:tc>
        <w:tc>
          <w:tcPr>
            <w:tcW w:w="715" w:type="dxa"/>
            <w:tcBorders/>
          </w:tcPr>
          <w:p>
            <w:pPr>
              <w:pStyle w:val="CRCoverPage"/>
              <w:widowControl w:val="false"/>
              <w:tabs>
                <w:tab w:val="clear" w:pos="284"/>
                <w:tab w:val="right" w:pos="625" w:leader="none"/>
              </w:tabs>
              <w:spacing w:before="0" w:after="0"/>
              <w:jc w:val="center"/>
              <w:rPr/>
            </w:pPr>
            <w:r>
              <w:rPr>
                <w:b/>
                <w:bCs/>
                <w:sz w:val="28"/>
              </w:rPr>
              <w:t>rev</w:t>
            </w:r>
          </w:p>
        </w:tc>
        <w:tc>
          <w:tcPr>
            <w:tcW w:w="993" w:type="dxa"/>
            <w:tcBorders/>
            <w:shd w:color="FFFF00" w:fill="auto" w:val="pct30"/>
          </w:tcPr>
          <w:p>
            <w:pPr>
              <w:pStyle w:val="CRCoverPage"/>
              <w:widowControl w:val="false"/>
              <w:spacing w:before="0" w:after="0"/>
              <w:jc w:val="center"/>
              <w:rPr>
                <w:b/>
                <w:b/>
              </w:rPr>
            </w:pPr>
            <w:del w:id="0" w:author="Unknown Author" w:date="2024-11-12T14:47:00Z">
              <w:r>
                <w:rPr>
                  <w:b/>
                </w:rPr>
                <w:delText>1</w:delText>
              </w:r>
            </w:del>
            <w:ins w:id="1" w:author="Unknown Author" w:date="2024-11-12T14:47:00Z">
              <w:r>
                <w:rPr>
                  <w:b/>
                </w:rPr>
                <w:t>2</w:t>
              </w:r>
            </w:ins>
          </w:p>
        </w:tc>
        <w:tc>
          <w:tcPr>
            <w:tcW w:w="2406" w:type="dxa"/>
            <w:tcBorders/>
          </w:tcPr>
          <w:p>
            <w:pPr>
              <w:pStyle w:val="CRCoverPage"/>
              <w:widowControl w:val="false"/>
              <w:tabs>
                <w:tab w:val="clear" w:pos="284"/>
                <w:tab w:val="right" w:pos="1825" w:leader="none"/>
              </w:tabs>
              <w:spacing w:before="0" w:after="0"/>
              <w:jc w:val="center"/>
              <w:rPr/>
            </w:pPr>
            <w:r>
              <w:rPr>
                <w:b/>
                <w:sz w:val="28"/>
                <w:szCs w:val="28"/>
              </w:rPr>
              <w:t>Current version:</w:t>
            </w:r>
          </w:p>
        </w:tc>
        <w:tc>
          <w:tcPr>
            <w:tcW w:w="1708" w:type="dxa"/>
            <w:tcBorders/>
            <w:shd w:color="FFFF00" w:fill="auto" w:val="pct30"/>
          </w:tcPr>
          <w:p>
            <w:pPr>
              <w:pStyle w:val="CRCoverPage"/>
              <w:widowControl w:val="false"/>
              <w:spacing w:before="0" w:after="0"/>
              <w:jc w:val="center"/>
              <w:rPr>
                <w:sz w:val="28"/>
              </w:rPr>
            </w:pPr>
            <w:r>
              <w:rPr>
                <w:b/>
                <w:sz w:val="28"/>
              </w:rPr>
              <w:t>19.0.0</w:t>
            </w:r>
          </w:p>
        </w:tc>
        <w:tc>
          <w:tcPr>
            <w:tcW w:w="134" w:type="dxa"/>
            <w:tcBorders>
              <w:right w:val="single" w:sz="4" w:space="0" w:color="000000"/>
            </w:tcBorders>
          </w:tcPr>
          <w:p>
            <w:pPr>
              <w:pStyle w:val="CRCoverPage"/>
              <w:widowControl w:val="false"/>
              <w:spacing w:before="0" w:after="0"/>
              <w:rPr/>
            </w:pPr>
            <w:r>
              <w:rPr/>
            </w:r>
          </w:p>
        </w:tc>
      </w:tr>
      <w:tr>
        <w:trPr/>
        <w:tc>
          <w:tcPr>
            <w:tcW w:w="9640" w:type="dxa"/>
            <w:gridSpan w:val="9"/>
            <w:tcBorders>
              <w:left w:val="single" w:sz="4" w:space="0" w:color="000000"/>
              <w:right w:val="single" w:sz="4" w:space="0" w:color="000000"/>
            </w:tcBorders>
          </w:tcPr>
          <w:p>
            <w:pPr>
              <w:pStyle w:val="CRCoverPage"/>
              <w:widowControl w:val="false"/>
              <w:spacing w:before="0" w:after="0"/>
              <w:rPr/>
            </w:pPr>
            <w:r>
              <w:rPr/>
            </w:r>
          </w:p>
        </w:tc>
      </w:tr>
      <w:tr>
        <w:trPr/>
        <w:tc>
          <w:tcPr>
            <w:tcW w:w="9640" w:type="dxa"/>
            <w:gridSpan w:val="9"/>
            <w:tcBorders>
              <w:top w:val="single" w:sz="4" w:space="0" w:color="000000"/>
            </w:tcBorders>
          </w:tcPr>
          <w:p>
            <w:pPr>
              <w:pStyle w:val="CRCoverPage"/>
              <w:widowControl w:val="false"/>
              <w:spacing w:before="0" w:after="0"/>
              <w:jc w:val="center"/>
              <w:rPr>
                <w:rFonts w:cs="Arial"/>
                <w:i/>
                <w:i/>
              </w:rPr>
            </w:pPr>
            <w:r>
              <w:rPr>
                <w:rFonts w:cs="Arial"/>
                <w:i/>
              </w:rPr>
              <w:t xml:space="preserve">For </w:t>
            </w:r>
            <w:r>
              <w:fldChar w:fldCharType="begin"/>
            </w:r>
            <w:r>
              <w:rPr>
                <w:rStyle w:val="InternetLink"/>
                <w:i/>
                <w:b/>
                <w:rFonts w:cs="Arial"/>
                <w:color w:val="FF0000"/>
              </w:rPr>
              <w:instrText> HYPERLINK "http://www.3gpp.org/3G_Specs/CRs.htm" \l "_blank"</w:instrText>
            </w:r>
            <w:r>
              <w:rPr>
                <w:rStyle w:val="InternetLink"/>
                <w:i/>
                <w:b/>
                <w:rFonts w:cs="Arial"/>
                <w:color w:val="FF0000"/>
              </w:rPr>
              <w:fldChar w:fldCharType="separate"/>
            </w:r>
            <w:r>
              <w:rPr>
                <w:rStyle w:val="InternetLink"/>
                <w:rFonts w:cs="Arial"/>
                <w:b/>
                <w:i/>
                <w:color w:val="FF0000"/>
              </w:rPr>
              <w:t>HE</w:t>
            </w:r>
            <w:r>
              <w:rPr>
                <w:rStyle w:val="InternetLink"/>
                <w:i/>
                <w:b/>
                <w:rFonts w:cs="Arial"/>
                <w:color w:val="FF0000"/>
              </w:rPr>
              <w:fldChar w:fldCharType="end"/>
            </w:r>
            <w:bookmarkStart w:id="0" w:name="_Hlt497126619"/>
            <w:r>
              <w:rPr>
                <w:rStyle w:val="InternetLink"/>
                <w:rFonts w:cs="Arial"/>
                <w:b/>
                <w:i/>
                <w:color w:val="FF0000"/>
              </w:rPr>
              <w:t>L</w:t>
            </w:r>
            <w:bookmarkEnd w:id="0"/>
            <w:r>
              <w:rPr>
                <w:rStyle w:val="InternetLink"/>
                <w:rFonts w:cs="Arial"/>
                <w:b/>
                <w:i/>
                <w:color w:val="FF0000"/>
              </w:rPr>
              <w:t>P</w:t>
            </w:r>
            <w:r>
              <w:rPr>
                <w:rFonts w:cs="Arial"/>
                <w:b/>
                <w:i/>
                <w:color w:val="FF0000"/>
              </w:rPr>
              <w:t xml:space="preserve"> </w:t>
            </w:r>
            <w:r>
              <w:rPr>
                <w:rFonts w:cs="Arial"/>
                <w:i/>
              </w:rPr>
              <w:t xml:space="preserve">on using this form: comprehensive instructions can be found at </w:t>
              <w:br/>
            </w:r>
            <w:hyperlink r:id="rId2">
              <w:r>
                <w:rPr>
                  <w:rStyle w:val="InternetLink"/>
                  <w:rFonts w:cs="Arial"/>
                  <w:i/>
                </w:rPr>
                <w:t>http://www.3gpp.org/Change-Requests</w:t>
              </w:r>
            </w:hyperlink>
            <w:r>
              <w:rPr>
                <w:rFonts w:cs="Arial"/>
                <w:i/>
              </w:rPr>
              <w:t>.</w:t>
            </w:r>
          </w:p>
        </w:tc>
      </w:tr>
      <w:tr>
        <w:trPr/>
        <w:tc>
          <w:tcPr>
            <w:tcW w:w="9640" w:type="dxa"/>
            <w:gridSpan w:val="9"/>
            <w:tcBorders/>
          </w:tcPr>
          <w:p>
            <w:pPr>
              <w:pStyle w:val="CRCoverPage"/>
              <w:widowControl w:val="false"/>
              <w:spacing w:before="0" w:after="0"/>
              <w:rPr>
                <w:sz w:val="8"/>
                <w:szCs w:val="8"/>
              </w:rPr>
            </w:pPr>
            <w:r>
              <w:rPr>
                <w:sz w:val="8"/>
                <w:szCs w:val="8"/>
              </w:rPr>
            </w:r>
          </w:p>
        </w:tc>
      </w:tr>
    </w:tbl>
    <w:p>
      <w:pPr>
        <w:pStyle w:val="Normal"/>
        <w:rPr>
          <w:sz w:val="8"/>
          <w:szCs w:val="8"/>
        </w:rPr>
      </w:pPr>
      <w:r>
        <w:rPr>
          <w:sz w:val="8"/>
          <w:szCs w:val="8"/>
        </w:rPr>
      </w:r>
    </w:p>
    <w:tbl>
      <w:tblPr>
        <w:tblW w:w="9639" w:type="dxa"/>
        <w:jc w:val="left"/>
        <w:tblInd w:w="42" w:type="dxa"/>
        <w:tblCellMar>
          <w:top w:w="0" w:type="dxa"/>
          <w:left w:w="42" w:type="dxa"/>
          <w:bottom w:w="0" w:type="dxa"/>
          <w:right w:w="42" w:type="dxa"/>
        </w:tblCellMar>
        <w:tblLook w:val="0000" w:noHBand="0" w:noVBand="0" w:firstColumn="0" w:lastRow="0" w:lastColumn="0" w:firstRow="0"/>
      </w:tblPr>
      <w:tblGrid>
        <w:gridCol w:w="2830"/>
        <w:gridCol w:w="1422"/>
        <w:gridCol w:w="287"/>
        <w:gridCol w:w="706"/>
        <w:gridCol w:w="283"/>
        <w:gridCol w:w="2135"/>
        <w:gridCol w:w="275"/>
        <w:gridCol w:w="1419"/>
        <w:gridCol w:w="281"/>
      </w:tblGrid>
      <w:tr>
        <w:trPr/>
        <w:tc>
          <w:tcPr>
            <w:tcW w:w="2830" w:type="dxa"/>
            <w:tcBorders/>
          </w:tcPr>
          <w:p>
            <w:pPr>
              <w:pStyle w:val="CRCoverPage"/>
              <w:widowControl w:val="false"/>
              <w:tabs>
                <w:tab w:val="clear" w:pos="284"/>
                <w:tab w:val="right" w:pos="2751" w:leader="none"/>
              </w:tabs>
              <w:spacing w:before="0" w:after="0"/>
              <w:rPr>
                <w:b/>
                <w:b/>
                <w:i/>
                <w:i/>
              </w:rPr>
            </w:pPr>
            <w:r>
              <w:rPr>
                <w:b/>
                <w:i/>
              </w:rPr>
              <w:t>Proposed change affects:</w:t>
            </w:r>
          </w:p>
        </w:tc>
        <w:tc>
          <w:tcPr>
            <w:tcW w:w="1422" w:type="dxa"/>
            <w:tcBorders/>
          </w:tcPr>
          <w:p>
            <w:pPr>
              <w:pStyle w:val="CRCoverPage"/>
              <w:widowControl w:val="false"/>
              <w:spacing w:before="0" w:after="0"/>
              <w:jc w:val="right"/>
              <w:rPr/>
            </w:pPr>
            <w:r>
              <w:rPr/>
              <w:t>UICC apps</w:t>
            </w:r>
          </w:p>
        </w:tc>
        <w:tc>
          <w:tcPr>
            <w:tcW w:w="287"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caps/>
              </w:rPr>
            </w:pPr>
            <w:r>
              <w:rPr>
                <w:b/>
                <w:caps/>
              </w:rPr>
            </w:r>
          </w:p>
        </w:tc>
        <w:tc>
          <w:tcPr>
            <w:tcW w:w="706" w:type="dxa"/>
            <w:tcBorders>
              <w:left w:val="single" w:sz="4" w:space="0" w:color="000000"/>
            </w:tcBorders>
          </w:tcPr>
          <w:p>
            <w:pPr>
              <w:pStyle w:val="CRCoverPage"/>
              <w:widowControl w:val="false"/>
              <w:spacing w:before="0" w:after="0"/>
              <w:jc w:val="right"/>
              <w:rPr>
                <w:u w:val="single"/>
              </w:rPr>
            </w:pPr>
            <w:r>
              <w:rPr/>
              <w:t>ME</w:t>
            </w:r>
          </w:p>
        </w:tc>
        <w:tc>
          <w:tcPr>
            <w:tcW w:w="283"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caps/>
              </w:rPr>
            </w:pPr>
            <w:r>
              <w:rPr>
                <w:b/>
                <w:caps/>
              </w:rPr>
            </w:r>
          </w:p>
        </w:tc>
        <w:tc>
          <w:tcPr>
            <w:tcW w:w="2135" w:type="dxa"/>
            <w:tcBorders/>
          </w:tcPr>
          <w:p>
            <w:pPr>
              <w:pStyle w:val="CRCoverPage"/>
              <w:widowControl w:val="false"/>
              <w:spacing w:before="0" w:after="0"/>
              <w:jc w:val="right"/>
              <w:rPr>
                <w:u w:val="single"/>
              </w:rPr>
            </w:pPr>
            <w:r>
              <w:rPr/>
              <w:t>Radio Access Network</w:t>
            </w:r>
          </w:p>
        </w:tc>
        <w:tc>
          <w:tcPr>
            <w:tcW w:w="275" w:type="dxa"/>
            <w:tcBorders>
              <w:top w:val="single" w:sz="4" w:space="0" w:color="000000"/>
              <w:left w:val="single" w:sz="4" w:space="0" w:color="000000"/>
              <w:bottom w:val="single" w:sz="4" w:space="0" w:color="000000"/>
              <w:right w:val="single" w:sz="4" w:space="0" w:color="000000"/>
            </w:tcBorders>
            <w:shd w:color="FFFF00" w:fill="auto" w:val="pct25"/>
          </w:tcPr>
          <w:p>
            <w:pPr>
              <w:pStyle w:val="CRCoverPage"/>
              <w:widowControl w:val="false"/>
              <w:spacing w:before="0" w:after="0"/>
              <w:jc w:val="center"/>
              <w:rPr>
                <w:b/>
                <w:b/>
                <w:caps/>
              </w:rPr>
            </w:pPr>
            <w:r>
              <w:rPr>
                <w:b/>
                <w:caps/>
              </w:rPr>
            </w:r>
          </w:p>
        </w:tc>
        <w:tc>
          <w:tcPr>
            <w:tcW w:w="1419" w:type="dxa"/>
            <w:tcBorders/>
          </w:tcPr>
          <w:p>
            <w:pPr>
              <w:pStyle w:val="CRCoverPage"/>
              <w:widowControl w:val="false"/>
              <w:spacing w:before="0" w:after="0"/>
              <w:jc w:val="right"/>
              <w:rPr/>
            </w:pPr>
            <w:r>
              <w:rPr/>
              <w:t>Core Network</w:t>
            </w:r>
          </w:p>
        </w:tc>
        <w:tc>
          <w:tcPr>
            <w:tcW w:w="281"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bCs/>
                <w:caps/>
              </w:rPr>
            </w:pPr>
            <w:ins w:id="2" w:author="rev" w:date="2024-08-09T12:57:00Z">
              <w:r>
                <w:rPr>
                  <w:b/>
                  <w:bCs/>
                  <w:caps/>
                </w:rPr>
                <w:t>x</w:t>
              </w:r>
            </w:ins>
          </w:p>
        </w:tc>
      </w:tr>
    </w:tbl>
    <w:p>
      <w:pPr>
        <w:pStyle w:val="Normal"/>
        <w:rPr>
          <w:sz w:val="8"/>
          <w:szCs w:val="8"/>
        </w:rPr>
      </w:pPr>
      <w:r>
        <w:rPr>
          <w:sz w:val="8"/>
          <w:szCs w:val="8"/>
        </w:rPr>
      </w:r>
    </w:p>
    <w:tbl>
      <w:tblPr>
        <w:tblW w:w="9640" w:type="dxa"/>
        <w:jc w:val="left"/>
        <w:tblInd w:w="42" w:type="dxa"/>
        <w:tblCellMar>
          <w:top w:w="0" w:type="dxa"/>
          <w:left w:w="42" w:type="dxa"/>
          <w:bottom w:w="0" w:type="dxa"/>
          <w:right w:w="42" w:type="dxa"/>
        </w:tblCellMar>
        <w:tblLook w:val="0000" w:noHBand="0" w:noVBand="0" w:firstColumn="0" w:lastRow="0" w:lastColumn="0" w:firstRow="0"/>
      </w:tblPr>
      <w:tblGrid>
        <w:gridCol w:w="1843"/>
        <w:gridCol w:w="851"/>
        <w:gridCol w:w="278"/>
        <w:gridCol w:w="290"/>
        <w:gridCol w:w="567"/>
        <w:gridCol w:w="1687"/>
        <w:gridCol w:w="580"/>
        <w:gridCol w:w="143"/>
        <w:gridCol w:w="268"/>
        <w:gridCol w:w="1004"/>
        <w:gridCol w:w="2129"/>
      </w:tblGrid>
      <w:tr>
        <w:trPr/>
        <w:tc>
          <w:tcPr>
            <w:tcW w:w="9640" w:type="dxa"/>
            <w:gridSpan w:val="11"/>
            <w:tcBorders/>
          </w:tcPr>
          <w:p>
            <w:pPr>
              <w:pStyle w:val="CRCoverPage"/>
              <w:widowControl w:val="false"/>
              <w:spacing w:before="0" w:after="0"/>
              <w:rPr>
                <w:sz w:val="8"/>
                <w:szCs w:val="8"/>
              </w:rPr>
            </w:pPr>
            <w:r>
              <w:rPr>
                <w:sz w:val="8"/>
                <w:szCs w:val="8"/>
              </w:rPr>
            </w:r>
          </w:p>
        </w:tc>
      </w:tr>
      <w:tr>
        <w:trPr/>
        <w:tc>
          <w:tcPr>
            <w:tcW w:w="1843" w:type="dxa"/>
            <w:tcBorders>
              <w:top w:val="single" w:sz="4" w:space="0" w:color="000000"/>
              <w:left w:val="single" w:sz="4" w:space="0" w:color="000000"/>
            </w:tcBorders>
          </w:tcPr>
          <w:p>
            <w:pPr>
              <w:pStyle w:val="CRCoverPage"/>
              <w:widowControl w:val="false"/>
              <w:tabs>
                <w:tab w:val="clear" w:pos="284"/>
                <w:tab w:val="right" w:pos="1759" w:leader="none"/>
              </w:tabs>
              <w:spacing w:before="0" w:after="0"/>
              <w:rPr>
                <w:b/>
                <w:b/>
                <w:i/>
                <w:i/>
              </w:rPr>
            </w:pPr>
            <w:r>
              <w:rPr>
                <w:b/>
                <w:i/>
              </w:rPr>
              <w:t>Title:</w:t>
            </w:r>
          </w:p>
        </w:tc>
        <w:tc>
          <w:tcPr>
            <w:tcW w:w="7797" w:type="dxa"/>
            <w:gridSpan w:val="10"/>
            <w:tcBorders>
              <w:top w:val="single" w:sz="4" w:space="0" w:color="000000"/>
              <w:right w:val="single" w:sz="4" w:space="0" w:color="000000"/>
            </w:tcBorders>
            <w:shd w:color="FFFF00" w:fill="auto" w:val="pct30"/>
          </w:tcPr>
          <w:p>
            <w:pPr>
              <w:pStyle w:val="CRCoverPage"/>
              <w:widowControl w:val="false"/>
              <w:spacing w:before="0" w:after="0"/>
              <w:ind w:left="100" w:hanging="0"/>
              <w:rPr/>
            </w:pPr>
            <w:r>
              <w:rPr/>
              <w:t>Trust anchoring for N32-f/PRINS</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Source to WG: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pPr>
            <w:r>
              <w:rPr/>
              <w:t>Federal Office for Information Security (BSI), Nokia, Nokia Shanghai Bell</w:t>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Source to TSG: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pPr>
            <w:r>
              <w:rPr/>
              <w:t>S3</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Work item code:</w:t>
            </w:r>
          </w:p>
        </w:tc>
        <w:tc>
          <w:tcPr>
            <w:tcW w:w="3673" w:type="dxa"/>
            <w:gridSpan w:val="5"/>
            <w:tcBorders/>
            <w:shd w:color="FFFF00" w:fill="auto" w:val="pct30"/>
          </w:tcPr>
          <w:p>
            <w:pPr>
              <w:pStyle w:val="CRCoverPage"/>
              <w:widowControl w:val="false"/>
              <w:spacing w:before="0" w:after="0"/>
              <w:ind w:left="100" w:hanging="0"/>
              <w:rPr/>
            </w:pPr>
            <w:r>
              <w:rPr/>
              <w:t>Roaming5G</w:t>
            </w:r>
          </w:p>
        </w:tc>
        <w:tc>
          <w:tcPr>
            <w:tcW w:w="580" w:type="dxa"/>
            <w:tcBorders/>
          </w:tcPr>
          <w:p>
            <w:pPr>
              <w:pStyle w:val="CRCoverPage"/>
              <w:widowControl w:val="false"/>
              <w:spacing w:before="0" w:after="0"/>
              <w:ind w:right="100" w:hanging="0"/>
              <w:rPr/>
            </w:pPr>
            <w:r>
              <w:rPr/>
            </w:r>
          </w:p>
        </w:tc>
        <w:tc>
          <w:tcPr>
            <w:tcW w:w="1415" w:type="dxa"/>
            <w:gridSpan w:val="3"/>
            <w:tcBorders/>
          </w:tcPr>
          <w:p>
            <w:pPr>
              <w:pStyle w:val="CRCoverPage"/>
              <w:widowControl w:val="false"/>
              <w:spacing w:before="0" w:after="0"/>
              <w:jc w:val="right"/>
              <w:rPr/>
            </w:pPr>
            <w:r>
              <w:rPr>
                <w:b/>
                <w:i/>
              </w:rPr>
              <w:t>Date:</w:t>
            </w:r>
          </w:p>
        </w:tc>
        <w:tc>
          <w:tcPr>
            <w:tcW w:w="2129" w:type="dxa"/>
            <w:tcBorders>
              <w:right w:val="single" w:sz="4" w:space="0" w:color="000000"/>
            </w:tcBorders>
            <w:shd w:color="FFFF00" w:fill="auto" w:val="pct30"/>
          </w:tcPr>
          <w:p>
            <w:pPr>
              <w:pStyle w:val="CRCoverPage"/>
              <w:widowControl w:val="false"/>
              <w:spacing w:before="0" w:after="0"/>
              <w:ind w:left="100" w:hanging="0"/>
              <w:rPr/>
            </w:pPr>
            <w:r>
              <w:rPr/>
              <w:t>2024-11</w:t>
            </w:r>
            <w:ins w:id="3" w:author="Unknown Author" w:date="2024-07-26T08:02:00Z">
              <w:r>
                <w:rPr/>
                <w:t>-</w:t>
              </w:r>
            </w:ins>
            <w:r>
              <w:rPr/>
              <w:t>15</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1986" w:type="dxa"/>
            <w:gridSpan w:val="4"/>
            <w:tcBorders/>
          </w:tcPr>
          <w:p>
            <w:pPr>
              <w:pStyle w:val="CRCoverPage"/>
              <w:widowControl w:val="false"/>
              <w:spacing w:before="0" w:after="0"/>
              <w:rPr>
                <w:sz w:val="8"/>
                <w:szCs w:val="8"/>
              </w:rPr>
            </w:pPr>
            <w:r>
              <w:rPr>
                <w:sz w:val="8"/>
                <w:szCs w:val="8"/>
              </w:rPr>
            </w:r>
          </w:p>
        </w:tc>
        <w:tc>
          <w:tcPr>
            <w:tcW w:w="2267" w:type="dxa"/>
            <w:gridSpan w:val="2"/>
            <w:tcBorders/>
          </w:tcPr>
          <w:p>
            <w:pPr>
              <w:pStyle w:val="CRCoverPage"/>
              <w:widowControl w:val="false"/>
              <w:spacing w:before="0" w:after="0"/>
              <w:rPr>
                <w:sz w:val="8"/>
                <w:szCs w:val="8"/>
              </w:rPr>
            </w:pPr>
            <w:r>
              <w:rPr>
                <w:sz w:val="8"/>
                <w:szCs w:val="8"/>
              </w:rPr>
            </w:r>
          </w:p>
        </w:tc>
        <w:tc>
          <w:tcPr>
            <w:tcW w:w="1415" w:type="dxa"/>
            <w:gridSpan w:val="3"/>
            <w:tcBorders/>
          </w:tcPr>
          <w:p>
            <w:pPr>
              <w:pStyle w:val="CRCoverPage"/>
              <w:widowControl w:val="false"/>
              <w:spacing w:before="0" w:after="0"/>
              <w:rPr>
                <w:sz w:val="8"/>
                <w:szCs w:val="8"/>
              </w:rPr>
            </w:pPr>
            <w:r>
              <w:rPr>
                <w:sz w:val="8"/>
                <w:szCs w:val="8"/>
              </w:rPr>
            </w:r>
          </w:p>
        </w:tc>
        <w:tc>
          <w:tcPr>
            <w:tcW w:w="2129" w:type="dxa"/>
            <w:tcBorders>
              <w:right w:val="single" w:sz="4" w:space="0" w:color="000000"/>
            </w:tcBorders>
          </w:tcPr>
          <w:p>
            <w:pPr>
              <w:pStyle w:val="CRCoverPage"/>
              <w:widowControl w:val="false"/>
              <w:spacing w:before="0" w:after="0"/>
              <w:rPr>
                <w:sz w:val="8"/>
                <w:szCs w:val="8"/>
              </w:rPr>
            </w:pPr>
            <w:r>
              <w:rPr>
                <w:sz w:val="8"/>
                <w:szCs w:val="8"/>
              </w:rPr>
            </w:r>
          </w:p>
        </w:tc>
      </w:tr>
      <w:tr>
        <w:trPr>
          <w:cantSplit w:val="true"/>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Category:</w:t>
            </w:r>
          </w:p>
        </w:tc>
        <w:tc>
          <w:tcPr>
            <w:tcW w:w="851" w:type="dxa"/>
            <w:tcBorders/>
            <w:shd w:color="FFFF00" w:fill="auto" w:val="pct30"/>
          </w:tcPr>
          <w:p>
            <w:pPr>
              <w:pStyle w:val="CRCoverPage"/>
              <w:widowControl w:val="false"/>
              <w:spacing w:before="0" w:after="0"/>
              <w:ind w:left="100" w:right="-609" w:hanging="0"/>
              <w:rPr>
                <w:lang w:val="de-DE"/>
              </w:rPr>
            </w:pPr>
            <w:r>
              <w:rPr>
                <w:lang w:val="de-DE"/>
              </w:rPr>
              <w:t>F</w:t>
            </w:r>
          </w:p>
        </w:tc>
        <w:tc>
          <w:tcPr>
            <w:tcW w:w="3402" w:type="dxa"/>
            <w:gridSpan w:val="5"/>
            <w:tcBorders/>
          </w:tcPr>
          <w:p>
            <w:pPr>
              <w:pStyle w:val="CRCoverPage"/>
              <w:widowControl w:val="false"/>
              <w:spacing w:before="0" w:after="0"/>
              <w:rPr/>
            </w:pPr>
            <w:r>
              <w:rPr/>
            </w:r>
          </w:p>
        </w:tc>
        <w:tc>
          <w:tcPr>
            <w:tcW w:w="1415" w:type="dxa"/>
            <w:gridSpan w:val="3"/>
            <w:tcBorders/>
          </w:tcPr>
          <w:p>
            <w:pPr>
              <w:pStyle w:val="CRCoverPage"/>
              <w:widowControl w:val="false"/>
              <w:spacing w:before="0" w:after="0"/>
              <w:jc w:val="right"/>
              <w:rPr>
                <w:b/>
                <w:b/>
                <w:i/>
                <w:i/>
              </w:rPr>
            </w:pPr>
            <w:r>
              <w:rPr>
                <w:b/>
                <w:i/>
              </w:rPr>
              <w:t>Release:</w:t>
            </w:r>
          </w:p>
        </w:tc>
        <w:tc>
          <w:tcPr>
            <w:tcW w:w="2129" w:type="dxa"/>
            <w:tcBorders>
              <w:right w:val="single" w:sz="4" w:space="0" w:color="000000"/>
            </w:tcBorders>
            <w:shd w:color="FFFF00" w:fill="auto" w:val="pct30"/>
          </w:tcPr>
          <w:p>
            <w:pPr>
              <w:pStyle w:val="CRCoverPage"/>
              <w:widowControl w:val="false"/>
              <w:spacing w:before="0" w:after="0"/>
              <w:ind w:left="100" w:hanging="0"/>
              <w:rPr/>
            </w:pPr>
            <w:r>
              <w:rPr/>
              <w:t>Rel-19</w:t>
            </w:r>
          </w:p>
        </w:tc>
      </w:tr>
      <w:tr>
        <w:trPr/>
        <w:tc>
          <w:tcPr>
            <w:tcW w:w="1843" w:type="dxa"/>
            <w:tcBorders>
              <w:left w:val="single" w:sz="4" w:space="0" w:color="000000"/>
              <w:bottom w:val="single" w:sz="4" w:space="0" w:color="000000"/>
            </w:tcBorders>
          </w:tcPr>
          <w:p>
            <w:pPr>
              <w:pStyle w:val="CRCoverPage"/>
              <w:widowControl w:val="false"/>
              <w:spacing w:before="0" w:after="0"/>
              <w:rPr>
                <w:b/>
                <w:b/>
                <w:i/>
                <w:i/>
              </w:rPr>
            </w:pPr>
            <w:r>
              <w:rPr>
                <w:b/>
                <w:i/>
              </w:rPr>
            </w:r>
          </w:p>
        </w:tc>
        <w:tc>
          <w:tcPr>
            <w:tcW w:w="4664" w:type="dxa"/>
            <w:gridSpan w:val="8"/>
            <w:tcBorders>
              <w:bottom w:val="single" w:sz="4" w:space="0" w:color="000000"/>
            </w:tcBorders>
          </w:tcPr>
          <w:p>
            <w:pPr>
              <w:pStyle w:val="CRCoverPage"/>
              <w:widowControl w:val="false"/>
              <w:spacing w:before="0" w:after="0"/>
              <w:ind w:left="383" w:hanging="383"/>
              <w:rPr>
                <w:i/>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br/>
            </w:r>
            <w:r>
              <w:rPr>
                <w:b/>
                <w:i/>
                <w:sz w:val="18"/>
              </w:rPr>
              <w:t>A</w:t>
            </w:r>
            <w:r>
              <w:rPr>
                <w:i/>
                <w:sz w:val="18"/>
              </w:rPr>
              <w:t xml:space="preserve">  (mirror corresponding to a change in an earlier </w:t>
              <w:tab/>
              <w:tab/>
              <w:tab/>
              <w:tab/>
              <w:tab/>
              <w:tab/>
              <w:tab/>
              <w:tab/>
              <w:tab/>
              <w:tab/>
              <w:tab/>
              <w:tab/>
              <w:tab/>
              <w:t>release)</w:t>
              <w:br/>
            </w:r>
            <w:r>
              <w:rPr>
                <w:b/>
                <w:i/>
                <w:sz w:val="18"/>
              </w:rPr>
              <w:t>B</w:t>
            </w:r>
            <w:r>
              <w:rPr>
                <w:i/>
                <w:sz w:val="18"/>
              </w:rPr>
              <w:t xml:space="preserve">  (addition of feature), </w:t>
              <w:br/>
            </w:r>
            <w:r>
              <w:rPr>
                <w:b/>
                <w:i/>
                <w:sz w:val="18"/>
              </w:rPr>
              <w:t>C</w:t>
            </w:r>
            <w:r>
              <w:rPr>
                <w:i/>
                <w:sz w:val="18"/>
              </w:rPr>
              <w:t xml:space="preserve">  (functional modification of feature)</w:t>
              <w:br/>
            </w:r>
            <w:r>
              <w:rPr>
                <w:b/>
                <w:i/>
                <w:sz w:val="18"/>
              </w:rPr>
              <w:t>D</w:t>
            </w:r>
            <w:r>
              <w:rPr>
                <w:i/>
                <w:sz w:val="18"/>
              </w:rPr>
              <w:t xml:space="preserve">  (editorial modification)</w:t>
            </w:r>
          </w:p>
          <w:p>
            <w:pPr>
              <w:pStyle w:val="CRCoverPage"/>
              <w:widowControl w:val="false"/>
              <w:spacing w:before="0" w:after="120"/>
              <w:rPr/>
            </w:pPr>
            <w:r>
              <w:rPr>
                <w:sz w:val="18"/>
              </w:rPr>
              <w:t>Detailed explanations of the above categories can</w:t>
              <w:br/>
              <w:t xml:space="preserve">be found in 3GPP </w:t>
            </w:r>
            <w:hyperlink r:id="rId3">
              <w:r>
                <w:rPr>
                  <w:rStyle w:val="InternetLink"/>
                  <w:sz w:val="18"/>
                </w:rPr>
                <w:t>TR 21.900</w:t>
              </w:r>
            </w:hyperlink>
            <w:r>
              <w:rPr>
                <w:sz w:val="18"/>
              </w:rPr>
              <w:t>.</w:t>
            </w:r>
          </w:p>
        </w:tc>
        <w:tc>
          <w:tcPr>
            <w:tcW w:w="3133" w:type="dxa"/>
            <w:gridSpan w:val="2"/>
            <w:tcBorders>
              <w:bottom w:val="single" w:sz="4" w:space="0" w:color="000000"/>
              <w:right w:val="single" w:sz="4" w:space="0" w:color="000000"/>
            </w:tcBorders>
          </w:tcPr>
          <w:p>
            <w:pPr>
              <w:pStyle w:val="CRCoverPage"/>
              <w:widowControl w:val="false"/>
              <w:tabs>
                <w:tab w:val="clear" w:pos="284"/>
                <w:tab w:val="left" w:pos="950" w:leader="none"/>
              </w:tabs>
              <w:spacing w:before="0" w:after="0"/>
              <w:ind w:left="241" w:hanging="241"/>
              <w:rPr>
                <w:i/>
                <w:i/>
                <w:sz w:val="18"/>
              </w:rPr>
            </w:pPr>
            <w:r>
              <w:rPr>
                <w:i/>
                <w:sz w:val="18"/>
              </w:rPr>
              <w:t xml:space="preserve">Use </w:t>
            </w:r>
            <w:r>
              <w:rPr>
                <w:i/>
                <w:sz w:val="18"/>
                <w:u w:val="single"/>
              </w:rPr>
              <w:t>one</w:t>
            </w:r>
            <w:r>
              <w:rPr>
                <w:i/>
                <w:sz w:val="18"/>
              </w:rPr>
              <w:t xml:space="preserve"> of the following releases:</w:t>
              <w:br/>
              <w:t>Rel-8</w:t>
              <w:tab/>
              <w:t>(Release 8)</w:t>
              <w:br/>
              <w:t>Rel-9</w:t>
              <w:tab/>
              <w:t>(Release 9)</w:t>
              <w:br/>
              <w:t>Rel-10</w:t>
              <w:tab/>
              <w:t>(Release 10)</w:t>
              <w:br/>
              <w:t>Rel-11</w:t>
              <w:tab/>
              <w:t>(Release 11)</w:t>
              <w:br/>
              <w:t>…</w:t>
              <w:br/>
              <w:t>Rel-15</w:t>
              <w:tab/>
              <w:t>(Release 15)</w:t>
              <w:br/>
              <w:t>Rel-16</w:t>
              <w:tab/>
              <w:t>(Release 16)</w:t>
              <w:br/>
              <w:t>Rel-17</w:t>
              <w:tab/>
              <w:t>(Release 17)</w:t>
              <w:br/>
              <w:t>Rel-18</w:t>
              <w:tab/>
              <w:t>(Release 18)</w:t>
            </w:r>
          </w:p>
        </w:tc>
      </w:tr>
      <w:tr>
        <w:trPr/>
        <w:tc>
          <w:tcPr>
            <w:tcW w:w="1843" w:type="dxa"/>
            <w:tcBorders/>
          </w:tcPr>
          <w:p>
            <w:pPr>
              <w:pStyle w:val="CRCoverPage"/>
              <w:widowControl w:val="false"/>
              <w:spacing w:before="0" w:after="0"/>
              <w:rPr>
                <w:b/>
                <w:b/>
                <w:i/>
                <w:i/>
                <w:sz w:val="8"/>
                <w:szCs w:val="8"/>
              </w:rPr>
            </w:pPr>
            <w:r>
              <w:rPr>
                <w:b/>
                <w:i/>
                <w:sz w:val="8"/>
                <w:szCs w:val="8"/>
              </w:rPr>
            </w:r>
          </w:p>
        </w:tc>
        <w:tc>
          <w:tcPr>
            <w:tcW w:w="7797" w:type="dxa"/>
            <w:gridSpan w:val="10"/>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b/>
                <w:i/>
                <w:i/>
              </w:rPr>
            </w:pPr>
            <w:r>
              <w:rPr>
                <w:b/>
                <w:i/>
              </w:rPr>
              <w:t>Reason for change:</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rPr/>
            </w:pPr>
            <w:r>
              <w:rPr/>
              <w:t>While trust anchoring for N32-c is specified, it is not specified for N32-f/PRINS. This is, among other things, due to the lack of PLMN-IDs in TLS certificates associated with Roaming Intermediaries. Moreover, checking that a given N32-f connection (both TLS and PRINS) carries traffic only for roaming partners that were previously configured to be associated with that connection is not well-specified. This CR closes these gaps.</w:t>
            </w:r>
          </w:p>
          <w:p>
            <w:pPr>
              <w:pStyle w:val="CRCoverPage"/>
              <w:widowControl w:val="false"/>
              <w:spacing w:before="0" w:after="0"/>
              <w:rPr/>
            </w:pPr>
            <w:r>
              <w:rPr/>
            </w:r>
          </w:p>
          <w:p>
            <w:pPr>
              <w:pStyle w:val="CRCoverPage"/>
              <w:widowControl w:val="false"/>
              <w:spacing w:before="0" w:after="120"/>
              <w:rPr/>
            </w:pPr>
            <w:r>
              <w:rPr/>
              <w:t>The clarifications and mechanisms described in this CR enable anomaly detection if traffic on a specific roaming partner (PLMN ID) arrives over the wrong N32 route. Anomalies can be detected by the operator, if an attacker (which could be also wrongly configured roaming partner or intermediary) is using the wrong tunnel</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t>Summary of change:</w:t>
            </w:r>
          </w:p>
        </w:tc>
        <w:tc>
          <w:tcPr>
            <w:tcW w:w="6946" w:type="dxa"/>
            <w:gridSpan w:val="9"/>
            <w:tcBorders>
              <w:right w:val="single" w:sz="4" w:space="0" w:color="000000"/>
            </w:tcBorders>
            <w:shd w:color="FFFF00" w:fill="auto" w:val="pct30"/>
          </w:tcPr>
          <w:p>
            <w:pPr>
              <w:pStyle w:val="CRCoverPage"/>
              <w:widowControl w:val="false"/>
              <w:spacing w:before="0" w:after="0"/>
              <w:rPr/>
            </w:pPr>
            <w:r>
              <w:rPr/>
              <w:t>Specify trust anchoring for N32-f/PRINS as well as PLMN-ID crosschecks for N32-f (both TLS and PRINS).</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Consequences if not approved:</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rPr/>
            </w:pPr>
            <w:r>
              <w:rPr/>
              <w:t>While trust anchoring is supported with granularity of individual PLMNs for N32-c and direct (non-mediated) roaming relations, this is not the case for mediated roaming relations (i.e. with N32-f</w:t>
            </w:r>
            <w:r>
              <w:rPr>
                <w:lang w:val="el-GR"/>
              </w:rPr>
              <w:t>/</w:t>
            </w:r>
            <w:r>
              <w:rPr/>
              <w:t>PRINS). Moreover, checking that N32 signalling over a given N32-f connection is consistent with trust anchors with granularity of individual PLMN-IDs was not specified so far. These aspects are detrimental to security and will continue to exist if this CR is not approved.</w:t>
            </w:r>
          </w:p>
        </w:tc>
      </w:tr>
      <w:tr>
        <w:trPr/>
        <w:tc>
          <w:tcPr>
            <w:tcW w:w="2694" w:type="dxa"/>
            <w:gridSpan w:val="2"/>
            <w:tcBorders/>
          </w:tcPr>
          <w:p>
            <w:pPr>
              <w:pStyle w:val="CRCoverPage"/>
              <w:widowControl w:val="false"/>
              <w:spacing w:before="0" w:after="0"/>
              <w:rPr>
                <w:b/>
                <w:b/>
                <w:i/>
                <w:i/>
                <w:sz w:val="8"/>
                <w:szCs w:val="8"/>
              </w:rPr>
            </w:pPr>
            <w:r>
              <w:rPr>
                <w:b/>
                <w:i/>
                <w:sz w:val="8"/>
                <w:szCs w:val="8"/>
              </w:rPr>
            </w:r>
          </w:p>
        </w:tc>
        <w:tc>
          <w:tcPr>
            <w:tcW w:w="6946" w:type="dxa"/>
            <w:gridSpan w:val="9"/>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b/>
                <w:i/>
                <w:i/>
              </w:rPr>
            </w:pPr>
            <w:r>
              <w:rPr>
                <w:b/>
                <w:i/>
              </w:rPr>
              <w:t>Clauses affected:</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rPr/>
            </w:pPr>
            <w:r>
              <w:rPr/>
              <w:t>13.1.2, 13.2.4.7</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r>
          </w:p>
        </w:tc>
        <w:tc>
          <w:tcPr>
            <w:tcW w:w="278" w:type="dxa"/>
            <w:tcBorders>
              <w:top w:val="single" w:sz="4" w:space="0" w:color="000000"/>
              <w:left w:val="single" w:sz="4" w:space="0" w:color="000000"/>
              <w:bottom w:val="single" w:sz="4" w:space="0" w:color="000000"/>
            </w:tcBorders>
          </w:tcPr>
          <w:p>
            <w:pPr>
              <w:pStyle w:val="CRCoverPage"/>
              <w:widowControl w:val="false"/>
              <w:spacing w:before="0" w:after="0"/>
              <w:jc w:val="center"/>
              <w:rPr>
                <w:b/>
                <w:b/>
                <w:caps/>
              </w:rPr>
            </w:pPr>
            <w:r>
              <w:rPr>
                <w:b/>
                <w:caps/>
              </w:rPr>
              <w:t>Y</w:t>
            </w:r>
          </w:p>
        </w:tc>
        <w:tc>
          <w:tcPr>
            <w:tcW w:w="290" w:type="dxa"/>
            <w:tcBorders>
              <w:top w:val="single" w:sz="4" w:space="0" w:color="000000"/>
              <w:left w:val="single" w:sz="4" w:space="0" w:color="000000"/>
              <w:bottom w:val="single" w:sz="4" w:space="0" w:color="000000"/>
              <w:right w:val="single" w:sz="4" w:space="0" w:color="000000"/>
            </w:tcBorders>
            <w:shd w:color="FFFF00" w:fill="auto" w:val="clear"/>
          </w:tcPr>
          <w:p>
            <w:pPr>
              <w:pStyle w:val="CRCoverPage"/>
              <w:widowControl w:val="false"/>
              <w:spacing w:before="0" w:after="0"/>
              <w:jc w:val="center"/>
              <w:rPr>
                <w:b/>
                <w:b/>
                <w:caps/>
              </w:rPr>
            </w:pPr>
            <w:r>
              <w:rPr>
                <w:b/>
                <w:caps/>
              </w:rPr>
              <w:t>N</w:t>
            </w:r>
          </w:p>
        </w:tc>
        <w:tc>
          <w:tcPr>
            <w:tcW w:w="2977" w:type="dxa"/>
            <w:gridSpan w:val="4"/>
            <w:tcBorders/>
          </w:tcPr>
          <w:p>
            <w:pPr>
              <w:pStyle w:val="CRCoverPage"/>
              <w:widowControl w:val="false"/>
              <w:tabs>
                <w:tab w:val="clear" w:pos="284"/>
                <w:tab w:val="right" w:pos="2893" w:leader="none"/>
              </w:tabs>
              <w:spacing w:before="0" w:after="0"/>
              <w:rPr/>
            </w:pPr>
            <w:r>
              <w:rPr/>
            </w:r>
          </w:p>
        </w:tc>
        <w:tc>
          <w:tcPr>
            <w:tcW w:w="3401" w:type="dxa"/>
            <w:gridSpan w:val="3"/>
            <w:tcBorders>
              <w:right w:val="single" w:sz="4" w:space="0" w:color="000000"/>
            </w:tcBorders>
            <w:shd w:color="FFFF00" w:fill="auto" w:val="clear"/>
          </w:tcPr>
          <w:p>
            <w:pPr>
              <w:pStyle w:val="CRCoverPage"/>
              <w:widowControl w:val="false"/>
              <w:spacing w:before="0" w:after="0"/>
              <w:ind w:left="99" w:hanging="0"/>
              <w:rPr/>
            </w:pPr>
            <w:r>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t>Other specs</w:t>
            </w:r>
          </w:p>
        </w:tc>
        <w:tc>
          <w:tcPr>
            <w:tcW w:w="278"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90"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rPr>
            </w:pPr>
            <w:r>
              <w:rPr>
                <w:b/>
                <w:caps/>
              </w:rPr>
            </w:r>
          </w:p>
        </w:tc>
        <w:tc>
          <w:tcPr>
            <w:tcW w:w="2977" w:type="dxa"/>
            <w:gridSpan w:val="4"/>
            <w:tcBorders/>
          </w:tcPr>
          <w:p>
            <w:pPr>
              <w:pStyle w:val="CRCoverPage"/>
              <w:widowControl w:val="false"/>
              <w:tabs>
                <w:tab w:val="clear" w:pos="284"/>
                <w:tab w:val="right" w:pos="2893" w:leader="none"/>
              </w:tabs>
              <w:spacing w:before="0" w:after="0"/>
              <w:rPr/>
            </w:pPr>
            <w:r>
              <w:rPr/>
              <w:t xml:space="preserve"> </w:t>
            </w:r>
            <w:r>
              <w:rPr/>
              <w:t>Other core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TS/TR ... CR ...</w:t>
            </w:r>
          </w:p>
        </w:tc>
      </w:tr>
      <w:tr>
        <w:trPr/>
        <w:tc>
          <w:tcPr>
            <w:tcW w:w="2694" w:type="dxa"/>
            <w:gridSpan w:val="2"/>
            <w:tcBorders>
              <w:left w:val="single" w:sz="4" w:space="0" w:color="000000"/>
            </w:tcBorders>
          </w:tcPr>
          <w:p>
            <w:pPr>
              <w:pStyle w:val="CRCoverPage"/>
              <w:widowControl w:val="false"/>
              <w:spacing w:before="0" w:after="0"/>
              <w:rPr>
                <w:b/>
                <w:b/>
                <w:i/>
                <w:i/>
              </w:rPr>
            </w:pPr>
            <w:r>
              <w:rPr>
                <w:b/>
                <w:i/>
              </w:rPr>
              <w:t>affected:</w:t>
            </w:r>
          </w:p>
        </w:tc>
        <w:tc>
          <w:tcPr>
            <w:tcW w:w="278"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90"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rPr>
            </w:pPr>
            <w:r>
              <w:rPr>
                <w:b/>
                <w:caps/>
              </w:rPr>
            </w:r>
          </w:p>
        </w:tc>
        <w:tc>
          <w:tcPr>
            <w:tcW w:w="2977" w:type="dxa"/>
            <w:gridSpan w:val="4"/>
            <w:tcBorders/>
          </w:tcPr>
          <w:p>
            <w:pPr>
              <w:pStyle w:val="CRCoverPage"/>
              <w:widowControl w:val="false"/>
              <w:spacing w:before="0" w:after="0"/>
              <w:rPr/>
            </w:pPr>
            <w:r>
              <w:rPr/>
              <w:t xml:space="preserve"> </w:t>
            </w:r>
            <w:r>
              <w:rPr/>
              <w:t>Test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TS/TR ... CR ...</w:t>
            </w:r>
          </w:p>
        </w:tc>
      </w:tr>
      <w:tr>
        <w:trPr/>
        <w:tc>
          <w:tcPr>
            <w:tcW w:w="2694" w:type="dxa"/>
            <w:gridSpan w:val="2"/>
            <w:tcBorders>
              <w:left w:val="single" w:sz="4" w:space="0" w:color="000000"/>
            </w:tcBorders>
          </w:tcPr>
          <w:p>
            <w:pPr>
              <w:pStyle w:val="CRCoverPage"/>
              <w:widowControl w:val="false"/>
              <w:spacing w:before="0" w:after="0"/>
              <w:rPr>
                <w:b/>
                <w:b/>
                <w:i/>
                <w:i/>
              </w:rPr>
            </w:pPr>
            <w:r>
              <w:rPr>
                <w:b/>
                <w:i/>
              </w:rPr>
              <w:t>(show related CRs)</w:t>
            </w:r>
          </w:p>
        </w:tc>
        <w:tc>
          <w:tcPr>
            <w:tcW w:w="278"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90"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rPr>
            </w:pPr>
            <w:r>
              <w:rPr>
                <w:b/>
                <w:caps/>
              </w:rPr>
            </w:r>
          </w:p>
        </w:tc>
        <w:tc>
          <w:tcPr>
            <w:tcW w:w="2977" w:type="dxa"/>
            <w:gridSpan w:val="4"/>
            <w:tcBorders/>
          </w:tcPr>
          <w:p>
            <w:pPr>
              <w:pStyle w:val="CRCoverPage"/>
              <w:widowControl w:val="false"/>
              <w:spacing w:before="0" w:after="0"/>
              <w:rPr/>
            </w:pPr>
            <w:r>
              <w:rPr/>
              <w:t xml:space="preserve"> </w:t>
            </w:r>
            <w:r>
              <w:rPr/>
              <w:t>O&amp;M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TS/TR ... CR ...</w:t>
            </w:r>
          </w:p>
        </w:tc>
      </w:tr>
      <w:tr>
        <w:trPr/>
        <w:tc>
          <w:tcPr>
            <w:tcW w:w="2694" w:type="dxa"/>
            <w:gridSpan w:val="2"/>
            <w:tcBorders>
              <w:left w:val="single" w:sz="4" w:space="0" w:color="000000"/>
            </w:tcBorders>
          </w:tcPr>
          <w:p>
            <w:pPr>
              <w:pStyle w:val="CRCoverPage"/>
              <w:widowControl w:val="false"/>
              <w:spacing w:before="0" w:after="0"/>
              <w:rPr>
                <w:b/>
                <w:b/>
                <w:i/>
                <w:i/>
              </w:rPr>
            </w:pPr>
            <w:r>
              <w:rPr>
                <w:b/>
                <w:i/>
              </w:rPr>
            </w:r>
          </w:p>
        </w:tc>
        <w:tc>
          <w:tcPr>
            <w:tcW w:w="6946" w:type="dxa"/>
            <w:gridSpan w:val="9"/>
            <w:tcBorders>
              <w:right w:val="single" w:sz="4" w:space="0" w:color="000000"/>
            </w:tcBorders>
          </w:tcPr>
          <w:p>
            <w:pPr>
              <w:pStyle w:val="CRCoverPage"/>
              <w:widowControl w:val="false"/>
              <w:spacing w:before="0" w:after="0"/>
              <w:rPr/>
            </w:pPr>
            <w:r>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Other comments:</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r>
        <w:trPr/>
        <w:tc>
          <w:tcPr>
            <w:tcW w:w="2694" w:type="dxa"/>
            <w:gridSpan w:val="2"/>
            <w:tcBorders>
              <w:top w:val="single" w:sz="4" w:space="0" w:color="000000"/>
              <w:bottom w:val="single" w:sz="4" w:space="0" w:color="000000"/>
            </w:tcBorders>
          </w:tcPr>
          <w:p>
            <w:pPr>
              <w:pStyle w:val="CRCoverPage"/>
              <w:widowControl w:val="false"/>
              <w:tabs>
                <w:tab w:val="clear" w:pos="284"/>
                <w:tab w:val="right" w:pos="2184" w:leader="none"/>
              </w:tabs>
              <w:spacing w:before="0" w:after="0"/>
              <w:rPr>
                <w:b/>
                <w:b/>
                <w:i/>
                <w:i/>
                <w:sz w:val="8"/>
                <w:szCs w:val="8"/>
              </w:rPr>
            </w:pPr>
            <w:r>
              <w:rPr>
                <w:b/>
                <w:i/>
                <w:sz w:val="8"/>
                <w:szCs w:val="8"/>
              </w:rPr>
            </w:r>
          </w:p>
        </w:tc>
        <w:tc>
          <w:tcPr>
            <w:tcW w:w="6946" w:type="dxa"/>
            <w:gridSpan w:val="9"/>
            <w:tcBorders>
              <w:top w:val="single" w:sz="4" w:space="0" w:color="000000"/>
              <w:bottom w:val="single" w:sz="4" w:space="0" w:color="000000"/>
            </w:tcBorders>
            <w:shd w:color="FFFFFF" w:fill="auto" w:themeColor="background1" w:val="solid"/>
          </w:tcPr>
          <w:p>
            <w:pPr>
              <w:pStyle w:val="CRCoverPage"/>
              <w:widowControl w:val="false"/>
              <w:spacing w:before="0" w:after="0"/>
              <w:ind w:left="100" w:hanging="0"/>
              <w:rPr>
                <w:sz w:val="8"/>
                <w:szCs w:val="8"/>
              </w:rPr>
            </w:pPr>
            <w:r>
              <w:rPr>
                <w:sz w:val="8"/>
                <w:szCs w:val="8"/>
              </w:rPr>
            </w:r>
          </w:p>
        </w:tc>
      </w:tr>
      <w:tr>
        <w:trPr/>
        <w:tc>
          <w:tcPr>
            <w:tcW w:w="2694" w:type="dxa"/>
            <w:gridSpan w:val="2"/>
            <w:tcBorders>
              <w:top w:val="single" w:sz="4" w:space="0" w:color="000000"/>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This CR's revision history:</w:t>
            </w:r>
          </w:p>
        </w:tc>
        <w:tc>
          <w:tcPr>
            <w:tcW w:w="6946" w:type="dxa"/>
            <w:gridSpan w:val="9"/>
            <w:tcBorders>
              <w:top w:val="single" w:sz="4" w:space="0" w:color="000000"/>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bl>
    <w:p>
      <w:pPr>
        <w:sectPr>
          <w:type w:val="nextPage"/>
          <w:pgSz w:w="11906" w:h="16838"/>
          <w:pgMar w:left="1134" w:right="1134" w:header="0" w:top="1418" w:footer="0" w:bottom="1134" w:gutter="0"/>
          <w:pgNumType w:fmt="decimal"/>
          <w:formProt w:val="false"/>
          <w:textDirection w:val="lrTb"/>
          <w:docGrid w:type="default" w:linePitch="100" w:charSpace="40960"/>
        </w:sectPr>
      </w:pPr>
    </w:p>
    <w:p>
      <w:pPr>
        <w:pStyle w:val="Normal"/>
        <w:rPr>
          <w:color w:val="C9211E"/>
          <w:sz w:val="28"/>
          <w:szCs w:val="28"/>
          <w:lang w:val="en-US"/>
        </w:rPr>
      </w:pPr>
      <w:r>
        <w:rPr>
          <w:color w:val="C9211E"/>
          <w:sz w:val="28"/>
          <w:szCs w:val="28"/>
          <w:lang w:val="en-US"/>
        </w:rPr>
      </w:r>
    </w:p>
    <w:p>
      <w:pPr>
        <w:pStyle w:val="Normal"/>
        <w:rPr>
          <w:color w:val="C9211E"/>
          <w:sz w:val="28"/>
          <w:szCs w:val="28"/>
          <w:lang w:val="en-US"/>
        </w:rPr>
      </w:pPr>
      <w:r>
        <w:rPr>
          <w:color w:val="C9211E"/>
          <w:sz w:val="28"/>
          <w:szCs w:val="28"/>
          <w:lang w:val="en-US"/>
        </w:rPr>
        <w:t>*********************** START OF CHANGES ************************</w:t>
      </w:r>
    </w:p>
    <w:p>
      <w:pPr>
        <w:pStyle w:val="Normal"/>
        <w:rPr>
          <w:color w:val="C9211E"/>
          <w:sz w:val="28"/>
          <w:szCs w:val="28"/>
        </w:rPr>
      </w:pPr>
      <w:r>
        <w:rPr>
          <w:color w:val="C9211E"/>
          <w:sz w:val="28"/>
          <w:szCs w:val="28"/>
        </w:rPr>
      </w:r>
    </w:p>
    <w:p>
      <w:pPr>
        <w:pStyle w:val="Heading3"/>
        <w:rPr>
          <w:iCs/>
        </w:rPr>
      </w:pPr>
      <w:bookmarkStart w:id="1" w:name="__RefHeading___Toc170465735"/>
      <w:bookmarkEnd w:id="1"/>
      <w:r>
        <w:rPr/>
        <w:t>13.1.2</w:t>
        <w:tab/>
        <w:t>Protection between SEPPs</w:t>
      </w:r>
    </w:p>
    <w:p>
      <w:pPr>
        <w:pStyle w:val="Normal"/>
        <w:rPr>
          <w:iCs/>
        </w:rPr>
      </w:pPr>
      <w:r>
        <w:rPr/>
        <w:t>TLS shall be used for N32-c connections between the SEPPs.</w:t>
      </w:r>
    </w:p>
    <w:p>
      <w:pPr>
        <w:pStyle w:val="Normal"/>
        <w:rPr>
          <w:lang w:val="el-GR" w:eastAsia="el-GR"/>
          <w:ins w:id="31" w:author="BSI" w:date="2024-08-20T18:06:00Z"/>
        </w:rPr>
      </w:pPr>
      <w:r>
        <w:rPr>
          <w:lang w:val="el-GR" w:eastAsia="el-GR"/>
        </w:rPr>
        <w:t>The SEPP shall maintain a set of trust anchors</w:t>
      </w:r>
      <w:ins w:id="4" w:author="BSI" w:date="2024-08-20T17:51:00Z">
        <w:r>
          <w:rPr>
            <w:lang w:eastAsia="el-GR"/>
          </w:rPr>
          <w:t>. For N32-c</w:t>
        </w:r>
      </w:ins>
      <w:del w:id="5" w:author="Huawei" w:date="2024-11-07T17:08:00Z">
        <w:r>
          <w:rPr>
            <w:lang w:eastAsia="el-GR"/>
          </w:rPr>
          <w:delText xml:space="preserve"> (also used for N32-f/TLS</w:delText>
        </w:r>
      </w:del>
      <w:r>
        <w:rPr>
          <w:lang w:eastAsia="el-GR"/>
        </w:rPr>
        <w:commentReference w:id="0"/>
      </w:r>
      <w:del w:id="6" w:author="Huawei" w:date="2024-11-07T17:08:00Z">
        <w:r>
          <w:rPr>
            <w:lang w:eastAsia="el-GR"/>
          </w:rPr>
          <w:delText xml:space="preserve"> as specified below)</w:delText>
        </w:r>
      </w:del>
      <w:del w:id="7" w:author="Unknown Author" w:date="2024-11-11T18:14:00Z">
        <w:r>
          <w:rPr>
            <w:lang w:eastAsia="el-GR"/>
          </w:rPr>
          <w:delText>/</w:delText>
        </w:r>
      </w:del>
      <w:ins w:id="8" w:author="Unknown Author" w:date="2024-11-11T18:14:00Z">
        <w:r>
          <w:rPr>
            <w:lang w:eastAsia="el-GR"/>
          </w:rPr>
          <w:t xml:space="preserve"> and </w:t>
        </w:r>
      </w:ins>
      <w:ins w:id="9" w:author="Huawei" w:date="2024-11-07T17:08:00Z">
        <w:r>
          <w:rPr>
            <w:lang w:eastAsia="el-GR"/>
          </w:rPr>
          <w:t>N32</w:t>
        </w:r>
      </w:ins>
      <w:ins w:id="10" w:author="Huawei" w:date="2024-11-07T17:09:00Z">
        <w:r>
          <w:rPr>
            <w:lang w:eastAsia="el-GR"/>
          </w:rPr>
          <w:t>-f</w:t>
        </w:r>
      </w:ins>
      <w:ins w:id="11" w:author="Unknown Author" w:date="2024-11-11T18:14:00Z">
        <w:r>
          <w:rPr>
            <w:lang w:eastAsia="el-GR"/>
          </w:rPr>
          <w:t xml:space="preserve"> when the selected security method is “TLS”</w:t>
        </w:r>
      </w:ins>
      <w:r>
        <w:rPr>
          <w:lang w:val="el-GR" w:eastAsia="el-GR"/>
        </w:rPr>
        <w:t xml:space="preserve">, each </w:t>
      </w:r>
      <w:ins w:id="12" w:author="BSI" w:date="2024-08-20T17:51:00Z">
        <w:r>
          <w:rPr>
            <w:lang w:eastAsia="el-GR"/>
          </w:rPr>
          <w:t xml:space="preserve">trust anchor </w:t>
        </w:r>
      </w:ins>
      <w:del w:id="13" w:author="BSI" w:date="2024-08-20T17:52:00Z">
        <w:r>
          <w:rPr>
            <w:lang w:val="el-GR" w:eastAsia="el-GR"/>
          </w:rPr>
          <w:delText xml:space="preserve">consisting </w:delText>
        </w:r>
      </w:del>
      <w:ins w:id="14" w:author="BSI" w:date="2024-08-20T17:52:00Z">
        <w:r>
          <w:rPr>
            <w:lang w:val="el-GR" w:eastAsia="el-GR"/>
          </w:rPr>
          <w:t>consist</w:t>
        </w:r>
      </w:ins>
      <w:ins w:id="15" w:author="BSI" w:date="2024-08-20T17:52:00Z">
        <w:r>
          <w:rPr>
            <w:lang w:eastAsia="el-GR"/>
          </w:rPr>
          <w:t>s</w:t>
        </w:r>
      </w:ins>
      <w:ins w:id="16" w:author="BSI" w:date="2024-08-20T17:52:00Z">
        <w:r>
          <w:rPr>
            <w:lang w:val="el-GR" w:eastAsia="el-GR"/>
          </w:rPr>
          <w:t xml:space="preserve"> </w:t>
        </w:r>
      </w:ins>
      <w:r>
        <w:rPr>
          <w:lang w:val="el-GR" w:eastAsia="el-GR"/>
        </w:rPr>
        <w:t>of a list of trusted root certificates and a list of corresponding PLMN-IDs.</w:t>
      </w:r>
      <w:ins w:id="17" w:author="BSI" w:date="2024-08-20T17:57:00Z">
        <w:r>
          <w:rPr>
            <w:lang w:eastAsia="el-GR"/>
          </w:rPr>
          <w:t xml:space="preserve"> For NDS/IP or TLS VPN used for N32-f</w:t>
        </w:r>
      </w:ins>
      <w:del w:id="18" w:author="Unknown Author" w:date="2024-11-11T18:15:00Z">
        <w:r>
          <w:rPr>
            <w:lang w:eastAsia="el-GR"/>
          </w:rPr>
          <w:delText>/</w:delText>
        </w:r>
      </w:del>
      <w:ins w:id="19" w:author="Unknown Author" w:date="2024-11-11T18:15:00Z">
        <w:r>
          <w:rPr>
            <w:lang w:eastAsia="el-GR"/>
          </w:rPr>
          <w:t xml:space="preserve"> when the selected security method is “</w:t>
        </w:r>
      </w:ins>
      <w:ins w:id="20" w:author="BSI" w:date="2024-08-20T17:57:00Z">
        <w:r>
          <w:rPr>
            <w:lang w:eastAsia="el-GR"/>
          </w:rPr>
          <w:t>PRINS</w:t>
        </w:r>
      </w:ins>
      <w:ins w:id="21" w:author="Unknown Author" w:date="2024-11-11T18:15:00Z">
        <w:r>
          <w:rPr>
            <w:lang w:eastAsia="el-GR"/>
          </w:rPr>
          <w:t>”</w:t>
        </w:r>
      </w:ins>
      <w:ins w:id="22" w:author="BSI" w:date="2024-08-20T17:57:00Z">
        <w:r>
          <w:rPr>
            <w:lang w:val="el-GR" w:eastAsia="el-GR"/>
          </w:rPr>
          <w:t xml:space="preserve">, </w:t>
        </w:r>
      </w:ins>
      <w:ins w:id="23" w:author="BSI" w:date="2024-08-20T17:57:00Z">
        <w:r>
          <w:rPr>
            <w:lang w:eastAsia="el-GR"/>
          </w:rPr>
          <w:t>each trust anchor</w:t>
        </w:r>
      </w:ins>
      <w:ins w:id="24" w:author="Huawei" w:date="2024-11-07T17:14:00Z">
        <w:r>
          <w:rPr>
            <w:lang w:eastAsia="el-GR"/>
          </w:rPr>
          <w:t xml:space="preserve"> may</w:t>
        </w:r>
      </w:ins>
      <w:ins w:id="25" w:author="BSI" w:date="2024-08-20T17:57:00Z">
        <w:r>
          <w:rPr>
            <w:lang w:eastAsia="el-GR"/>
          </w:rPr>
          <w:t xml:space="preserve"> also include</w:t>
        </w:r>
      </w:ins>
      <w:del w:id="26" w:author="Unknown Author" w:date="2024-11-11T18:15:00Z">
        <w:r>
          <w:rPr>
            <w:lang w:eastAsia="el-GR"/>
          </w:rPr>
          <w:delText>s</w:delText>
        </w:r>
      </w:del>
      <w:ins w:id="27" w:author="BSI" w:date="2024-08-20T17:57:00Z">
        <w:r>
          <w:rPr>
            <w:lang w:eastAsia="el-GR"/>
          </w:rPr>
          <w:t xml:space="preserve"> a list of unique identifiers for a given Roaming Intermediary (RI). </w:t>
        </w:r>
      </w:ins>
      <w:del w:id="28" w:author="BSI" w:date="2024-08-20T17:58:00Z">
        <w:r>
          <w:rPr>
            <w:lang w:val="el-GR" w:eastAsia="el-GR"/>
          </w:rPr>
          <w:delText xml:space="preserve"> </w:delText>
        </w:r>
      </w:del>
      <w:r>
        <w:rPr>
          <w:lang w:val="el-GR" w:eastAsia="el-GR"/>
        </w:rPr>
        <w:t xml:space="preserve">Any given PLMN-ID </w:t>
      </w:r>
      <w:ins w:id="29" w:author="BSI" w:date="2024-08-20T18:01:00Z">
        <w:r>
          <w:rPr>
            <w:lang w:eastAsia="el-GR"/>
          </w:rPr>
          <w:t xml:space="preserve">and any given RI identifier </w:t>
        </w:r>
      </w:ins>
      <w:r>
        <w:rPr>
          <w:lang w:val="el-GR" w:eastAsia="el-GR"/>
        </w:rPr>
        <w:t>shall appear in at most one trust anchor</w:t>
      </w:r>
      <w:del w:id="30" w:author="BSI" w:date="2024-08-20T17:59:00Z">
        <w:r>
          <w:rPr>
            <w:lang w:val="el-GR" w:eastAsia="el-GR"/>
          </w:rPr>
          <w:delText xml:space="preserve">. </w:delText>
        </w:r>
      </w:del>
    </w:p>
    <w:p>
      <w:pPr>
        <w:pStyle w:val="Normal"/>
        <w:rPr>
          <w:lang w:eastAsia="el-GR"/>
          <w:ins w:id="52" w:author="BSI" w:date="2024-08-20T17:58:00Z"/>
        </w:rPr>
      </w:pPr>
      <w:ins w:id="32" w:author="BSI" w:date="2024-08-20T18:06:00Z">
        <w:r>
          <w:rPr>
            <w:lang w:eastAsia="el-GR"/>
          </w:rPr>
          <w:t>NOTE X:</w:t>
        </w:r>
      </w:ins>
      <w:ins w:id="33" w:author="BSI" w:date="2024-08-20T17:59:00Z">
        <w:r>
          <w:rPr>
            <w:lang w:val="el-GR" w:eastAsia="el-GR"/>
          </w:rPr>
          <w:t xml:space="preserve"> </w:t>
        </w:r>
      </w:ins>
      <w:ins w:id="34" w:author="BSI" w:date="2024-08-20T18:08:00Z">
        <w:r>
          <w:rPr>
            <w:lang w:eastAsia="el-GR"/>
          </w:rPr>
          <w:t xml:space="preserve">The </w:t>
        </w:r>
      </w:ins>
      <w:ins w:id="35" w:author="BSI" w:date="2024-08-20T18:08:00Z">
        <w:r>
          <w:rPr>
            <w:lang w:val="el-GR" w:eastAsia="el-GR"/>
          </w:rPr>
          <w:t>PLMN-I</w:t>
        </w:r>
      </w:ins>
      <w:ins w:id="36" w:author="BSI" w:date="2024-08-20T18:08:00Z">
        <w:r>
          <w:rPr>
            <w:lang w:eastAsia="el-GR"/>
          </w:rPr>
          <w:t>D</w:t>
        </w:r>
      </w:ins>
      <w:ins w:id="37" w:author="BSI" w:date="2024-08-20T18:08:00Z">
        <w:r>
          <w:rPr>
            <w:lang w:val="el-GR" w:eastAsia="el-GR"/>
          </w:rPr>
          <w:t xml:space="preserve">s </w:t>
        </w:r>
      </w:ins>
      <w:ins w:id="38" w:author="BSI" w:date="2024-08-20T18:08:00Z">
        <w:r>
          <w:rPr>
            <w:lang w:eastAsia="el-GR"/>
          </w:rPr>
          <w:t>in a given trust anchor for N32-c represent a particular PLMN</w:t>
        </w:r>
      </w:ins>
      <w:r>
        <w:rPr>
          <w:lang w:eastAsia="el-GR"/>
        </w:rPr>
        <w:commentReference w:id="1"/>
      </w:r>
      <w:r>
        <w:rPr>
          <w:lang w:eastAsia="el-GR"/>
        </w:rPr>
        <w:commentReference w:id="2"/>
      </w:r>
      <w:del w:id="39" w:author="Huawei" w:date="2024-11-07T17:16:00Z">
        <w:r>
          <w:rPr>
            <w:lang w:eastAsia="el-GR"/>
          </w:rPr>
          <w:delText xml:space="preserve">. </w:delText>
        </w:r>
      </w:del>
      <w:ins w:id="40" w:author="BSI" w:date="2024-08-20T18:08:00Z">
        <w:r>
          <w:rPr>
            <w:lang w:eastAsia="el-GR"/>
          </w:rPr>
          <w:t xml:space="preserve">The </w:t>
        </w:r>
      </w:ins>
      <w:ins w:id="41" w:author="BSI" w:date="2024-08-20T17:59:00Z">
        <w:r>
          <w:rPr>
            <w:lang w:val="el-GR" w:eastAsia="el-GR"/>
          </w:rPr>
          <w:t>PLMN-I</w:t>
        </w:r>
      </w:ins>
      <w:ins w:id="42" w:author="BSI" w:date="2024-08-20T18:06:00Z">
        <w:r>
          <w:rPr>
            <w:lang w:eastAsia="el-GR"/>
          </w:rPr>
          <w:t>D</w:t>
        </w:r>
      </w:ins>
      <w:ins w:id="43" w:author="BSI" w:date="2024-08-20T17:59:00Z">
        <w:r>
          <w:rPr>
            <w:lang w:val="el-GR" w:eastAsia="el-GR"/>
          </w:rPr>
          <w:t xml:space="preserve">s </w:t>
        </w:r>
      </w:ins>
      <w:ins w:id="44" w:author="BSI" w:date="2024-08-20T18:06:00Z">
        <w:r>
          <w:rPr>
            <w:lang w:eastAsia="el-GR"/>
          </w:rPr>
          <w:t xml:space="preserve">in </w:t>
        </w:r>
      </w:ins>
      <w:ins w:id="45" w:author="BSI" w:date="2024-08-20T18:09:00Z">
        <w:r>
          <w:rPr>
            <w:lang w:eastAsia="el-GR"/>
          </w:rPr>
          <w:t xml:space="preserve">a given </w:t>
        </w:r>
      </w:ins>
      <w:ins w:id="46" w:author="BSI" w:date="2024-08-20T18:07:00Z">
        <w:r>
          <w:rPr>
            <w:lang w:eastAsia="el-GR"/>
          </w:rPr>
          <w:t>trust anchor for N32-f</w:t>
        </w:r>
      </w:ins>
      <w:del w:id="47" w:author="Unknown Author" w:date="2024-11-11T20:20:00Z">
        <w:r>
          <w:rPr>
            <w:lang w:eastAsia="el-GR"/>
          </w:rPr>
          <w:delText>/</w:delText>
        </w:r>
      </w:del>
      <w:ins w:id="48" w:author="Unknown Author" w:date="2024-11-11T20:20:00Z">
        <w:r>
          <w:rPr>
            <w:lang w:eastAsia="el-GR"/>
          </w:rPr>
          <w:t xml:space="preserve"> when the selected security method is </w:t>
        </w:r>
      </w:ins>
      <w:ins w:id="49" w:author="BSI" w:date="2024-08-20T18:07:00Z">
        <w:r>
          <w:rPr>
            <w:lang w:eastAsia="el-GR"/>
          </w:rPr>
          <w:t xml:space="preserve">PRINS represent the PLMNs that are reachable via </w:t>
        </w:r>
      </w:ins>
      <w:ins w:id="50" w:author="BSI" w:date="2024-08-20T18:11:00Z">
        <w:r>
          <w:rPr>
            <w:lang w:eastAsia="el-GR"/>
          </w:rPr>
          <w:t xml:space="preserve">a particular </w:t>
        </w:r>
      </w:ins>
      <w:ins w:id="51" w:author="BSI" w:date="2024-08-20T18:07:00Z">
        <w:r>
          <w:rPr>
            <w:lang w:eastAsia="el-GR"/>
          </w:rPr>
          <w:t xml:space="preserve">RI. </w:t>
        </w:r>
      </w:ins>
    </w:p>
    <w:p>
      <w:pPr>
        <w:pStyle w:val="Normal"/>
        <w:rPr>
          <w:lang w:eastAsia="el-GR"/>
        </w:rPr>
      </w:pPr>
      <w:r>
        <w:rPr>
          <w:lang w:val="el-GR" w:eastAsia="el-GR"/>
        </w:rPr>
        <w:t xml:space="preserve">During N32-c connection setup, the SEPP shall map the PLMN-ID of the remote SEPP </w:t>
      </w:r>
      <w:del w:id="53" w:author="Unknown Author" w:date="2024-07-26T06:51:00Z">
        <w:r>
          <w:rPr>
            <w:lang w:val="el-GR" w:eastAsia="el-GR"/>
          </w:rPr>
          <w:delText xml:space="preserve">leaf (server or client) </w:delText>
        </w:r>
      </w:del>
      <w:ins w:id="54" w:author="Unknown Author" w:date="2024-07-26T06:51:00Z">
        <w:r>
          <w:rPr>
            <w:lang w:eastAsia="el-GR"/>
          </w:rPr>
          <w:t xml:space="preserve">end entity </w:t>
        </w:r>
      </w:ins>
      <w:r>
        <w:rPr>
          <w:lang w:val="el-GR" w:eastAsia="el-GR"/>
        </w:rPr>
        <w:t>certificate to the associated 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ins w:id="55" w:author="BSI" w:date="2024-08-20T18:04:00Z">
        <w:r>
          <w:rPr>
            <w:lang w:eastAsia="el-GR"/>
          </w:rPr>
          <w:t>.</w:t>
        </w:r>
      </w:ins>
    </w:p>
    <w:p>
      <w:pPr>
        <w:pStyle w:val="Normal"/>
        <w:rPr>
          <w:iCs/>
        </w:rPr>
      </w:pPr>
      <w:r>
        <w:rPr/>
        <w:t>Operator Group Roaming Hubs SEPPs are equivalent to a network operator SEPP when they are in the same security domain and are not considered Roaming Intermediaries as detailed in this clause. The communication between a group network operator's SBA network border element and the Operator Group Roaming Hub SEPP is out of scope of the present document.</w:t>
      </w:r>
    </w:p>
    <w:p>
      <w:pPr>
        <w:pStyle w:val="Normal"/>
        <w:rPr>
          <w:iCs/>
        </w:rPr>
      </w:pPr>
      <w:r>
        <w:rPr/>
        <w:t>If there are no Roaming Intermediaries between the SEPPs, TLS shall be used for N32-f connections between the SEPPs. Different TLS connections are used for N32-c and N32-f. If there are Roaming Intermediaries which only offer IP routing service between SEPPs, either TLS or PRINS (application layer security) shall be used for protection of N32-f connections between the SEPPs. PRINS is specified in clause 5.9.3 (requirements) and clause 13.2 (procedures).</w:t>
      </w:r>
    </w:p>
    <w:p>
      <w:pPr>
        <w:pStyle w:val="Normal"/>
        <w:tabs>
          <w:tab w:val="clear" w:pos="284"/>
          <w:tab w:val="left" w:pos="1006" w:leader="none"/>
        </w:tabs>
        <w:rPr>
          <w:rFonts w:eastAsia="Calibri"/>
          <w:ins w:id="56" w:author="BSI" w:date="2024-08-20T18:29:00Z"/>
        </w:rPr>
      </w:pPr>
      <w:r>
        <w:rPr/>
        <w:t xml:space="preserve">If TLS is selected, the SEPP shall correlate the N32-f TLS connection with the N32-c connection. </w:t>
      </w:r>
      <w:r>
        <w:rPr>
          <w:rFonts w:eastAsia="Calibri"/>
        </w:rPr>
        <w:t xml:space="preserve">If the peer network is a PLMN, the SEPP compares the PLMN-IDs contained in the SEPP TLS certificates used to establish the N32-c and N32-f connections. </w:t>
      </w:r>
      <w:r>
        <w:rPr>
          <w:lang w:val="el-GR" w:eastAsia="el-GR"/>
        </w:rPr>
        <w:t xml:space="preserve">Specifically, if the certificate used for N32-f contains one or more PLMN-IDs that are not contained in the TLS certificate used for the corresponding N32-c, the N32-f certificate shall be rejected. </w:t>
      </w:r>
      <w:r>
        <w:rPr>
          <w:rFonts w:eastAsia="Calibri"/>
        </w:rPr>
        <w:t>If the peer network is an SNPN, the SEPP compares the SNPN-ID contained in the SEPP TLS certificates used to establish the N32-c and N32-f connections.</w:t>
      </w:r>
    </w:p>
    <w:p>
      <w:pPr>
        <w:pStyle w:val="Normal"/>
        <w:tabs>
          <w:tab w:val="clear" w:pos="284"/>
          <w:tab w:val="left" w:pos="1006" w:leader="none"/>
        </w:tabs>
        <w:rPr>
          <w:iCs/>
          <w:ins w:id="78" w:author="Unknown Author" w:date="2024-11-12T21:07:47Z"/>
        </w:rPr>
      </w:pPr>
      <w:ins w:id="57" w:author="BSI" w:date="2024-08-20T18:31:00Z">
        <w:r>
          <w:rPr>
            <w:iCs/>
          </w:rPr>
          <w:t xml:space="preserve">If TLS is </w:t>
        </w:r>
      </w:ins>
      <w:ins w:id="58" w:author="Unknown Author" w:date="2024-11-11T18:17:00Z">
        <w:r>
          <w:rPr>
            <w:iCs/>
          </w:rPr>
          <w:t xml:space="preserve">the selected security method </w:t>
        </w:r>
      </w:ins>
      <w:r>
        <w:rPr>
          <w:iCs/>
        </w:rPr>
        <w:t xml:space="preserve">used </w:t>
      </w:r>
      <w:ins w:id="59" w:author="BSI" w:date="2024-08-20T18:31:00Z">
        <w:r>
          <w:rPr>
            <w:iCs/>
          </w:rPr>
          <w:t xml:space="preserve">for N32-f, the receiving SEPP shall </w:t>
        </w:r>
      </w:ins>
      <w:ins w:id="60" w:author="Unknown Author" w:date="2024-11-12T21:00:44Z">
        <w:r>
          <w:rPr>
            <w:iCs/>
          </w:rPr>
          <w:t>inspect incoming N32/-f me</w:t>
        </w:r>
      </w:ins>
      <w:ins w:id="61" w:author="Unknown Author" w:date="2024-11-12T21:01:00Z">
        <w:r>
          <w:rPr>
            <w:iCs/>
          </w:rPr>
          <w:t xml:space="preserve">ssage contents </w:t>
        </w:r>
      </w:ins>
      <w:ins w:id="62" w:author="Unknown Author" w:date="2024-11-12T21:06:54Z">
        <w:r>
          <w:rPr>
            <w:iCs/>
            <w:lang w:val="en-GB" w:eastAsia="en-US"/>
          </w:rPr>
          <w:t xml:space="preserve">for </w:t>
        </w:r>
      </w:ins>
      <w:del w:id="63" w:author="Unknown Author" w:date="2024-11-12T21:06:29Z">
        <w:r>
          <w:rPr>
            <w:iCs/>
            <w:lang w:val="en-GB" w:eastAsia="en-US"/>
          </w:rPr>
          <w:delText xml:space="preserve">verify that </w:delText>
        </w:r>
      </w:del>
      <w:ins w:id="64" w:author="Unknown Author" w:date="2024-11-12T21:06:29Z">
        <w:r>
          <w:rPr>
            <w:iCs/>
            <w:lang w:val="en-GB" w:eastAsia="en-US"/>
          </w:rPr>
          <w:t xml:space="preserve">for </w:t>
        </w:r>
      </w:ins>
      <w:ins w:id="65" w:author="Unknown Author" w:date="2024-11-12T21:05:34Z">
        <w:r>
          <w:rPr>
            <w:iCs/>
          </w:rPr>
          <w:t xml:space="preserve">parameter values that indicate </w:t>
        </w:r>
      </w:ins>
      <w:ins w:id="66" w:author="BSI" w:date="2024-08-20T18:31:00Z">
        <w:r>
          <w:rPr>
            <w:iCs/>
          </w:rPr>
          <w:t xml:space="preserve">the </w:t>
        </w:r>
      </w:ins>
      <w:ins w:id="67" w:author="Unknown Author" w:date="2024-11-12T21:05:51Z">
        <w:r>
          <w:rPr>
            <w:iCs/>
          </w:rPr>
          <w:t xml:space="preserve">sender </w:t>
        </w:r>
      </w:ins>
      <w:ins w:id="68" w:author="BSI" w:date="2024-08-20T18:31:00Z">
        <w:r>
          <w:rPr>
            <w:iCs/>
          </w:rPr>
          <w:t>PLMN-ID</w:t>
        </w:r>
      </w:ins>
      <w:ins w:id="69" w:author="Unknown Author" w:date="2024-11-12T21:06:05Z">
        <w:r>
          <w:rPr>
            <w:iCs/>
          </w:rPr>
          <w:t xml:space="preserve"> </w:t>
        </w:r>
      </w:ins>
      <w:ins w:id="70" w:author="Unknown Author" w:date="2024-11-12T21:06:05Z">
        <w:r>
          <w:rPr>
            <w:iCs/>
          </w:rPr>
          <w:t xml:space="preserve">and verify that </w:t>
        </w:r>
      </w:ins>
      <w:del w:id="71" w:author="Unknown Author" w:date="2024-11-12T21:07:04Z">
        <w:r>
          <w:rPr>
            <w:iCs/>
          </w:rPr>
          <w:delText xml:space="preserve"> </w:delText>
        </w:r>
      </w:del>
      <w:del w:id="72" w:author="Unknown Author" w:date="2024-11-12T21:06:10Z">
        <w:r>
          <w:rPr>
            <w:iCs/>
          </w:rPr>
          <w:delText xml:space="preserve">contained in any incoming N32-f message </w:delText>
        </w:r>
      </w:del>
      <w:ins w:id="73" w:author="Unknown Author" w:date="2024-11-12T21:07:08Z">
        <w:r>
          <w:rPr>
            <w:iCs/>
          </w:rPr>
          <w:t xml:space="preserve">they </w:t>
        </w:r>
      </w:ins>
      <w:ins w:id="74" w:author="BSI" w:date="2024-08-20T18:31:00Z">
        <w:r>
          <w:rPr>
            <w:iCs/>
          </w:rPr>
          <w:t>match</w:t>
        </w:r>
      </w:ins>
      <w:del w:id="75" w:author="Unknown Author" w:date="2024-11-12T21:07:15Z">
        <w:r>
          <w:rPr>
            <w:iCs/>
          </w:rPr>
          <w:delText>es</w:delText>
        </w:r>
      </w:del>
      <w:ins w:id="76" w:author="BSI" w:date="2024-08-20T18:31:00Z">
        <w:r>
          <w:rPr>
            <w:iCs/>
          </w:rPr>
          <w:t xml:space="preserve"> one of the PLMN-IDs in the trust anchor selected during the setup of the correlated N32-c connection. In case of a mismatch the SEPP should log the event.</w:t>
        </w:r>
      </w:ins>
      <w:ins w:id="77" w:author="BSI" w:date="2024-08-20T18:29:00Z">
        <w:r>
          <w:rPr>
            <w:iCs/>
          </w:rPr>
          <w:t xml:space="preserve"> </w:t>
        </w:r>
      </w:ins>
    </w:p>
    <w:p>
      <w:pPr>
        <w:pStyle w:val="Normal"/>
        <w:rPr/>
      </w:pPr>
      <w:ins w:id="79" w:author="Unknown Author" w:date="2024-11-12T21:07:47Z">
        <w:r>
          <w:rPr/>
          <w:t xml:space="preserve">NOTE X:  The above mismatch logging can be seen as an anomaly detection mechanism. </w:t>
        </w:r>
      </w:ins>
    </w:p>
    <w:p>
      <w:pPr>
        <w:pStyle w:val="Normal"/>
        <w:tabs>
          <w:tab w:val="clear" w:pos="284"/>
          <w:tab w:val="left" w:pos="1006" w:leader="none"/>
        </w:tabs>
        <w:rPr>
          <w:iCs/>
          <w:del w:id="83" w:author="Huawei - r3" w:date="2024-11-12T11:14:00Z"/>
        </w:rPr>
      </w:pPr>
      <w:del w:id="81" w:author="Unknown Author" w:date="2024-11-12T21:05:10Z">
        <w:r>
          <w:rPr>
            <w:iCs/>
          </w:rPr>
          <w:commentReference w:id="3"/>
        </w:r>
      </w:del>
      <w:del w:id="82" w:author="Unknown Author" w:date="2024-11-12T21:05:10Z">
        <w:r>
          <w:rPr>
            <w:iCs/>
          </w:rPr>
          <w:commentReference w:id="4"/>
        </w:r>
      </w:del>
    </w:p>
    <w:p>
      <w:pPr>
        <w:pStyle w:val="Normal"/>
        <w:tabs>
          <w:tab w:val="clear" w:pos="284"/>
          <w:tab w:val="left" w:pos="1006" w:leader="none"/>
        </w:tabs>
        <w:rPr>
          <w:iCs/>
        </w:rPr>
      </w:pPr>
      <w:r>
        <w:rPr/>
        <w:t xml:space="preserve">If there are Roaming Intermediaries which, in addition to IP routing, offer other services that require modification or observation of the information and/or additions to the information sent between the SEPPs, PRINS shall be used for protection of N32-f connections between the SEPPs. </w:t>
      </w:r>
    </w:p>
    <w:p>
      <w:pPr>
        <w:pStyle w:val="NO"/>
        <w:rPr>
          <w:iCs/>
        </w:rPr>
      </w:pPr>
      <w:r>
        <w:rPr/>
        <w:t>NOTE 1a:</w:t>
        <w:tab/>
        <w:t>The procedure specified in clause 13.5 for security mechanism selection between SEPPs allows SEPPs to negotiate which security mechanism to use for protecting NF service-related signalling over N32, and provides robustness and future-proofness, e.g. in case new algorithms are introduced in the future.</w:t>
      </w:r>
    </w:p>
    <w:p>
      <w:pPr>
        <w:pStyle w:val="Normal"/>
        <w:rPr>
          <w:iCs/>
        </w:rPr>
      </w:pPr>
      <w:r>
        <w:rPr/>
        <w:t xml:space="preserve">If PRINS is </w:t>
      </w:r>
      <w:del w:id="84" w:author="Unknown Author" w:date="2024-11-11T18:18:00Z">
        <w:r>
          <w:rPr/>
          <w:delText>used</w:delText>
        </w:r>
      </w:del>
      <w:ins w:id="85" w:author="Unknown Author" w:date="2024-11-11T18:18:00Z">
        <w:r>
          <w:rPr/>
          <w:t>the selected security method</w:t>
        </w:r>
      </w:ins>
      <w:r>
        <w:rPr/>
        <w:t xml:space="preserve"> </w:t>
      </w:r>
      <w:del w:id="86" w:author="Unknown Author" w:date="2024-11-11T18:18:00Z">
        <w:r>
          <w:rPr/>
          <w:delText xml:space="preserve">on the </w:delText>
        </w:r>
      </w:del>
      <w:ins w:id="87" w:author="Unknown Author" w:date="2024-11-11T18:18:00Z">
        <w:r>
          <w:rPr/>
          <w:t xml:space="preserve">for </w:t>
        </w:r>
      </w:ins>
      <w:r>
        <w:rPr/>
        <w:t xml:space="preserve">N32-f interface, one of the following additional transport protection methods </w:t>
      </w:r>
      <w:del w:id="88" w:author="Unknown Author" w:date="2024-07-25T16:18:00Z">
        <w:r>
          <w:rPr/>
          <w:delText>should</w:delText>
        </w:r>
      </w:del>
      <w:ins w:id="89" w:author="Unknown Author" w:date="2024-07-25T16:18:00Z">
        <w:r>
          <w:rPr/>
          <w:t>shall</w:t>
        </w:r>
      </w:ins>
      <w:r>
        <w:rPr/>
        <w:t xml:space="preserve"> be applied between SEPP and Roaming Intermediary </w:t>
      </w:r>
      <w:del w:id="90" w:author="Unknown Author" w:date="2024-07-25T16:19:00Z">
        <w:r>
          <w:rPr/>
          <w:delText xml:space="preserve">or between two Roaming Intermediaries </w:delText>
        </w:r>
      </w:del>
      <w:r>
        <w:rPr/>
        <w:t xml:space="preserve">for confidentiality and integrity protection: </w:t>
      </w:r>
    </w:p>
    <w:p>
      <w:pPr>
        <w:pStyle w:val="B1"/>
        <w:rPr>
          <w:iCs/>
        </w:rPr>
      </w:pPr>
      <w:r>
        <w:rPr/>
        <w:t>-</w:t>
        <w:tab/>
        <w:t xml:space="preserve">NDS/IP as specified in </w:t>
      </w:r>
      <w:r>
        <w:rPr>
          <w:lang w:val="el-GR"/>
        </w:rPr>
        <w:t>TS 33.210 [3] and TS 33.310 [5]</w:t>
      </w:r>
      <w:r>
        <w:rPr>
          <w:lang w:val="en-US"/>
        </w:rPr>
        <w:t>, or</w:t>
      </w:r>
    </w:p>
    <w:p>
      <w:pPr>
        <w:pStyle w:val="B1"/>
        <w:rPr>
          <w:iCs/>
          <w:ins w:id="91" w:author="Unknown Author" w:date="2024-07-25T17:08:00Z"/>
        </w:rPr>
      </w:pPr>
      <w:r>
        <w:rPr>
          <w:lang w:val="en-US"/>
        </w:rPr>
        <w:t>-</w:t>
        <w:tab/>
        <w:t xml:space="preserve">TLS VPN with mutual authentication following the profile given in clause 6.2 of TS 33.210 [3] and clause </w:t>
      </w:r>
      <w:r>
        <w:rPr/>
        <w:t>clause 6.1.3a of TS 33.310 [5]</w:t>
      </w:r>
      <w:r>
        <w:rPr>
          <w:lang w:eastAsia="zh-CN"/>
        </w:rPr>
        <w:t>. The identities in the end entity certificates shall be used for authentication and policy checks</w:t>
      </w:r>
      <w:r>
        <w:rPr>
          <w:lang w:val="en-US"/>
        </w:rPr>
        <w:t>, with the</w:t>
      </w:r>
      <w:r>
        <w:rPr/>
        <w:t xml:space="preserve"> restriction that it shall be compliant with the profile given by HTTP/2 as defined in RFC 9113 [47].</w:t>
      </w:r>
    </w:p>
    <w:p>
      <w:pPr>
        <w:pStyle w:val="Normal"/>
        <w:rPr/>
      </w:pPr>
      <w:ins w:id="92" w:author="rev" w:date="2024-08-09T12:49:00Z">
        <w:r>
          <w:rPr>
            <w:lang w:val="el-GR"/>
          </w:rPr>
          <w:t xml:space="preserve">During </w:t>
        </w:r>
      </w:ins>
      <w:ins w:id="93" w:author="BSI" w:date="2024-08-09T13:55:00Z">
        <w:r>
          <w:rPr/>
          <w:t xml:space="preserve">NDS/IP or TLS VPN </w:t>
        </w:r>
      </w:ins>
      <w:ins w:id="94" w:author="rev" w:date="2024-08-09T12:49:00Z">
        <w:r>
          <w:rPr>
            <w:lang w:val="el-GR"/>
          </w:rPr>
          <w:t xml:space="preserve">connection setup, the SEPP </w:t>
        </w:r>
      </w:ins>
      <w:ins w:id="95" w:author="Huawei - r2" w:date="2024-11-11T15:48:00Z">
        <w:r>
          <w:rPr>
            <w:lang w:val="el-GR"/>
          </w:rPr>
          <w:t>should</w:t>
        </w:r>
      </w:ins>
      <w:del w:id="96" w:author="Huawei - r2" w:date="2024-11-11T15:21:00Z">
        <w:r>
          <w:rPr>
            <w:lang w:val="el-GR"/>
          </w:rPr>
          <w:delText>shall</w:delText>
        </w:r>
      </w:del>
      <w:ins w:id="97" w:author="Unknown Author" w:date="2024-11-11T18:19:00Z">
        <w:r>
          <w:rPr>
            <w:lang w:val="el-GR"/>
          </w:rPr>
          <w:t xml:space="preserve"> </w:t>
        </w:r>
      </w:ins>
      <w:ins w:id="98" w:author="rev" w:date="2024-08-09T12:49:00Z">
        <w:r>
          <w:rPr>
            <w:lang w:val="el-GR"/>
          </w:rPr>
          <w:t xml:space="preserve">map the </w:t>
        </w:r>
      </w:ins>
      <w:ins w:id="99" w:author="rev" w:date="2024-08-09T12:49:00Z">
        <w:r>
          <w:rPr/>
          <w:t>RI identifier as extracted from its end entity</w:t>
        </w:r>
      </w:ins>
      <w:ins w:id="100" w:author="Huawei" w:date="2024-11-07T14:29:00Z">
        <w:r>
          <w:rPr/>
          <w:t xml:space="preserve"> (i.e., RI)</w:t>
        </w:r>
      </w:ins>
      <w:ins w:id="101" w:author="rev" w:date="2024-08-09T12:49:00Z">
        <w:r>
          <w:rPr/>
          <w:t xml:space="preserve"> certificate </w:t>
        </w:r>
      </w:ins>
      <w:ins w:id="102" w:author="rev" w:date="2024-08-09T12:49:00Z">
        <w:r>
          <w:rPr>
            <w:lang w:val="el-GR"/>
          </w:rPr>
          <w:t xml:space="preserve">to the associated </w:t>
        </w:r>
      </w:ins>
      <w:ins w:id="103" w:author="Huawei" w:date="2024-11-07T17:07:00Z">
        <w:r>
          <w:rPr>
            <w:lang w:val="el-GR"/>
          </w:rPr>
          <w:t>N32-f</w:t>
        </w:r>
      </w:ins>
      <w:ins w:id="104" w:author="Huawei" w:date="2024-11-07T17:23:00Z">
        <w:r>
          <w:rPr>
            <w:lang w:val="el-GR"/>
          </w:rPr>
          <w:t>/</w:t>
        </w:r>
      </w:ins>
      <w:ins w:id="105" w:author="Huawei" w:date="2024-11-07T17:24:00Z">
        <w:r>
          <w:rPr>
            <w:lang w:val="el-GR"/>
          </w:rPr>
          <w:t>PRINS</w:t>
        </w:r>
      </w:ins>
      <w:ins w:id="106" w:author="Huawei" w:date="2024-11-07T17:07:00Z">
        <w:r>
          <w:rPr>
            <w:lang w:val="el-GR"/>
          </w:rPr>
          <w:t xml:space="preserve"> </w:t>
        </w:r>
      </w:ins>
      <w:ins w:id="107" w:author="rev" w:date="2024-08-09T12:49:00Z">
        <w:r>
          <w:rPr>
            <w:lang w:val="el-GR"/>
          </w:rPr>
          <w:t xml:space="preserve">trust anchor for the purposes of certificate chain verification. Only the root certificates in the associated list </w:t>
        </w:r>
      </w:ins>
      <w:ins w:id="108" w:author="Unknown Author" w:date="2024-11-11T20:21:00Z">
        <w:r>
          <w:rPr>
            <w:lang w:val="el-GR"/>
          </w:rPr>
          <w:t>may</w:t>
        </w:r>
      </w:ins>
      <w:ins w:id="109" w:author="Unknown Author" w:date="2024-11-11T18:26:00Z">
        <w:r>
          <w:rPr>
            <w:lang w:val="el-GR"/>
          </w:rPr>
          <w:t xml:space="preserve"> be </w:t>
        </w:r>
      </w:ins>
      <w:ins w:id="110" w:author="rev" w:date="2024-08-09T12:49:00Z">
        <w:r>
          <w:rPr>
            <w:lang w:val="el-GR"/>
          </w:rPr>
          <w:t>treated as trusted during certificate chain verification. If the</w:t>
        </w:r>
      </w:ins>
      <w:del w:id="111" w:author="Huawei" w:date="2024-11-07T14:30:00Z">
        <w:r>
          <w:rPr>
            <w:lang w:val="el-GR"/>
          </w:rPr>
          <w:delText xml:space="preserve"> remote</w:delText>
        </w:r>
      </w:del>
      <w:ins w:id="112" w:author="rev" w:date="2024-08-09T12:49:00Z">
        <w:r>
          <w:rPr>
            <w:lang w:val="el-GR"/>
          </w:rPr>
          <w:t xml:space="preserve"> </w:t>
        </w:r>
      </w:ins>
      <w:ins w:id="113" w:author="rev" w:date="2024-08-09T12:49:00Z">
        <w:r>
          <w:rPr/>
          <w:t xml:space="preserve">end entity </w:t>
        </w:r>
      </w:ins>
      <w:ins w:id="114" w:author="rev" w:date="2024-08-09T12:49:00Z">
        <w:r>
          <w:rPr>
            <w:lang w:val="el-GR"/>
          </w:rPr>
          <w:t xml:space="preserve">certificate contains multiple </w:t>
        </w:r>
      </w:ins>
      <w:ins w:id="115" w:author="rev" w:date="2024-08-09T12:49:00Z">
        <w:r>
          <w:rPr/>
          <w:t xml:space="preserve">RI identifiers </w:t>
        </w:r>
      </w:ins>
      <w:ins w:id="116" w:author="rev" w:date="2024-08-09T12:49:00Z">
        <w:r>
          <w:rPr>
            <w:lang w:val="el-GR"/>
          </w:rPr>
          <w:t xml:space="preserve">that are mapped to different trust anchors, then that certificate </w:t>
        </w:r>
      </w:ins>
      <w:ins w:id="117" w:author="Huawei - r2" w:date="2024-11-11T15:21:00Z">
        <w:r>
          <w:rPr>
            <w:lang w:val="el-GR"/>
          </w:rPr>
          <w:t>should</w:t>
        </w:r>
      </w:ins>
      <w:del w:id="118" w:author="Huawei - r2" w:date="2024-11-11T15:21:00Z">
        <w:r>
          <w:rPr>
            <w:lang w:val="el-GR"/>
          </w:rPr>
          <w:delText>shall</w:delText>
        </w:r>
      </w:del>
      <w:ins w:id="119" w:author="rev" w:date="2024-08-09T12:49:00Z">
        <w:r>
          <w:rPr>
            <w:lang w:val="el-GR"/>
          </w:rPr>
          <w:t xml:space="preserve"> be rejected.</w:t>
        </w:r>
      </w:ins>
      <w:ins w:id="120" w:author="Huawei" w:date="2024-11-07T16:52:00Z">
        <w:r>
          <w:rPr/>
          <w:t xml:space="preserve"> </w:t>
        </w:r>
      </w:ins>
    </w:p>
    <w:p>
      <w:pPr>
        <w:pStyle w:val="Normal"/>
        <w:rPr>
          <w:del w:id="133" w:author="Huawei - r3" w:date="2024-11-12T11:14:00Z"/>
        </w:rPr>
      </w:pPr>
      <w:del w:id="121" w:author="Huawei - r3" w:date="2024-11-12T11:14:00Z">
        <w:r>
          <w:rPr/>
          <w:delText xml:space="preserve">The SEPP shall support </w:delText>
        </w:r>
      </w:del>
      <w:del w:id="122" w:author="Huawei - r3" w:date="2024-11-12T11:14:00Z">
        <w:r>
          <w:rPr>
            <w:lang w:val="en-US"/>
          </w:rPr>
          <w:delText>offer</w:delText>
        </w:r>
      </w:del>
      <w:del w:id="123" w:author="Huawei - r3" w:date="2024-11-12T11:14:00Z">
        <w:r>
          <w:rPr/>
          <w:delText>ing</w:delText>
        </w:r>
      </w:del>
      <w:del w:id="124" w:author="Huawei - r3" w:date="2024-11-12T11:14:00Z">
        <w:r>
          <w:rPr>
            <w:lang w:val="en-US"/>
          </w:rPr>
          <w:delText xml:space="preserve"> </w:delText>
        </w:r>
      </w:del>
      <w:del w:id="125" w:author="Huawei - r3" w:date="2024-11-12T11:14:00Z">
        <w:r>
          <w:rPr/>
          <w:delText>N32-f/</w:delText>
        </w:r>
      </w:del>
      <w:del w:id="126" w:author="Huawei - r3" w:date="2024-11-12T11:14:00Z">
        <w:r>
          <w:rPr>
            <w:lang w:val="en-US"/>
          </w:rPr>
          <w:delText xml:space="preserve">PRINS at </w:delText>
        </w:r>
      </w:del>
      <w:del w:id="127" w:author="Huawei - r3" w:date="2024-11-12T11:14:00Z">
        <w:r>
          <w:rPr/>
          <w:delText>an FQDN</w:delText>
        </w:r>
      </w:del>
      <w:del w:id="128" w:author="Huawei - r3" w:date="2024-11-12T11:14:00Z">
        <w:r>
          <w:rPr>
            <w:lang w:val="en-US"/>
          </w:rPr>
          <w:delText>/</w:delText>
        </w:r>
      </w:del>
      <w:del w:id="129" w:author="Huawei - r3" w:date="2024-11-12T11:14:00Z">
        <w:r>
          <w:rPr/>
          <w:delText>port combination</w:delText>
        </w:r>
      </w:del>
      <w:del w:id="130" w:author="Huawei - r3" w:date="2024-11-12T11:14:00Z">
        <w:r>
          <w:rPr>
            <w:lang w:val="en-US"/>
          </w:rPr>
          <w:delText xml:space="preserve"> </w:delText>
        </w:r>
      </w:del>
      <w:del w:id="131" w:author="Huawei - r3" w:date="2024-11-12T11:14:00Z">
        <w:r>
          <w:rPr/>
          <w:delText>that differs from the combination where it offers N32-c in order to enable PLMN-ID based trust anchoring for N32-c while enabling RI-identifier-based trust anchoring for N32-f/PRINS.</w:delText>
        </w:r>
      </w:del>
      <w:del w:id="132" w:author="Huawei - r3" w:date="2024-11-12T11:14:00Z">
        <w:r>
          <w:rPr/>
          <w:delText xml:space="preserve"> </w:delText>
        </w:r>
      </w:del>
      <w:commentRangeStart w:id="6"/>
      <w:r>
        <w:rPr/>
        <w:commentReference w:id="5"/>
      </w:r>
      <w:r>
        <w:rPr/>
        <w:commentReference w:id="7"/>
      </w:r>
      <w:commentRangeEnd w:id="6"/>
      <w:r>
        <w:commentReference w:id="6"/>
      </w:r>
      <w:r>
        <w:rPr/>
      </w:r>
    </w:p>
    <w:p>
      <w:pPr>
        <w:pStyle w:val="Normal"/>
        <w:rPr/>
      </w:pPr>
      <w:commentRangeStart w:id="8"/>
      <w:r>
        <w:rPr/>
        <w:t>NOTE</w:t>
      </w:r>
      <w:r>
        <w:rPr/>
      </w:r>
      <w:commentRangeEnd w:id="8"/>
      <w:r>
        <w:commentReference w:id="8"/>
      </w:r>
      <w:r>
        <w:rPr/>
        <w:t xml:space="preserve"> 1:</w:t>
        <w:tab/>
      </w:r>
      <w:del w:id="134" w:author="Huawei" w:date="2024-11-07T16:54:00Z">
        <w:r>
          <w:rPr/>
          <w:delText>Void</w:delText>
        </w:r>
      </w:del>
      <w:del w:id="135" w:author="Unknown Author" w:date="2024-11-11T18:21:00Z">
        <w:r>
          <w:rPr/>
          <w:delText>The verification of the SEPP can only address the problem when the RI changes abnormally. It will also cause false alarms when the remote PLMN changes the RI normally.</w:delText>
        </w:r>
      </w:del>
      <w:ins w:id="136" w:author="Unknown Author" w:date="2024-11-11T20:28:00Z">
        <w:r>
          <w:rPr/>
          <w:t xml:space="preserve"> Void.</w:t>
        </w:r>
      </w:ins>
    </w:p>
    <w:p>
      <w:pPr>
        <w:pStyle w:val="NO"/>
        <w:rPr>
          <w:del w:id="137" w:author="BSI" w:date="2024-08-09T14:32:00Z"/>
        </w:rPr>
      </w:pPr>
      <w:r>
        <w:rPr/>
        <w:t>NOTE 2:</w:t>
        <w:tab/>
        <w:t>Void.</w:t>
      </w:r>
    </w:p>
    <w:p>
      <w:pPr>
        <w:pStyle w:val="NO"/>
        <w:rPr/>
      </w:pPr>
      <w:ins w:id="138" w:author="BSI" w:date="2024-08-09T14:32:00Z">
        <w:r>
          <w:rPr/>
          <w:t xml:space="preserve">NOTE 3: </w:t>
        </w:r>
      </w:ins>
      <w:ins w:id="139" w:author="BSI" w:date="2024-08-21T12:26:00Z">
        <w:r>
          <w:rPr/>
          <w:t xml:space="preserve">Whether or not a given </w:t>
        </w:r>
      </w:ins>
      <w:ins w:id="140" w:author="BSI" w:date="2024-08-09T14:32:00Z">
        <w:r>
          <w:rPr>
            <w:iCs/>
          </w:rPr>
          <w:t>RI identifier include</w:t>
        </w:r>
      </w:ins>
      <w:ins w:id="141" w:author="BSI" w:date="2024-08-21T12:26:00Z">
        <w:r>
          <w:rPr>
            <w:iCs/>
          </w:rPr>
          <w:t>s</w:t>
        </w:r>
      </w:ins>
      <w:ins w:id="142" w:author="BSI" w:date="2024-08-09T14:32:00Z">
        <w:r>
          <w:rPr>
            <w:iCs/>
          </w:rPr>
          <w:t xml:space="preserve"> the PLMN-IDs that correspond to the roaming partners that are reachable via that RI</w:t>
        </w:r>
      </w:ins>
      <w:ins w:id="143" w:author="BSI" w:date="2024-08-21T12:26:00Z">
        <w:r>
          <w:rPr>
            <w:iCs/>
          </w:rPr>
          <w:t>, is not specified in 3GPP.</w:t>
        </w:r>
      </w:ins>
      <w:r>
        <w:br w:type="page"/>
      </w:r>
    </w:p>
    <w:p>
      <w:pPr>
        <w:pStyle w:val="Normal"/>
        <w:rPr>
          <w:color w:val="C9211E"/>
          <w:sz w:val="28"/>
          <w:szCs w:val="28"/>
        </w:rPr>
      </w:pPr>
      <w:r>
        <w:rPr>
          <w:color w:val="C9211E"/>
          <w:sz w:val="28"/>
          <w:szCs w:val="28"/>
          <w:lang w:val="en-US"/>
        </w:rPr>
        <w:t>*********************** NEXT CHANGE ***********************</w:t>
      </w:r>
    </w:p>
    <w:p>
      <w:pPr>
        <w:pStyle w:val="Heading4"/>
        <w:rPr/>
      </w:pPr>
      <w:bookmarkStart w:id="2" w:name="__RefHeading___Toc170465771"/>
      <w:bookmarkEnd w:id="2"/>
      <w:r>
        <w:rPr/>
        <w:t>13.2.4.7</w:t>
        <w:tab/>
        <w:t>Message verification by the receiving SEPP</w:t>
      </w:r>
    </w:p>
    <w:p>
      <w:pPr>
        <w:pStyle w:val="Normal"/>
        <w:rPr/>
      </w:pPr>
      <w:r>
        <w:rPr/>
        <w:t xml:space="preserve">The receiving SEPP determines that the received message is an error message generated by the Roaming Hub as Roaming Intermediary based on the reformattedData IE. </w:t>
      </w:r>
    </w:p>
    <w:p>
      <w:pPr>
        <w:pStyle w:val="Normal"/>
        <w:rPr/>
      </w:pPr>
      <w:r>
        <w:rPr/>
        <w:t>If the received messages is not generated by a Roaming Hub :</w:t>
      </w:r>
    </w:p>
    <w:p>
      <w:pPr>
        <w:pStyle w:val="B1"/>
        <w:rPr/>
      </w:pPr>
      <w:r>
        <w:rPr/>
        <w:t>-</w:t>
        <w:tab/>
        <w:t>The receiving SEPP shall decrypt the JWE ciphertext using the shared session key and the following parameters obtained from the JWE object – Initialization Vector, Additional Authenticated Data value (clearTextEncapsulatedMessage in "aad") and JWE Authentication Tag ("tag").</w:t>
      </w:r>
    </w:p>
    <w:p>
      <w:pPr>
        <w:pStyle w:val="B1"/>
        <w:rPr/>
      </w:pPr>
      <w:r>
        <w:rPr/>
        <w:t>-</w:t>
        <w:tab/>
        <w:t>The receiving SEPP shall check the integrity and authenticity of the clearTextEncapsulatedMessage and the encrypted text by verifying the JWE Authentication Tag in the JWE object with the JWE AAD algorithm. The algorithm returns the decrypted plaintext (dataToIntegrityProtectAndCipher) only if the JWE Authentication Tag is correct.</w:t>
      </w:r>
    </w:p>
    <w:p>
      <w:pPr>
        <w:pStyle w:val="B1"/>
        <w:rPr/>
      </w:pPr>
      <w:r>
        <w:rPr/>
        <w:t>-</w:t>
        <w:tab/>
        <w:t>The receiving SEPP refers to the NF API in clearTextEncapsulatedMessage with values in the dataToIntegrityProtectAndCipher array.</w:t>
      </w:r>
    </w:p>
    <w:p>
      <w:pPr>
        <w:pStyle w:val="B1"/>
        <w:rPr/>
      </w:pPr>
      <w:r>
        <w:rPr/>
        <w:t>-</w:t>
        <w:tab/>
        <w:t xml:space="preserve">The receiving SEPP shall next verify RI provider updates, if included, by verifying the JWS signatures added by the Roaming Intermediaries. The SEPP shall verify the JWS signature, using the corresponding raw public key or certificate that is contained in the Roaming Intermediary’s security information list obtained during parameter exchange in the related N32-c connection setup or, alternatively, has been configured for the particular peer SEPP. </w:t>
      </w:r>
    </w:p>
    <w:p>
      <w:pPr>
        <w:pStyle w:val="B1"/>
        <w:rPr/>
      </w:pPr>
      <w:r>
        <w:rPr/>
        <w:t>-</w:t>
        <w:tab/>
        <w:t xml:space="preserve">The receiving SEPP shall then check that the raw public key or certificate of the JWS signature RI's Identity in the modifiedDataToIntegrity block matches to the RI provider referred to in the "authorizedIPX ID" field added by the sending SEPP, based on the information given in the RI provider security information list. </w:t>
      </w:r>
    </w:p>
    <w:p>
      <w:pPr>
        <w:pStyle w:val="B1"/>
        <w:rPr/>
      </w:pPr>
      <w:r>
        <w:rPr/>
        <w:t>-</w:t>
        <w:tab/>
        <w:t xml:space="preserve">The receiving SEPP shall check whether the modifications performed by the Roaming Intermediaries, i.e. cRI and pRI, were permitted by the respective modification policies. </w:t>
      </w:r>
      <w:r>
        <w:rPr>
          <w:lang w:eastAsia="zh-CN"/>
        </w:rPr>
        <w:t>T</w:t>
      </w:r>
      <w:r>
        <w:rPr/>
        <w:t>he receiving SEPP shall use the modification policy of the cRI obtained during parameter exchange in the related N32-c connection setup, and use the modification policy of pRI configured within the receiving SEPP.</w:t>
      </w:r>
    </w:p>
    <w:p>
      <w:pPr>
        <w:pStyle w:val="B1"/>
        <w:rPr/>
      </w:pPr>
      <w:r>
        <w:rPr/>
        <w:t>-</w:t>
        <w:tab/>
        <w:t>If this is the case, the receiving SEPP shall apply the patches in the Operations field in order, perform plausibility checks, and create a new HTTP request according to the "patched" clearTextEncapsulatedMessage.</w:t>
      </w:r>
    </w:p>
    <w:p>
      <w:pPr>
        <w:pStyle w:val="B1"/>
        <w:rPr/>
      </w:pPr>
      <w:r>
        <w:rPr/>
        <w:t>-</w:t>
        <w:tab/>
        <w:t xml:space="preserve">The receiving SEPP shall verify that the PLMN-ID contained in the incoming N32-f message matches the PLMN-ID in the related N32-f context. </w:t>
      </w:r>
      <w:ins w:id="144" w:author="Huawei - r3" w:date="2024-11-12T11:21:00Z">
        <w:r>
          <w:rPr/>
          <w:t xml:space="preserve">The receiving SEPP may also verify </w:t>
        </w:r>
      </w:ins>
      <w:ins w:id="145" w:author="Huawei - r3" w:date="2024-11-12T11:22:00Z">
        <w:r>
          <w:rPr/>
          <w:t xml:space="preserve">that the PLMN-ID contained in the incoming N32-f message matches the </w:t>
        </w:r>
      </w:ins>
      <w:ins w:id="146" w:author="Huawei - r3" w:date="2024-11-12T11:23:00Z">
        <w:r>
          <w:rPr/>
          <w:t>RI identifier in the</w:t>
        </w:r>
      </w:ins>
      <w:ins w:id="147" w:author="Huawei - r3" w:date="2024-11-12T11:22:00Z">
        <w:r>
          <w:rPr/>
          <w:t xml:space="preserve"> TLS VPN</w:t>
        </w:r>
      </w:ins>
      <w:ins w:id="148" w:author="Huawei - r3" w:date="2024-11-12T11:23:00Z">
        <w:r>
          <w:rPr/>
          <w:t>.</w:t>
        </w:r>
      </w:ins>
      <w:ins w:id="149" w:author="Huawei - r3" w:date="2024-11-12T11:21:00Z">
        <w:r>
          <w:rPr/>
          <w:t xml:space="preserve"> </w:t>
        </w:r>
      </w:ins>
      <w:ins w:id="150" w:author="Unknown Author" w:date="2024-08-08T13:38:00Z">
        <w:r>
          <w:rPr>
            <w:lang w:eastAsia="el-GR"/>
          </w:rPr>
          <w:t>In case of a mismatch the SEPP should log the event.</w:t>
        </w:r>
      </w:ins>
    </w:p>
    <w:p>
      <w:pPr>
        <w:pStyle w:val="Normal"/>
        <w:rPr>
          <w:del w:id="164" w:author="Unknown Author" w:date="2024-11-12T14:59:00Z"/>
        </w:rPr>
      </w:pPr>
      <w:ins w:id="151" w:author="Huawei - r2" w:date="2024-11-11T15:22:00Z">
        <w:r>
          <w:rPr/>
          <w:t>NOTE</w:t>
        </w:r>
      </w:ins>
      <w:ins w:id="152" w:author="Huawei - r2" w:date="2024-11-11T15:23:00Z">
        <w:r>
          <w:rPr/>
          <w:t xml:space="preserve"> X</w:t>
        </w:r>
      </w:ins>
      <w:del w:id="153" w:author="Unknown Author" w:date="2024-11-12T15:04:00Z">
        <w:r>
          <w:rPr/>
          <w:delText>1</w:delText>
        </w:r>
      </w:del>
      <w:ins w:id="154" w:author="Huawei - r2" w:date="2024-11-11T15:22:00Z">
        <w:r>
          <w:rPr/>
          <w:t xml:space="preserve">: </w:t>
        </w:r>
      </w:ins>
      <w:ins w:id="155" w:author="Unknown Author" w:date="2024-11-12T14:49:00Z">
        <w:r>
          <w:rPr/>
          <w:t xml:space="preserve"> The </w:t>
        </w:r>
      </w:ins>
      <w:ins w:id="156" w:author="Unknown Author" w:date="2024-11-12T15:01:00Z">
        <w:r>
          <w:rPr/>
          <w:t xml:space="preserve">above </w:t>
        </w:r>
      </w:ins>
      <w:ins w:id="157" w:author="Unknown Author" w:date="2024-11-12T15:00:00Z">
        <w:r>
          <w:rPr/>
          <w:t xml:space="preserve">mismatch logging </w:t>
        </w:r>
      </w:ins>
      <w:ins w:id="158" w:author="Unknown Author" w:date="2024-11-12T14:50:00Z">
        <w:r>
          <w:rPr/>
          <w:t xml:space="preserve">can be seen as an anomaly detection mechanism. </w:t>
        </w:r>
      </w:ins>
      <w:ins w:id="159" w:author="Unknown Author" w:date="2024-11-12T14:50:00Z">
        <w:r>
          <w:rPr>
            <w:lang w:val="en-GB" w:eastAsia="en-US"/>
          </w:rPr>
          <w:t>I</w:t>
        </w:r>
      </w:ins>
      <w:ins w:id="160" w:author="Unknown Author" w:date="2024-11-12T14:50:00Z">
        <w:r>
          <w:rPr/>
          <w:t>t can both miss logging some anomalous events (false negatives) and</w:t>
        </w:r>
      </w:ins>
      <w:ins w:id="161" w:author="Unknown Author" w:date="2024-11-12T14:51:00Z">
        <w:r>
          <w:rPr/>
          <w:t xml:space="preserve"> log events that do not represent anomalies (false positives). False negatives occur, for example, when attack signalling carrying a particular PLMN-ID arrives over the TLS VPN or DNS/IP connection that is indeed associated with that PLMN-ID (e.g. generated by a compromised SEPP or an attacker with a fraudulently issued certificate), and false positives occur </w:t>
        </w:r>
      </w:ins>
      <w:ins w:id="162" w:author="Unknown Author" w:date="2024-11-12T14:57:00Z">
        <w:r>
          <w:rPr/>
          <w:t xml:space="preserve">if signalling for a given PLMN-ID that previously arrived over a particular TLS VPN or NDS/IP connection starts arriving over a different one without this representing an attack. Such a change could be, for example, a result of contractual changes between PLMNs and RIs that were not configured before coming into effect. </w:t>
        </w:r>
      </w:ins>
      <w:del w:id="163" w:author="Unknown Author" w:date="2024-11-12T14:59:00Z">
        <w:r>
          <w:rPr/>
          <w:delText>It is also possible that some false negatives might not be logged. For example, in the context of N32-f when the selected security method is PRINS and the SEPP is connected to a RI, it is conceivable that signalling that previously arrived over a given TLS VPN or NDS/IP connection starts arriving over the same one, while it was triggered by the abnormal SEPP.</w:delText>
        </w:r>
      </w:del>
    </w:p>
    <w:p>
      <w:pPr>
        <w:pStyle w:val="Normal"/>
        <w:rPr>
          <w:del w:id="167" w:author="Huawei - r2" w:date="2024-11-11T15:22:00Z"/>
        </w:rPr>
      </w:pPr>
      <w:del w:id="165" w:author="Unknown Author" w:date="2024-11-12T14:59:00Z">
        <w:r>
          <w:rPr/>
          <w:delText>2 also</w:delText>
        </w:r>
      </w:del>
      <w:ins w:id="166" w:author="Unknown Author" w:date="2024-11-11T20:25:00Z">
        <w:r>
          <w:rPr/>
          <w:t xml:space="preserve">Dealing with false negatives and false positives is subject to operator policy. </w:t>
        </w:r>
      </w:ins>
    </w:p>
    <w:p>
      <w:pPr>
        <w:pStyle w:val="Normal"/>
        <w:rPr/>
      </w:pPr>
      <w:r>
        <w:rPr/>
        <w:t>If the received message is an error message generated by a Roaming Hub:</w:t>
      </w:r>
    </w:p>
    <w:p>
      <w:pPr>
        <w:pStyle w:val="B1"/>
        <w:rPr/>
      </w:pPr>
      <w:r>
        <w:rPr/>
        <w:t>-</w:t>
        <w:tab/>
        <w:t>The receiving SEPP shall check that the raw public key or certificate of the JWS signature RI's identity in the modifiedDataToIntegrityProtect block matches the adjacent Roaming Hub identity.</w:t>
      </w:r>
    </w:p>
    <w:p>
      <w:pPr>
        <w:pStyle w:val="B1"/>
        <w:rPr/>
      </w:pPr>
      <w:r>
        <w:rPr/>
        <w:t>-</w:t>
        <w:tab/>
        <w:t>The receiving SEPP dertermines the message in which the error occurred, based on the N32-f message ID.</w:t>
      </w:r>
    </w:p>
    <w:p>
      <w:pPr>
        <w:pStyle w:val="B1"/>
        <w:rPr/>
      </w:pPr>
      <w:r>
        <w:rPr/>
        <w:t>-</w:t>
        <w:tab/>
        <w:t>If the receiving SEPP determines from the error message that the Roaming Hub requires a modified request message, it can modify if allowed by the MNO's policy, and can resend the modified request message.</w:t>
      </w:r>
    </w:p>
    <w:p>
      <w:pPr>
        <w:pStyle w:val="Normal"/>
        <w:rPr>
          <w:color w:val="C9211E"/>
          <w:sz w:val="28"/>
          <w:szCs w:val="28"/>
        </w:rPr>
      </w:pPr>
      <w:r>
        <w:rPr>
          <w:color w:val="C9211E"/>
          <w:sz w:val="28"/>
          <w:szCs w:val="28"/>
        </w:rPr>
      </w:r>
    </w:p>
    <w:p>
      <w:pPr>
        <w:pStyle w:val="Normal"/>
        <w:spacing w:before="0" w:after="180"/>
        <w:rPr>
          <w:color w:val="C9211E"/>
          <w:sz w:val="28"/>
          <w:szCs w:val="28"/>
        </w:rPr>
      </w:pPr>
      <w:r>
        <w:rPr>
          <w:color w:val="C9211E"/>
          <w:sz w:val="28"/>
          <w:szCs w:val="28"/>
          <w:lang w:val="en-US"/>
        </w:rPr>
        <w:t>*********************** END OF CHANGES ************************</w:t>
      </w:r>
    </w:p>
    <w:sectPr>
      <w:headerReference w:type="default" r:id="rId4"/>
      <w:type w:val="nextPage"/>
      <w:pgSz w:w="11906" w:h="16838"/>
      <w:pgMar w:left="1134" w:right="1134" w:header="680" w:top="1418" w:footer="0" w:bottom="1134" w:gutter="0"/>
      <w:pgNumType w:fmt="decimal"/>
      <w:formProt w:val="false"/>
      <w:textDirection w:val="lrTb"/>
      <w:docGrid w:type="default" w:linePitch="100" w:charSpace="4096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uawei" w:date="2024-11-07T17:18:00Z" w:initials="Huawei">
    <w:p>
      <w:r>
        <w:rPr>
          <w:rFonts w:ascii="Liberation Serif" w:hAnsi="Liberation Serif" w:eastAsia="DejaVu Sans" w:cs="DejaVu Sans"/>
          <w:sz w:val="24"/>
          <w:szCs w:val="24"/>
          <w:lang w:eastAsia="en-US" w:val="en-US" w:bidi="en-US"/>
        </w:rPr>
        <w:t>Do not understand what does "N32-f/TLS" mean. Propose to use "N32-f" directly</w:t>
      </w:r>
    </w:p>
  </w:comment>
  <w:comment w:id="1" w:author="Huawei" w:date="2024-11-07T17:18:00Z" w:initials="Huawei">
    <w:p>
      <w:r>
        <w:rPr>
          <w:rFonts w:ascii="Liberation Serif" w:hAnsi="Liberation Serif" w:eastAsia="DejaVu Sans" w:cs="DejaVu Sans"/>
          <w:sz w:val="24"/>
          <w:szCs w:val="24"/>
          <w:lang w:eastAsia="en-US" w:val="en-US" w:bidi="en-US"/>
        </w:rPr>
        <w:t xml:space="preserve">PLMN-IDs in trust anchor for N32-c are not needed. Because </w:t>
      </w:r>
      <w:r>
        <w:rPr>
          <w:rFonts w:ascii="Liberation Serif" w:hAnsi="Liberation Serif" w:eastAsia="DejaVu Sans" w:cs="DejaVu Sans"/>
          <w:sz w:val="24"/>
          <w:szCs w:val="24"/>
          <w:lang w:val="en-US" w:bidi="en-US" w:eastAsia="zh-CN"/>
        </w:rPr>
        <w:t>N32-c and N32-f are already bound. And there is no other verification for N32-c.</w:t>
      </w:r>
    </w:p>
  </w:comment>
  <w:comment w:id="2" w:author="Unknown Author" w:date="2024-11-11T18:16:00Z" w:initials="">
    <w:p>
      <w:r>
        <w:rPr>
          <w:rFonts w:ascii="CG Times (WN)" w:hAnsi="CG Times (WN)" w:eastAsia="DejaVu Sans" w:cs="DejaVu Sans"/>
          <w:i/>
          <w:sz w:val="16"/>
          <w:szCs w:val="24"/>
          <w:lang w:val="en-US" w:eastAsia="fr-FR" w:bidi="en-US"/>
        </w:rPr>
        <w:t>Reply to Huawei (11/07/2024, 17:18): "..."</w:t>
      </w:r>
    </w:p>
    <w:p>
      <w:r>
        <w:rPr>
          <w:rFonts w:ascii="Liberation Serif" w:hAnsi="Liberation Serif" w:eastAsia="DejaVu Sans" w:cs="DejaVu Sans"/>
          <w:sz w:val="24"/>
          <w:szCs w:val="24"/>
          <w:lang w:val="en-US" w:eastAsia="fr-FR" w:bidi="en-US"/>
        </w:rPr>
        <w:t>The whole point of trust anchoring in context of N32-c is to bind the root certificates to the PLMN IDs.</w:t>
      </w:r>
    </w:p>
  </w:comment>
  <w:comment w:id="3" w:author="Huawei" w:date="2024-11-07T17:06:00Z" w:initials="Huawei">
    <w:p>
      <w:r>
        <w:rPr>
          <w:rFonts w:ascii="Liberation Serif" w:hAnsi="Liberation Serif" w:eastAsia="DejaVu Sans" w:cs="DejaVu Sans"/>
          <w:sz w:val="24"/>
          <w:szCs w:val="24"/>
          <w:lang w:val="en-US" w:eastAsia="zh-CN" w:bidi="en-US"/>
        </w:rPr>
        <w:t>It is not needed here. Because N32-c and N32-f are already bound.</w:t>
      </w:r>
    </w:p>
  </w:comment>
  <w:comment w:id="4" w:author="Unknown Author" w:date="2024-11-11T18:17:00Z" w:initials="">
    <w:p>
      <w:r>
        <w:rPr>
          <w:rFonts w:ascii="CG Times (WN)" w:hAnsi="CG Times (WN)" w:eastAsia="DejaVu Sans" w:cs="DejaVu Sans"/>
          <w:i/>
          <w:sz w:val="16"/>
          <w:szCs w:val="24"/>
          <w:lang w:val="en-US" w:eastAsia="fr-FR" w:bidi="en-US"/>
        </w:rPr>
        <w:t>Reply to Huawei (11/07/2024, 17:06): "..."</w:t>
      </w:r>
    </w:p>
    <w:p>
      <w:r>
        <w:rPr>
          <w:rFonts w:ascii="Liberation Serif" w:hAnsi="Liberation Serif" w:eastAsia="DejaVu Sans" w:cs="DejaVu Sans"/>
          <w:sz w:val="24"/>
          <w:szCs w:val="24"/>
          <w:lang w:val="en-US" w:eastAsia="fr-FR" w:bidi="en-US"/>
        </w:rPr>
        <w:t xml:space="preserve">This is a useful anomaly detection check which works BECAUSE N32c and N32f are bound. </w:t>
      </w:r>
    </w:p>
  </w:comment>
  <w:comment w:id="5" w:author="Huawei" w:date="2024-11-07T17:25:00Z" w:initials="Huawei">
    <w:p>
      <w:r>
        <w:rPr>
          <w:rFonts w:ascii="Liberation Serif" w:hAnsi="Liberation Serif" w:eastAsia="DejaVu Sans" w:cs="DejaVu Sans"/>
          <w:sz w:val="24"/>
          <w:szCs w:val="24"/>
          <w:lang w:eastAsia="en-US" w:val="en-US" w:bidi="en-US"/>
        </w:rPr>
        <w:t>What does this sentence mean?</w:t>
      </w:r>
    </w:p>
    <w:p>
      <w:r>
        <w:rPr>
          <w:rFonts w:ascii="Liberation Serif" w:hAnsi="Liberation Serif" w:eastAsia="DejaVu Sans" w:cs="DejaVu Sans"/>
          <w:sz w:val="24"/>
          <w:szCs w:val="24"/>
          <w:lang w:eastAsia="en-US" w:val="en-US" w:bidi="en-US"/>
        </w:rPr>
        <w:t>Maybe trust anchoring for N32-c is not needed here.</w:t>
      </w:r>
    </w:p>
  </w:comment>
  <w:comment w:id="7" w:author="Unknown Author" w:date="2024-11-11T18:20:00Z" w:initials="">
    <w:p>
      <w:r>
        <w:rPr>
          <w:rFonts w:ascii="CG Times (WN)" w:hAnsi="CG Times (WN)" w:eastAsia="DejaVu Sans" w:cs="DejaVu Sans"/>
          <w:i/>
          <w:sz w:val="16"/>
          <w:szCs w:val="24"/>
          <w:lang w:val="en-US" w:eastAsia="fr-FR" w:bidi="en-US"/>
        </w:rPr>
        <w:t>Reply to Huawei (11/07/2024, 17:25): "..."</w:t>
      </w:r>
    </w:p>
    <w:p>
      <w:r>
        <w:rPr>
          <w:rFonts w:ascii="Liberation Serif" w:hAnsi="Liberation Serif" w:eastAsia="DejaVu Sans" w:cs="DejaVu Sans"/>
          <w:sz w:val="24"/>
          <w:szCs w:val="24"/>
          <w:lang w:val="en-US" w:eastAsia="fr-FR" w:bidi="en-US"/>
        </w:rPr>
        <w:t>It is already specified and tested in 33.517.</w:t>
      </w:r>
    </w:p>
  </w:comment>
  <w:comment w:id="6" w:author="vweisis" w:date="2024-11-11T15:19:00Z" w:initials="v">
    <w:p>
      <w:r>
        <w:rPr>
          <w:rFonts w:ascii="Liberation Serif" w:hAnsi="Liberation Serif" w:eastAsia="DejaVu Sans" w:cs="DejaVu Sans"/>
          <w:sz w:val="24"/>
          <w:szCs w:val="24"/>
          <w:lang w:val="en-US" w:eastAsia="zh-CN" w:bidi="en-US"/>
        </w:rPr>
        <w:t>Already be written in 13.1.2</w:t>
      </w:r>
    </w:p>
  </w:comment>
  <w:comment w:id="8" w:author="Unknown Author" w:date="2024-11-11T18:31:00Z" w:initials="">
    <w:p>
      <w:r>
        <w:rPr>
          <w:rFonts w:ascii="CG Times (WN)" w:hAnsi="CG Times (WN)" w:eastAsia="DejaVu Sans" w:cs="DejaVu Sans"/>
          <w:sz w:val="24"/>
          <w:szCs w:val="24"/>
          <w:lang w:val="en-US" w:eastAsia="fr-FR" w:bidi="en-US"/>
        </w:rPr>
        <w:t>Moved NOTE in the other section below, and rephrased it.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Consolas">
    <w:charset w:val="01"/>
    <w:family w:val="roman"/>
    <w:pitch w:val="variable"/>
  </w:font>
  <w:font w:name="Cambria">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MS LineDraw">
    <w:charset w:val="01"/>
    <w:family w:val="roman"/>
    <w:pitch w:val="variable"/>
  </w:font>
  <w:font w:name="Courier New">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284"/>
        <w:tab w:val="right" w:pos="9639" w:leader="none"/>
      </w:tabs>
      <w:rPr/>
    </w:pPr>
    <w:r>
      <w:rPr/>
      <w:tab/>
    </w:r>
  </w:p>
</w:hdr>
</file>

<file path=word/settings.xml><?xml version="1.0" encoding="utf-8"?>
<w:settings xmlns:w="http://schemas.openxmlformats.org/wordprocessingml/2006/main">
  <w:zoom w:percent="160"/>
  <w:trackRevisions/>
  <w:embedSystemFonts/>
  <w:defaultTabStop w:val="284"/>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宋体"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7fed"/>
    <w:pPr>
      <w:widowControl/>
      <w:suppressAutoHyphens w:val="true"/>
      <w:bidi w:val="0"/>
      <w:spacing w:before="0" w:after="180"/>
      <w:jc w:val="left"/>
    </w:pPr>
    <w:rPr>
      <w:rFonts w:ascii="Times New Roman" w:hAnsi="Times New Roman" w:eastAsia="宋体" w:cs="Times New Roman"/>
      <w:color w:val="auto"/>
      <w:kern w:val="0"/>
      <w:sz w:val="20"/>
      <w:szCs w:val="20"/>
      <w:lang w:val="en-GB" w:eastAsia="en-US" w:bidi="ar-SA"/>
    </w:rPr>
  </w:style>
  <w:style w:type="paragraph" w:styleId="Heading1">
    <w:name w:val="Heading 1"/>
    <w:next w:val="Normal"/>
    <w:qFormat/>
    <w:rsid w:val="000b7fed"/>
    <w:pPr>
      <w:keepNext w:val="true"/>
      <w:keepLines/>
      <w:widowControl/>
      <w:pBdr>
        <w:top w:val="single" w:sz="12" w:space="3" w:color="000000"/>
      </w:pBdr>
      <w:suppressAutoHyphens w:val="true"/>
      <w:bidi w:val="0"/>
      <w:spacing w:before="240" w:after="180"/>
      <w:ind w:left="1134" w:hanging="1134"/>
      <w:jc w:val="left"/>
      <w:outlineLvl w:val="0"/>
    </w:pPr>
    <w:rPr>
      <w:rFonts w:ascii="Arial" w:hAnsi="Arial" w:eastAsia="宋体" w:cs="Times New Roman"/>
      <w:color w:val="auto"/>
      <w:kern w:val="0"/>
      <w:sz w:val="36"/>
      <w:szCs w:val="20"/>
      <w:lang w:val="en-GB" w:eastAsia="en-US" w:bidi="ar-SA"/>
    </w:rPr>
  </w:style>
  <w:style w:type="paragraph" w:styleId="Heading2">
    <w:name w:val="Heading 2"/>
    <w:basedOn w:val="Heading1"/>
    <w:next w:val="Normal"/>
    <w:qFormat/>
    <w:rsid w:val="000b7fed"/>
    <w:pPr>
      <w:pBdr>
        <w:top w:val="nil"/>
      </w:pBdr>
      <w:spacing w:before="180" w:after="180"/>
      <w:outlineLvl w:val="1"/>
    </w:pPr>
    <w:rPr>
      <w:sz w:val="32"/>
    </w:rPr>
  </w:style>
  <w:style w:type="paragraph" w:styleId="Heading3">
    <w:name w:val="Heading 3"/>
    <w:basedOn w:val="Heading2"/>
    <w:next w:val="Normal"/>
    <w:qFormat/>
    <w:rsid w:val="000b7fed"/>
    <w:pPr>
      <w:spacing w:before="120" w:after="18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rPr/>
  </w:style>
  <w:style w:type="paragraph" w:styleId="Heading7">
    <w:name w:val="Heading 7"/>
    <w:basedOn w:val="H6"/>
    <w:next w:val="Normal"/>
    <w:qFormat/>
    <w:rsid w:val="000b7fed"/>
    <w:pPr>
      <w:outlineLvl w:val="6"/>
    </w:pPr>
    <w:rPr/>
  </w:style>
  <w:style w:type="paragraph" w:styleId="Heading8">
    <w:name w:val="Heading 8"/>
    <w:basedOn w:val="Heading1"/>
    <w:next w:val="Normal"/>
    <w:qFormat/>
    <w:rsid w:val="000b7fed"/>
    <w:pPr>
      <w:ind w:left="0" w:hanging="0"/>
      <w:outlineLvl w:val="7"/>
    </w:pPr>
    <w:rPr/>
  </w:style>
  <w:style w:type="paragraph" w:styleId="Heading9">
    <w:name w:val="Heading 9"/>
    <w:basedOn w:val="Heading8"/>
    <w:next w:val="Normal"/>
    <w:qFormat/>
    <w:rsid w:val="000b7fed"/>
    <w:pPr>
      <w:outlineLvl w:val="8"/>
    </w:pPr>
    <w:rPr/>
  </w:style>
  <w:style w:type="character" w:styleId="DefaultParagraphFont" w:default="1">
    <w:name w:val="Default Paragraph Font"/>
    <w:uiPriority w:val="1"/>
    <w:semiHidden/>
    <w:unhideWhenUsed/>
    <w:qFormat/>
    <w:rPr/>
  </w:style>
  <w:style w:type="character" w:styleId="FootnoteCharacters" w:customStyle="1">
    <w:name w:val="Footnote Characters"/>
    <w:semiHidden/>
    <w:qFormat/>
    <w:rsid w:val="000b7fed"/>
    <w:rPr>
      <w:b/>
      <w:sz w:val="16"/>
      <w:vertAlign w:val="superscript"/>
    </w:rPr>
  </w:style>
  <w:style w:type="character" w:styleId="FootnoteCharacters1" w:customStyle="1">
    <w:name w:val="Footnote Characters1"/>
    <w:qFormat/>
    <w:rPr>
      <w:b/>
      <w:sz w:val="16"/>
      <w:vertAlign w:val="superscript"/>
    </w:rPr>
  </w:style>
  <w:style w:type="character" w:styleId="FootnoteCharacters2" w:customStyle="1">
    <w:name w:val="Footnote Characters2"/>
    <w:qFormat/>
    <w:rPr>
      <w:b/>
      <w:sz w:val="16"/>
      <w:vertAlign w:val="superscript"/>
    </w:rPr>
  </w:style>
  <w:style w:type="character" w:styleId="FootnoteCharacters3" w:customStyle="1">
    <w:name w:val="Footnote Characters3"/>
    <w:qFormat/>
    <w:rPr>
      <w:b/>
      <w:sz w:val="16"/>
      <w:vertAlign w:val="superscript"/>
    </w:rPr>
  </w:style>
  <w:style w:type="character" w:styleId="FootnoteCharacters4" w:customStyle="1">
    <w:name w:val="Footnote Characters4"/>
    <w:qFormat/>
    <w:rPr>
      <w:b/>
      <w:sz w:val="16"/>
      <w:vertAlign w:val="superscript"/>
    </w:rPr>
  </w:style>
  <w:style w:type="character" w:styleId="FootnoteCharacters5" w:customStyle="1">
    <w:name w:val="Footnote Characters5"/>
    <w:qFormat/>
    <w:rPr>
      <w:b/>
      <w:sz w:val="16"/>
      <w:vertAlign w:val="superscript"/>
    </w:rPr>
  </w:style>
  <w:style w:type="character" w:styleId="FootnoteCharacters6" w:customStyle="1">
    <w:name w:val="Footnote Characters6"/>
    <w:qFormat/>
    <w:rPr>
      <w:b/>
      <w:sz w:val="16"/>
      <w:vertAlign w:val="superscript"/>
    </w:rPr>
  </w:style>
  <w:style w:type="character" w:styleId="FootnoteCharacters7" w:customStyle="1">
    <w:name w:val="Footnote Characters7"/>
    <w:qFormat/>
    <w:rPr>
      <w:b/>
      <w:sz w:val="16"/>
      <w:vertAlign w:val="superscript"/>
    </w:rPr>
  </w:style>
  <w:style w:type="character" w:styleId="FootnoteCharacters8" w:customStyle="1">
    <w:name w:val="Footnote Characters8"/>
    <w:qFormat/>
    <w:rPr>
      <w:b/>
      <w:sz w:val="16"/>
      <w:vertAlign w:val="superscript"/>
    </w:rPr>
  </w:style>
  <w:style w:type="character" w:styleId="FootnoteCharacters9" w:customStyle="1">
    <w:name w:val="Footnote Characters9"/>
    <w:qFormat/>
    <w:rPr>
      <w:b/>
      <w:sz w:val="16"/>
      <w:vertAlign w:val="superscript"/>
    </w:rPr>
  </w:style>
  <w:style w:type="character" w:styleId="FootnoteAnchor" w:customStyle="1">
    <w:name w:val="Footnote Anchor"/>
    <w:rPr>
      <w:b/>
      <w:sz w:val="16"/>
      <w:vertAlign w:val="superscript"/>
    </w:rPr>
  </w:style>
  <w:style w:type="character" w:styleId="ZGSM" w:customStyle="1">
    <w:name w:val="ZGSM"/>
    <w:qFormat/>
    <w:rsid w:val="000b7fed"/>
    <w:rPr/>
  </w:style>
  <w:style w:type="character" w:styleId="InternetLink">
    <w:name w:val="Hyperlink"/>
    <w:rsid w:val="000b7fed"/>
    <w:rPr>
      <w:color w:val="0000FF"/>
      <w:u w:val="single"/>
    </w:rPr>
  </w:style>
  <w:style w:type="character" w:styleId="Annotationreference">
    <w:name w:val="annotation reference"/>
    <w:semiHidden/>
    <w:qFormat/>
    <w:rsid w:val="000b7fed"/>
    <w:rPr>
      <w:sz w:val="16"/>
    </w:rPr>
  </w:style>
  <w:style w:type="character" w:styleId="VisitedInternetLink">
    <w:name w:val="FollowedHyperlink"/>
    <w:rsid w:val="000b7fed"/>
    <w:rPr>
      <w:color w:val="800080"/>
      <w:u w:val="single"/>
    </w:rPr>
  </w:style>
  <w:style w:type="character" w:styleId="Style5" w:customStyle="1">
    <w:name w:val="页眉 字符"/>
    <w:qFormat/>
    <w:rsid w:val="004a52c6"/>
    <w:rPr>
      <w:rFonts w:ascii="Arial" w:hAnsi="Arial"/>
      <w:b/>
      <w:sz w:val="18"/>
      <w:lang w:val="en-GB" w:eastAsia="en-US"/>
    </w:rPr>
  </w:style>
  <w:style w:type="character" w:styleId="Style6" w:customStyle="1">
    <w:name w:val="正文文本 字符"/>
    <w:basedOn w:val="DefaultParagraphFont"/>
    <w:semiHidden/>
    <w:qFormat/>
    <w:rsid w:val="00887da0"/>
    <w:rPr>
      <w:rFonts w:ascii="Times New Roman" w:hAnsi="Times New Roman"/>
      <w:lang w:val="en-GB" w:eastAsia="en-US"/>
    </w:rPr>
  </w:style>
  <w:style w:type="character" w:styleId="2" w:customStyle="1">
    <w:name w:val="正文文本 2 字符"/>
    <w:basedOn w:val="DefaultParagraphFont"/>
    <w:link w:val="21"/>
    <w:semiHidden/>
    <w:qFormat/>
    <w:rsid w:val="00887da0"/>
    <w:rPr>
      <w:rFonts w:ascii="Times New Roman" w:hAnsi="Times New Roman"/>
      <w:lang w:val="en-GB" w:eastAsia="en-US"/>
    </w:rPr>
  </w:style>
  <w:style w:type="character" w:styleId="3" w:customStyle="1">
    <w:name w:val="正文文本 3 字符"/>
    <w:basedOn w:val="DefaultParagraphFont"/>
    <w:semiHidden/>
    <w:qFormat/>
    <w:rsid w:val="00887da0"/>
    <w:rPr>
      <w:rFonts w:ascii="Times New Roman" w:hAnsi="Times New Roman"/>
      <w:sz w:val="16"/>
      <w:szCs w:val="16"/>
      <w:lang w:val="en-GB" w:eastAsia="en-US"/>
    </w:rPr>
  </w:style>
  <w:style w:type="character" w:styleId="BodyTextFirstIndentChar" w:customStyle="1">
    <w:name w:val="Body Text First Indent Char"/>
    <w:basedOn w:val="Style6"/>
    <w:qFormat/>
    <w:rsid w:val="00887da0"/>
    <w:rPr>
      <w:rFonts w:ascii="Times New Roman" w:hAnsi="Times New Roman"/>
      <w:lang w:val="en-GB" w:eastAsia="en-US"/>
    </w:rPr>
  </w:style>
  <w:style w:type="character" w:styleId="Style7" w:customStyle="1">
    <w:name w:val="正文文本缩进 字符"/>
    <w:basedOn w:val="DefaultParagraphFont"/>
    <w:semiHidden/>
    <w:qFormat/>
    <w:rsid w:val="00887da0"/>
    <w:rPr>
      <w:rFonts w:ascii="Times New Roman" w:hAnsi="Times New Roman"/>
      <w:lang w:val="en-GB" w:eastAsia="en-US"/>
    </w:rPr>
  </w:style>
  <w:style w:type="character" w:styleId="21" w:customStyle="1">
    <w:name w:val="正文文本首行缩进 2 字符"/>
    <w:basedOn w:val="Style7"/>
    <w:link w:val="20"/>
    <w:semiHidden/>
    <w:qFormat/>
    <w:rsid w:val="00887da0"/>
    <w:rPr>
      <w:rFonts w:ascii="Times New Roman" w:hAnsi="Times New Roman"/>
      <w:lang w:val="en-GB" w:eastAsia="en-US"/>
    </w:rPr>
  </w:style>
  <w:style w:type="character" w:styleId="211" w:customStyle="1">
    <w:name w:val="正文文本首行缩进 2 字符1"/>
    <w:basedOn w:val="DefaultParagraphFont"/>
    <w:semiHidden/>
    <w:qFormat/>
    <w:rsid w:val="00887da0"/>
    <w:rPr>
      <w:rFonts w:ascii="Times New Roman" w:hAnsi="Times New Roman"/>
      <w:lang w:val="en-GB" w:eastAsia="en-US"/>
    </w:rPr>
  </w:style>
  <w:style w:type="character" w:styleId="31" w:customStyle="1">
    <w:name w:val="正文文本 3 字符1"/>
    <w:basedOn w:val="DefaultParagraphFont"/>
    <w:link w:val="32"/>
    <w:semiHidden/>
    <w:qFormat/>
    <w:rsid w:val="00887da0"/>
    <w:rPr>
      <w:rFonts w:ascii="Times New Roman" w:hAnsi="Times New Roman"/>
      <w:sz w:val="16"/>
      <w:szCs w:val="16"/>
      <w:lang w:val="en-GB" w:eastAsia="en-US"/>
    </w:rPr>
  </w:style>
  <w:style w:type="character" w:styleId="Style8" w:customStyle="1">
    <w:name w:val="结束语 字符"/>
    <w:basedOn w:val="DefaultParagraphFont"/>
    <w:semiHidden/>
    <w:qFormat/>
    <w:rsid w:val="00887da0"/>
    <w:rPr>
      <w:rFonts w:ascii="Times New Roman" w:hAnsi="Times New Roman"/>
      <w:lang w:val="en-GB" w:eastAsia="en-US"/>
    </w:rPr>
  </w:style>
  <w:style w:type="character" w:styleId="Style9" w:customStyle="1">
    <w:name w:val="日期 字符"/>
    <w:basedOn w:val="DefaultParagraphFont"/>
    <w:qFormat/>
    <w:rsid w:val="00887da0"/>
    <w:rPr>
      <w:rFonts w:ascii="Times New Roman" w:hAnsi="Times New Roman"/>
      <w:lang w:val="en-GB" w:eastAsia="en-US"/>
    </w:rPr>
  </w:style>
  <w:style w:type="character" w:styleId="Style10" w:customStyle="1">
    <w:name w:val="电子邮件签名 字符"/>
    <w:basedOn w:val="DefaultParagraphFont"/>
    <w:semiHidden/>
    <w:qFormat/>
    <w:rsid w:val="00887da0"/>
    <w:rPr>
      <w:rFonts w:ascii="Times New Roman" w:hAnsi="Times New Roman"/>
      <w:lang w:val="en-GB" w:eastAsia="en-US"/>
    </w:rPr>
  </w:style>
  <w:style w:type="character" w:styleId="Style11" w:customStyle="1">
    <w:name w:val="尾注文本 字符"/>
    <w:basedOn w:val="DefaultParagraphFont"/>
    <w:semiHidden/>
    <w:qFormat/>
    <w:rsid w:val="00887da0"/>
    <w:rPr>
      <w:rFonts w:ascii="Times New Roman" w:hAnsi="Times New Roman"/>
      <w:lang w:val="en-GB" w:eastAsia="en-US"/>
    </w:rPr>
  </w:style>
  <w:style w:type="character" w:styleId="HTML" w:customStyle="1">
    <w:name w:val="HTML 地址 字符"/>
    <w:basedOn w:val="DefaultParagraphFont"/>
    <w:link w:val="HTML0"/>
    <w:semiHidden/>
    <w:qFormat/>
    <w:rsid w:val="00887da0"/>
    <w:rPr>
      <w:rFonts w:ascii="Times New Roman" w:hAnsi="Times New Roman"/>
      <w:i/>
      <w:iCs/>
      <w:lang w:val="en-GB" w:eastAsia="en-US"/>
    </w:rPr>
  </w:style>
  <w:style w:type="character" w:styleId="HTML1" w:customStyle="1">
    <w:name w:val="HTML 预设格式 字符"/>
    <w:basedOn w:val="DefaultParagraphFont"/>
    <w:link w:val="HTML2"/>
    <w:semiHidden/>
    <w:qFormat/>
    <w:rsid w:val="00887da0"/>
    <w:rPr>
      <w:rFonts w:ascii="Consolas" w:hAnsi="Consolas"/>
      <w:lang w:val="en-GB" w:eastAsia="en-US"/>
    </w:rPr>
  </w:style>
  <w:style w:type="character" w:styleId="Style12" w:customStyle="1">
    <w:name w:val="明显引用 字符"/>
    <w:basedOn w:val="DefaultParagraphFont"/>
    <w:uiPriority w:val="30"/>
    <w:qFormat/>
    <w:rsid w:val="00887da0"/>
    <w:rPr>
      <w:rFonts w:ascii="Times New Roman" w:hAnsi="Times New Roman"/>
      <w:i/>
      <w:iCs/>
      <w:color w:val="4F81BD" w:themeColor="accent1"/>
      <w:lang w:val="en-GB" w:eastAsia="en-US"/>
    </w:rPr>
  </w:style>
  <w:style w:type="character" w:styleId="Style13" w:customStyle="1">
    <w:name w:val="宏文本 字符"/>
    <w:basedOn w:val="DefaultParagraphFont"/>
    <w:semiHidden/>
    <w:qFormat/>
    <w:rsid w:val="00887da0"/>
    <w:rPr>
      <w:rFonts w:ascii="Consolas" w:hAnsi="Consolas"/>
      <w:lang w:val="en-GB" w:eastAsia="en-US"/>
    </w:rPr>
  </w:style>
  <w:style w:type="character" w:styleId="Style14" w:customStyle="1">
    <w:name w:val="信息标题 字符"/>
    <w:basedOn w:val="DefaultParagraphFont"/>
    <w:semiHidden/>
    <w:qFormat/>
    <w:rsid w:val="00887da0"/>
    <w:rPr>
      <w:rFonts w:ascii="Cambria" w:hAnsi="Cambria" w:eastAsia="黑体" w:cs="" w:asciiTheme="majorHAnsi" w:cstheme="majorBidi" w:eastAsiaTheme="majorEastAsia" w:hAnsiTheme="majorHAnsi"/>
      <w:sz w:val="24"/>
      <w:szCs w:val="24"/>
      <w:shd w:fill="CCCCCC" w:val="clear"/>
      <w:lang w:val="en-GB" w:eastAsia="en-US"/>
    </w:rPr>
  </w:style>
  <w:style w:type="character" w:styleId="Style15" w:customStyle="1">
    <w:name w:val="注释标题 字符"/>
    <w:basedOn w:val="DefaultParagraphFont"/>
    <w:semiHidden/>
    <w:qFormat/>
    <w:rsid w:val="00887da0"/>
    <w:rPr>
      <w:rFonts w:ascii="Times New Roman" w:hAnsi="Times New Roman"/>
      <w:lang w:val="en-GB" w:eastAsia="en-US"/>
    </w:rPr>
  </w:style>
  <w:style w:type="character" w:styleId="Style16" w:customStyle="1">
    <w:name w:val="纯文本 字符"/>
    <w:basedOn w:val="DefaultParagraphFont"/>
    <w:semiHidden/>
    <w:qFormat/>
    <w:rsid w:val="00887da0"/>
    <w:rPr>
      <w:rFonts w:ascii="Consolas" w:hAnsi="Consolas"/>
      <w:sz w:val="21"/>
      <w:szCs w:val="21"/>
      <w:lang w:val="en-GB" w:eastAsia="en-US"/>
    </w:rPr>
  </w:style>
  <w:style w:type="character" w:styleId="Style17" w:customStyle="1">
    <w:name w:val="引用 字符"/>
    <w:basedOn w:val="DefaultParagraphFont"/>
    <w:uiPriority w:val="29"/>
    <w:qFormat/>
    <w:rsid w:val="00887da0"/>
    <w:rPr>
      <w:rFonts w:ascii="Times New Roman" w:hAnsi="Times New Roman"/>
      <w:i/>
      <w:iCs/>
      <w:color w:val="404040" w:themeColor="text1" w:themeTint="bf"/>
      <w:lang w:val="en-GB" w:eastAsia="en-US"/>
    </w:rPr>
  </w:style>
  <w:style w:type="character" w:styleId="Style18" w:customStyle="1">
    <w:name w:val="称呼 字符"/>
    <w:basedOn w:val="DefaultParagraphFont"/>
    <w:qFormat/>
    <w:rsid w:val="00887da0"/>
    <w:rPr>
      <w:rFonts w:ascii="Times New Roman" w:hAnsi="Times New Roman"/>
      <w:lang w:val="en-GB" w:eastAsia="en-US"/>
    </w:rPr>
  </w:style>
  <w:style w:type="character" w:styleId="Style19" w:customStyle="1">
    <w:name w:val="签名 字符"/>
    <w:basedOn w:val="DefaultParagraphFont"/>
    <w:semiHidden/>
    <w:qFormat/>
    <w:rsid w:val="00887da0"/>
    <w:rPr>
      <w:rFonts w:ascii="Times New Roman" w:hAnsi="Times New Roman"/>
      <w:lang w:val="en-GB" w:eastAsia="en-US"/>
    </w:rPr>
  </w:style>
  <w:style w:type="character" w:styleId="Style20" w:customStyle="1">
    <w:name w:val="副标题 字符"/>
    <w:basedOn w:val="DefaultParagraphFont"/>
    <w:qFormat/>
    <w:rsid w:val="00887da0"/>
    <w:rPr>
      <w:rFonts w:ascii="Calibri" w:hAnsi="Calibri" w:eastAsia="宋体" w:cs="" w:asciiTheme="minorHAnsi" w:cstheme="minorBidi" w:eastAsiaTheme="minorEastAsia" w:hAnsiTheme="minorHAnsi"/>
      <w:color w:val="5A5A5A" w:themeColor="text1" w:themeTint="a5"/>
      <w:spacing w:val="15"/>
      <w:sz w:val="22"/>
      <w:szCs w:val="22"/>
      <w:lang w:val="en-GB" w:eastAsia="en-US"/>
    </w:rPr>
  </w:style>
  <w:style w:type="character" w:styleId="Style21" w:customStyle="1">
    <w:name w:val="标题 字符"/>
    <w:basedOn w:val="DefaultParagraphFont"/>
    <w:qFormat/>
    <w:rsid w:val="00887da0"/>
    <w:rPr>
      <w:rFonts w:ascii="Cambria" w:hAnsi="Cambria" w:eastAsia="黑体" w:cs="" w:asciiTheme="majorHAnsi" w:cstheme="majorBidi" w:eastAsiaTheme="majorEastAsia" w:hAnsiTheme="majorHAnsi"/>
      <w:spacing w:val="-10"/>
      <w:kern w:val="2"/>
      <w:sz w:val="56"/>
      <w:szCs w:val="56"/>
      <w:lang w:val="en-GB" w:eastAsia="en-US"/>
    </w:rPr>
  </w:style>
  <w:style w:type="character" w:styleId="Linenumber">
    <w:name w:val="line number"/>
    <w:qFormat/>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NOChar" w:customStyle="1">
    <w:name w:val="NO Char"/>
    <w:link w:val="NO"/>
    <w:qFormat/>
    <w:rsid w:val="005b6551"/>
    <w:rPr>
      <w:rFonts w:ascii="Times New Roman" w:hAnsi="Times New Roman"/>
      <w:lang w:val="en-GB" w:eastAsia="en-US"/>
    </w:rPr>
  </w:style>
  <w:style w:type="character" w:styleId="B1Char1" w:customStyle="1">
    <w:name w:val="B1 Char1"/>
    <w:link w:val="B1"/>
    <w:qFormat/>
    <w:locked/>
    <w:rsid w:val="005b6551"/>
    <w:rPr>
      <w:rFonts w:ascii="Times New Roman" w:hAnsi="Times New Roman"/>
      <w:lang w:val="en-GB" w:eastAsia="en-US"/>
    </w:rPr>
  </w:style>
  <w:style w:type="paragraph" w:styleId="Heading" w:customStyle="1">
    <w:name w:val="Heading"/>
    <w:basedOn w:val="Normal"/>
    <w:next w:val="TextBody"/>
    <w:qFormat/>
    <w:pPr>
      <w:keepNext w:val="true"/>
      <w:spacing w:before="240" w:after="120"/>
    </w:pPr>
    <w:rPr>
      <w:rFonts w:ascii="Liberation Sans" w:hAnsi="Liberation Sans" w:eastAsia="微软雅黑" w:cs="Arial"/>
      <w:sz w:val="28"/>
      <w:szCs w:val="28"/>
    </w:rPr>
  </w:style>
  <w:style w:type="paragraph" w:styleId="TextBody">
    <w:name w:val="Body Text"/>
    <w:basedOn w:val="Normal"/>
    <w:semiHidden/>
    <w:unhideWhenUsed/>
    <w:rsid w:val="00887da0"/>
    <w:pPr>
      <w:spacing w:before="0" w:after="120"/>
    </w:pPr>
    <w:rPr/>
  </w:style>
  <w:style w:type="paragraph" w:styleId="List">
    <w:name w:val="List"/>
    <w:basedOn w:val="Normal"/>
    <w:rsid w:val="000b7fed"/>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next w:val="Normal"/>
    <w:semiHidden/>
    <w:unhideWhenUsed/>
    <w:qFormat/>
    <w:rsid w:val="00887da0"/>
    <w:pPr>
      <w:spacing w:before="0" w:after="200"/>
    </w:pPr>
    <w:rPr>
      <w:i/>
      <w:iCs/>
      <w:color w:val="1F497D" w:themeColor="text2"/>
      <w:sz w:val="18"/>
      <w:szCs w:val="18"/>
    </w:rPr>
  </w:style>
  <w:style w:type="paragraph" w:styleId="Contents8">
    <w:name w:val="TOC 8"/>
    <w:basedOn w:val="Contents1"/>
    <w:semiHidden/>
    <w:rsid w:val="000b7fed"/>
    <w:pPr>
      <w:spacing w:before="180" w:after="180"/>
      <w:ind w:left="2693" w:hanging="2693"/>
    </w:pPr>
    <w:rPr>
      <w:b/>
    </w:rPr>
  </w:style>
  <w:style w:type="paragraph" w:styleId="Contents1">
    <w:name w:val="TOC 1"/>
    <w:semiHidden/>
    <w:rsid w:val="000b7fed"/>
    <w:pPr>
      <w:keepNext w:val="true"/>
      <w:keepLines/>
      <w:widowControl w:val="false"/>
      <w:tabs>
        <w:tab w:val="clear" w:pos="284"/>
        <w:tab w:val="right" w:pos="9639" w:leader="dot"/>
      </w:tabs>
      <w:suppressAutoHyphens w:val="true"/>
      <w:bidi w:val="0"/>
      <w:spacing w:before="120" w:after="0"/>
      <w:ind w:left="567" w:right="425" w:hanging="567"/>
      <w:jc w:val="left"/>
    </w:pPr>
    <w:rPr>
      <w:rFonts w:ascii="Times New Roman" w:hAnsi="Times New Roman" w:eastAsia="宋体" w:cs="Times New Roman"/>
      <w:color w:val="auto"/>
      <w:kern w:val="0"/>
      <w:sz w:val="22"/>
      <w:szCs w:val="20"/>
      <w:lang w:val="en-GB" w:eastAsia="en-US" w:bidi="ar-SA"/>
    </w:rPr>
  </w:style>
  <w:style w:type="paragraph" w:styleId="ZT" w:customStyle="1">
    <w:name w:val="ZT"/>
    <w:qFormat/>
    <w:rsid w:val="000b7fed"/>
    <w:pPr>
      <w:widowControl w:val="false"/>
      <w:suppressAutoHyphens w:val="true"/>
      <w:bidi w:val="0"/>
      <w:spacing w:lineRule="atLeast" w:line="240" w:before="0" w:after="0"/>
      <w:jc w:val="right"/>
    </w:pPr>
    <w:rPr>
      <w:rFonts w:ascii="Arial" w:hAnsi="Arial" w:eastAsia="宋体" w:cs="Times New Roman"/>
      <w:b/>
      <w:color w:val="auto"/>
      <w:kern w:val="0"/>
      <w:sz w:val="34"/>
      <w:szCs w:val="20"/>
      <w:lang w:val="en-GB" w:eastAsia="en-US" w:bidi="ar-SA"/>
    </w:rPr>
  </w:style>
  <w:style w:type="paragraph" w:styleId="Contents5">
    <w:name w:val="TOC 5"/>
    <w:basedOn w:val="Contents4"/>
    <w:semiHidden/>
    <w:rsid w:val="000b7fed"/>
    <w:pPr>
      <w:ind w:left="1701" w:hanging="1701"/>
    </w:pPr>
    <w:rPr/>
  </w:style>
  <w:style w:type="paragraph" w:styleId="Contents4">
    <w:name w:val="TOC 4"/>
    <w:basedOn w:val="Contents3"/>
    <w:semiHidden/>
    <w:rsid w:val="000b7fed"/>
    <w:pPr>
      <w:ind w:left="1418" w:hanging="1418"/>
    </w:pPr>
    <w:rPr/>
  </w:style>
  <w:style w:type="paragraph" w:styleId="Contents3">
    <w:name w:val="TOC 3"/>
    <w:basedOn w:val="Contents2"/>
    <w:semiHidden/>
    <w:rsid w:val="000b7fed"/>
    <w:pPr>
      <w:ind w:left="1134" w:hanging="1134"/>
    </w:pPr>
    <w:rPr/>
  </w:style>
  <w:style w:type="paragraph" w:styleId="Contents2">
    <w:name w:val="TOC 2"/>
    <w:basedOn w:val="Contents1"/>
    <w:semiHidden/>
    <w:rsid w:val="000b7fed"/>
    <w:pPr>
      <w:keepNext w:val="false"/>
      <w:spacing w:before="0" w:after="0"/>
      <w:ind w:left="851" w:right="425" w:hanging="851"/>
    </w:pPr>
    <w:rPr>
      <w:sz w:val="20"/>
    </w:rPr>
  </w:style>
  <w:style w:type="paragraph" w:styleId="Index2">
    <w:name w:val="index 2"/>
    <w:basedOn w:val="Index1"/>
    <w:semiHidden/>
    <w:qFormat/>
    <w:rsid w:val="000b7fed"/>
    <w:pPr>
      <w:ind w:left="284" w:hanging="0"/>
    </w:pPr>
    <w:rPr/>
  </w:style>
  <w:style w:type="paragraph" w:styleId="Index1">
    <w:name w:val="index 1"/>
    <w:basedOn w:val="Normal"/>
    <w:semiHidden/>
    <w:qFormat/>
    <w:rsid w:val="000b7fed"/>
    <w:pPr>
      <w:keepLines/>
      <w:spacing w:before="0" w:after="0"/>
    </w:pPr>
    <w:rPr/>
  </w:style>
  <w:style w:type="paragraph" w:styleId="ZH" w:customStyle="1">
    <w:name w:val="ZH"/>
    <w:qFormat/>
    <w:rsid w:val="000b7fed"/>
    <w:pPr>
      <w:widowControl w:val="false"/>
      <w:suppressAutoHyphens w:val="true"/>
      <w:bidi w:val="0"/>
      <w:spacing w:before="0" w:after="0"/>
      <w:jc w:val="left"/>
    </w:pPr>
    <w:rPr>
      <w:rFonts w:ascii="Arial" w:hAnsi="Arial" w:eastAsia="宋体" w:cs="Times New Roman"/>
      <w:color w:val="auto"/>
      <w:kern w:val="0"/>
      <w:sz w:val="20"/>
      <w:szCs w:val="20"/>
      <w:lang w:val="en-GB" w:eastAsia="en-US" w:bidi="ar-SA"/>
    </w:rPr>
  </w:style>
  <w:style w:type="paragraph" w:styleId="TT" w:customStyle="1">
    <w:name w:val="TT"/>
    <w:basedOn w:val="Heading1"/>
    <w:next w:val="Normal"/>
    <w:qFormat/>
    <w:rsid w:val="000b7fed"/>
    <w:pPr/>
    <w:rPr/>
  </w:style>
  <w:style w:type="paragraph" w:styleId="ListNumber2">
    <w:name w:val="List Number 2"/>
    <w:basedOn w:val="ListNumber"/>
    <w:qFormat/>
    <w:rsid w:val="000b7fed"/>
    <w:pPr>
      <w:ind w:left="851" w:hanging="0"/>
    </w:pPr>
    <w:rPr/>
  </w:style>
  <w:style w:type="paragraph" w:styleId="ListNumber">
    <w:name w:val="List Number"/>
    <w:basedOn w:val="ListBullet5"/>
    <w:qFormat/>
    <w:rsid w:val="000b7fed"/>
    <w:pPr/>
    <w:rPr/>
  </w:style>
  <w:style w:type="paragraph" w:styleId="ListBullet5">
    <w:name w:val="List Bullet 5"/>
    <w:basedOn w:val="ListBullet4"/>
    <w:qFormat/>
    <w:rsid w:val="000b7fed"/>
    <w:pPr>
      <w:ind w:left="1702" w:hanging="0"/>
    </w:pPr>
    <w:rPr/>
  </w:style>
  <w:style w:type="paragraph" w:styleId="ListBullet4">
    <w:name w:val="List Bullet 4"/>
    <w:basedOn w:val="ListBullet3"/>
    <w:qFormat/>
    <w:rsid w:val="000b7fed"/>
    <w:pPr>
      <w:ind w:left="1418" w:hanging="0"/>
    </w:pPr>
    <w:rPr/>
  </w:style>
  <w:style w:type="paragraph" w:styleId="ListBullet3">
    <w:name w:val="List Bullet 3"/>
    <w:basedOn w:val="List"/>
    <w:qFormat/>
    <w:rsid w:val="000b7fed"/>
    <w:pPr>
      <w:ind w:left="851" w:hanging="0"/>
    </w:pPr>
    <w:rPr/>
  </w:style>
  <w:style w:type="paragraph" w:styleId="HeaderandFooter" w:customStyle="1">
    <w:name w:val="Header and Footer"/>
    <w:basedOn w:val="Normal"/>
    <w:qFormat/>
    <w:pPr/>
    <w:rPr/>
  </w:style>
  <w:style w:type="paragraph" w:styleId="Header">
    <w:name w:val="Header"/>
    <w:rsid w:val="000b7fed"/>
    <w:pPr>
      <w:widowControl w:val="false"/>
      <w:suppressAutoHyphens w:val="true"/>
      <w:bidi w:val="0"/>
      <w:spacing w:before="0" w:after="0"/>
      <w:jc w:val="left"/>
    </w:pPr>
    <w:rPr>
      <w:rFonts w:ascii="Arial" w:hAnsi="Arial" w:eastAsia="宋体" w:cs="Times New Roman"/>
      <w:b/>
      <w:color w:val="auto"/>
      <w:kern w:val="0"/>
      <w:sz w:val="18"/>
      <w:szCs w:val="20"/>
      <w:lang w:val="en-GB" w:eastAsia="en-US" w:bidi="ar-SA"/>
    </w:rPr>
  </w:style>
  <w:style w:type="paragraph" w:styleId="Footnote">
    <w:name w:val="Footnote Text"/>
    <w:basedOn w:val="Normal"/>
    <w:semiHidden/>
    <w:rsid w:val="000b7fed"/>
    <w:pPr>
      <w:keepLines/>
      <w:spacing w:before="0" w:after="0"/>
      <w:ind w:left="454" w:hanging="454"/>
    </w:pPr>
    <w:rPr>
      <w:sz w:val="16"/>
    </w:rPr>
  </w:style>
  <w:style w:type="paragraph" w:styleId="TAH" w:customStyle="1">
    <w:name w:val="TAH"/>
    <w:basedOn w:val="TAC"/>
    <w:qFormat/>
    <w:rsid w:val="000b7fed"/>
    <w:pPr/>
    <w:rPr>
      <w:b/>
    </w:rPr>
  </w:style>
  <w:style w:type="paragraph" w:styleId="TAC" w:customStyle="1">
    <w:name w:val="TAC"/>
    <w:basedOn w:val="TAL"/>
    <w:qFormat/>
    <w:rsid w:val="000b7fed"/>
    <w:pPr>
      <w:jc w:val="center"/>
    </w:pPr>
    <w:rPr/>
  </w:style>
  <w:style w:type="paragraph" w:styleId="TF" w:customStyle="1">
    <w:name w:val="TF"/>
    <w:basedOn w:val="TH"/>
    <w:qFormat/>
    <w:rsid w:val="000b7fed"/>
    <w:pPr>
      <w:keepNext w:val="false"/>
      <w:spacing w:before="0" w:after="240"/>
    </w:pPr>
    <w:rPr/>
  </w:style>
  <w:style w:type="paragraph" w:styleId="NO" w:customStyle="1">
    <w:name w:val="NO"/>
    <w:basedOn w:val="Normal"/>
    <w:link w:val="NOChar"/>
    <w:qFormat/>
    <w:rsid w:val="000b7fed"/>
    <w:pPr>
      <w:keepLines/>
      <w:ind w:left="1135" w:hanging="851"/>
    </w:pPr>
    <w:rPr/>
  </w:style>
  <w:style w:type="paragraph" w:styleId="Contents9">
    <w:name w:val="TOC 9"/>
    <w:basedOn w:val="Contents8"/>
    <w:semiHidden/>
    <w:rsid w:val="000b7fed"/>
    <w:pPr>
      <w:ind w:left="1418" w:hanging="1418"/>
    </w:pPr>
    <w:rPr/>
  </w:style>
  <w:style w:type="paragraph" w:styleId="EX" w:customStyle="1">
    <w:name w:val="EX"/>
    <w:basedOn w:val="Normal"/>
    <w:qFormat/>
    <w:rsid w:val="000b7fed"/>
    <w:pPr>
      <w:keepLines/>
      <w:ind w:left="1702" w:hanging="1418"/>
    </w:pPr>
    <w:rPr/>
  </w:style>
  <w:style w:type="paragraph" w:styleId="FP" w:customStyle="1">
    <w:name w:val="FP"/>
    <w:basedOn w:val="Normal"/>
    <w:qFormat/>
    <w:rsid w:val="000b7fed"/>
    <w:pPr>
      <w:spacing w:before="0" w:after="0"/>
    </w:pPr>
    <w:rPr/>
  </w:style>
  <w:style w:type="paragraph" w:styleId="LD" w:customStyle="1">
    <w:name w:val="LD"/>
    <w:qFormat/>
    <w:rsid w:val="000b7fed"/>
    <w:pPr>
      <w:keepNext w:val="true"/>
      <w:keepLines/>
      <w:widowControl/>
      <w:suppressAutoHyphens w:val="true"/>
      <w:bidi w:val="0"/>
      <w:spacing w:lineRule="exact" w:line="180" w:before="0" w:after="0"/>
      <w:jc w:val="left"/>
    </w:pPr>
    <w:rPr>
      <w:rFonts w:ascii="MS LineDraw" w:hAnsi="MS LineDraw" w:eastAsia="宋体" w:cs="Times New Roman"/>
      <w:color w:val="auto"/>
      <w:kern w:val="0"/>
      <w:sz w:val="20"/>
      <w:szCs w:val="20"/>
      <w:lang w:val="en-GB" w:eastAsia="en-US" w:bidi="ar-SA"/>
    </w:rPr>
  </w:style>
  <w:style w:type="paragraph" w:styleId="NW" w:customStyle="1">
    <w:name w:val="NW"/>
    <w:basedOn w:val="NO"/>
    <w:qFormat/>
    <w:rsid w:val="000b7fed"/>
    <w:pPr>
      <w:spacing w:before="0" w:after="0"/>
    </w:pPr>
    <w:rPr/>
  </w:style>
  <w:style w:type="paragraph" w:styleId="EW" w:customStyle="1">
    <w:name w:val="EW"/>
    <w:basedOn w:val="EX"/>
    <w:qFormat/>
    <w:rsid w:val="000b7fed"/>
    <w:pPr>
      <w:spacing w:before="0" w:after="0"/>
    </w:pPr>
    <w:rPr/>
  </w:style>
  <w:style w:type="paragraph" w:styleId="Contents6">
    <w:name w:val="TOC 6"/>
    <w:basedOn w:val="Contents5"/>
    <w:next w:val="Normal"/>
    <w:semiHidden/>
    <w:rsid w:val="000b7fed"/>
    <w:pPr>
      <w:ind w:left="1985" w:hanging="1985"/>
    </w:pPr>
    <w:rPr/>
  </w:style>
  <w:style w:type="paragraph" w:styleId="Contents7">
    <w:name w:val="TOC 7"/>
    <w:basedOn w:val="Contents6"/>
    <w:next w:val="Normal"/>
    <w:semiHidden/>
    <w:rsid w:val="000b7fed"/>
    <w:pPr>
      <w:ind w:left="2268" w:hanging="2268"/>
    </w:pPr>
    <w:rPr/>
  </w:style>
  <w:style w:type="paragraph" w:styleId="ListBullet2">
    <w:name w:val="List Bullet 2"/>
    <w:basedOn w:val="ListBullet"/>
    <w:qFormat/>
    <w:rsid w:val="000b7fed"/>
    <w:pPr>
      <w:ind w:left="851" w:hanging="0"/>
    </w:pPr>
    <w:rPr/>
  </w:style>
  <w:style w:type="paragraph" w:styleId="ListBullet">
    <w:name w:val="List Bullet"/>
    <w:basedOn w:val="List"/>
    <w:qFormat/>
    <w:rsid w:val="000b7fed"/>
    <w:pPr/>
    <w:rPr/>
  </w:style>
  <w:style w:type="paragraph" w:styleId="EQ" w:customStyle="1">
    <w:name w:val="EQ"/>
    <w:basedOn w:val="Normal"/>
    <w:next w:val="Normal"/>
    <w:qFormat/>
    <w:rsid w:val="000b7fed"/>
    <w:pPr>
      <w:keepLines/>
      <w:tabs>
        <w:tab w:val="clear" w:pos="284"/>
        <w:tab w:val="center" w:pos="4536" w:leader="none"/>
        <w:tab w:val="right" w:pos="9072" w:leader="none"/>
      </w:tabs>
    </w:pPr>
    <w:rPr/>
  </w:style>
  <w:style w:type="paragraph" w:styleId="TH" w:customStyle="1">
    <w:name w:val="TH"/>
    <w:basedOn w:val="Normal"/>
    <w:qFormat/>
    <w:rsid w:val="000b7fed"/>
    <w:pPr>
      <w:keepNext w:val="true"/>
      <w:keepLines/>
      <w:spacing w:before="60" w:after="180"/>
      <w:jc w:val="center"/>
    </w:pPr>
    <w:rPr>
      <w:rFonts w:ascii="Arial" w:hAnsi="Arial"/>
      <w:b/>
    </w:rPr>
  </w:style>
  <w:style w:type="paragraph" w:styleId="NF" w:customStyle="1">
    <w:name w:val="NF"/>
    <w:basedOn w:val="NO"/>
    <w:qFormat/>
    <w:rsid w:val="000b7fed"/>
    <w:pPr>
      <w:keepNext w:val="true"/>
      <w:spacing w:before="0" w:after="0"/>
    </w:pPr>
    <w:rPr>
      <w:rFonts w:ascii="Arial" w:hAnsi="Arial"/>
      <w:sz w:val="18"/>
    </w:rPr>
  </w:style>
  <w:style w:type="paragraph" w:styleId="PL" w:customStyle="1">
    <w:name w:val="PL"/>
    <w:qFormat/>
    <w:rsid w:val="000b7fed"/>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left"/>
    </w:pPr>
    <w:rPr>
      <w:rFonts w:ascii="Courier New" w:hAnsi="Courier New" w:eastAsia="宋体" w:cs="Times New Roman"/>
      <w:color w:val="auto"/>
      <w:kern w:val="0"/>
      <w:sz w:val="16"/>
      <w:szCs w:val="20"/>
      <w:lang w:val="en-GB" w:eastAsia="en-US" w:bidi="ar-SA"/>
    </w:rPr>
  </w:style>
  <w:style w:type="paragraph" w:styleId="TAR" w:customStyle="1">
    <w:name w:val="TAR"/>
    <w:basedOn w:val="TAL"/>
    <w:qFormat/>
    <w:rsid w:val="000b7fed"/>
    <w:pPr>
      <w:jc w:val="right"/>
    </w:pPr>
    <w:rPr/>
  </w:style>
  <w:style w:type="paragraph" w:styleId="H6" w:customStyle="1">
    <w:name w:val="H6"/>
    <w:basedOn w:val="Heading5"/>
    <w:next w:val="Normal"/>
    <w:qFormat/>
    <w:rsid w:val="000b7fed"/>
    <w:pPr>
      <w:ind w:left="1985" w:hanging="1985"/>
    </w:pPr>
    <w:rPr>
      <w:sz w:val="20"/>
    </w:rPr>
  </w:style>
  <w:style w:type="paragraph" w:styleId="TAN" w:customStyle="1">
    <w:name w:val="TAN"/>
    <w:basedOn w:val="TAL"/>
    <w:qFormat/>
    <w:rsid w:val="000b7fed"/>
    <w:pPr>
      <w:ind w:left="851" w:hanging="851"/>
    </w:pPr>
    <w:rPr/>
  </w:style>
  <w:style w:type="paragraph" w:styleId="TAL" w:customStyle="1">
    <w:name w:val="TAL"/>
    <w:basedOn w:val="Normal"/>
    <w:qFormat/>
    <w:rsid w:val="000b7fed"/>
    <w:pPr>
      <w:keepNext w:val="true"/>
      <w:keepLines/>
      <w:spacing w:before="0" w:after="0"/>
    </w:pPr>
    <w:rPr>
      <w:rFonts w:ascii="Arial" w:hAnsi="Arial"/>
      <w:sz w:val="18"/>
    </w:rPr>
  </w:style>
  <w:style w:type="paragraph" w:styleId="ZA" w:customStyle="1">
    <w:name w:val="ZA"/>
    <w:qFormat/>
    <w:rsid w:val="000b7fed"/>
    <w:pPr>
      <w:widowControl w:val="false"/>
      <w:pBdr>
        <w:bottom w:val="single" w:sz="12" w:space="1" w:color="000000"/>
      </w:pBdr>
      <w:suppressAutoHyphens w:val="true"/>
      <w:bidi w:val="0"/>
      <w:spacing w:before="0" w:after="0"/>
      <w:jc w:val="right"/>
    </w:pPr>
    <w:rPr>
      <w:rFonts w:ascii="Arial" w:hAnsi="Arial" w:eastAsia="宋体" w:cs="Times New Roman"/>
      <w:color w:val="auto"/>
      <w:kern w:val="0"/>
      <w:sz w:val="40"/>
      <w:szCs w:val="20"/>
      <w:lang w:val="en-GB" w:eastAsia="en-US" w:bidi="ar-SA"/>
    </w:rPr>
  </w:style>
  <w:style w:type="paragraph" w:styleId="ZB" w:customStyle="1">
    <w:name w:val="ZB"/>
    <w:qFormat/>
    <w:rsid w:val="000b7fed"/>
    <w:pPr>
      <w:widowControl w:val="false"/>
      <w:suppressAutoHyphens w:val="true"/>
      <w:bidi w:val="0"/>
      <w:spacing w:before="0" w:after="0"/>
      <w:ind w:right="28" w:hanging="0"/>
      <w:jc w:val="right"/>
    </w:pPr>
    <w:rPr>
      <w:rFonts w:ascii="Arial" w:hAnsi="Arial" w:eastAsia="宋体" w:cs="Times New Roman"/>
      <w:i/>
      <w:color w:val="auto"/>
      <w:kern w:val="0"/>
      <w:sz w:val="20"/>
      <w:szCs w:val="20"/>
      <w:lang w:val="en-GB" w:eastAsia="en-US" w:bidi="ar-SA"/>
    </w:rPr>
  </w:style>
  <w:style w:type="paragraph" w:styleId="ZD" w:customStyle="1">
    <w:name w:val="ZD"/>
    <w:qFormat/>
    <w:rsid w:val="000b7fed"/>
    <w:pPr>
      <w:widowControl w:val="false"/>
      <w:suppressAutoHyphens w:val="true"/>
      <w:bidi w:val="0"/>
      <w:spacing w:before="0" w:after="0"/>
      <w:jc w:val="left"/>
    </w:pPr>
    <w:rPr>
      <w:rFonts w:ascii="Arial" w:hAnsi="Arial" w:eastAsia="宋体" w:cs="Times New Roman"/>
      <w:color w:val="auto"/>
      <w:kern w:val="0"/>
      <w:sz w:val="32"/>
      <w:szCs w:val="20"/>
      <w:lang w:val="en-GB" w:eastAsia="en-US" w:bidi="ar-SA"/>
    </w:rPr>
  </w:style>
  <w:style w:type="paragraph" w:styleId="ZU" w:customStyle="1">
    <w:name w:val="ZU"/>
    <w:qFormat/>
    <w:rsid w:val="000b7fed"/>
    <w:pPr>
      <w:widowControl w:val="false"/>
      <w:pBdr>
        <w:top w:val="single" w:sz="12" w:space="1" w:color="000000"/>
      </w:pBdr>
      <w:suppressAutoHyphens w:val="true"/>
      <w:bidi w:val="0"/>
      <w:spacing w:before="0" w:after="0"/>
      <w:jc w:val="right"/>
    </w:pPr>
    <w:rPr>
      <w:rFonts w:ascii="Arial" w:hAnsi="Arial" w:eastAsia="宋体" w:cs="Times New Roman"/>
      <w:color w:val="auto"/>
      <w:kern w:val="0"/>
      <w:sz w:val="20"/>
      <w:szCs w:val="20"/>
      <w:lang w:val="en-GB" w:eastAsia="en-US" w:bidi="ar-SA"/>
    </w:rPr>
  </w:style>
  <w:style w:type="paragraph" w:styleId="ZV" w:customStyle="1">
    <w:name w:val="ZV"/>
    <w:basedOn w:val="ZU"/>
    <w:qFormat/>
    <w:rsid w:val="000b7fed"/>
    <w:pPr/>
    <w:rPr/>
  </w:style>
  <w:style w:type="paragraph" w:styleId="ZG" w:customStyle="1">
    <w:name w:val="ZG"/>
    <w:qFormat/>
    <w:rsid w:val="000b7fed"/>
    <w:pPr>
      <w:widowControl w:val="false"/>
      <w:suppressAutoHyphens w:val="true"/>
      <w:bidi w:val="0"/>
      <w:spacing w:before="0" w:after="0"/>
      <w:jc w:val="right"/>
    </w:pPr>
    <w:rPr>
      <w:rFonts w:ascii="Arial" w:hAnsi="Arial" w:eastAsia="宋体" w:cs="Times New Roman"/>
      <w:color w:val="auto"/>
      <w:kern w:val="0"/>
      <w:sz w:val="20"/>
      <w:szCs w:val="20"/>
      <w:lang w:val="en-GB" w:eastAsia="en-US" w:bidi="ar-SA"/>
    </w:rPr>
  </w:style>
  <w:style w:type="paragraph" w:styleId="EditorsNote" w:customStyle="1">
    <w:name w:val="Editor's Note"/>
    <w:basedOn w:val="NO"/>
    <w:qFormat/>
    <w:rsid w:val="000b7fed"/>
    <w:pPr/>
    <w:rPr>
      <w:color w:val="FF0000"/>
    </w:rPr>
  </w:style>
  <w:style w:type="paragraph" w:styleId="B1" w:customStyle="1">
    <w:name w:val="B1"/>
    <w:basedOn w:val="List"/>
    <w:link w:val="B1Char1"/>
    <w:qFormat/>
    <w:rsid w:val="000b7fed"/>
    <w:pPr/>
    <w:rPr/>
  </w:style>
  <w:style w:type="paragraph" w:styleId="B2" w:customStyle="1">
    <w:name w:val="B2"/>
    <w:basedOn w:val="ListBullet3"/>
    <w:qFormat/>
    <w:rsid w:val="000b7fed"/>
    <w:pPr/>
    <w:rPr/>
  </w:style>
  <w:style w:type="paragraph" w:styleId="B3" w:customStyle="1">
    <w:name w:val="B3"/>
    <w:basedOn w:val="ListBullet4"/>
    <w:qFormat/>
    <w:rsid w:val="000b7fed"/>
    <w:pPr/>
    <w:rPr/>
  </w:style>
  <w:style w:type="paragraph" w:styleId="B4" w:customStyle="1">
    <w:name w:val="B4"/>
    <w:basedOn w:val="ListBullet5"/>
    <w:qFormat/>
    <w:rsid w:val="000b7fed"/>
    <w:pPr/>
    <w:rPr/>
  </w:style>
  <w:style w:type="paragraph" w:styleId="B5" w:customStyle="1">
    <w:name w:val="B5"/>
    <w:basedOn w:val="ListNumber"/>
    <w:qFormat/>
    <w:rsid w:val="000b7fed"/>
    <w:pPr/>
    <w:rPr/>
  </w:style>
  <w:style w:type="paragraph" w:styleId="Footer">
    <w:name w:val="Footer"/>
    <w:basedOn w:val="Header"/>
    <w:rsid w:val="000b7fed"/>
    <w:pPr>
      <w:jc w:val="center"/>
    </w:pPr>
    <w:rPr>
      <w:i/>
    </w:rPr>
  </w:style>
  <w:style w:type="paragraph" w:styleId="ZTD" w:customStyle="1">
    <w:name w:val="ZTD"/>
    <w:basedOn w:val="ZB"/>
    <w:qFormat/>
    <w:rsid w:val="000b7fed"/>
    <w:pPr/>
    <w:rPr>
      <w:i w:val="false"/>
      <w:sz w:val="40"/>
    </w:rPr>
  </w:style>
  <w:style w:type="paragraph" w:styleId="CRCoverPage" w:customStyle="1">
    <w:name w:val="CR Cover Page"/>
    <w:qFormat/>
    <w:rsid w:val="000b7fed"/>
    <w:pPr>
      <w:widowControl/>
      <w:suppressAutoHyphens w:val="true"/>
      <w:bidi w:val="0"/>
      <w:spacing w:before="0" w:after="120"/>
      <w:jc w:val="left"/>
    </w:pPr>
    <w:rPr>
      <w:rFonts w:ascii="Arial" w:hAnsi="Arial" w:eastAsia="宋体" w:cs="Times New Roman"/>
      <w:color w:val="auto"/>
      <w:kern w:val="0"/>
      <w:sz w:val="20"/>
      <w:szCs w:val="20"/>
      <w:lang w:val="en-GB" w:eastAsia="en-US" w:bidi="ar-SA"/>
    </w:rPr>
  </w:style>
  <w:style w:type="paragraph" w:styleId="Tdocheader" w:customStyle="1">
    <w:name w:val="tdoc-header"/>
    <w:qFormat/>
    <w:rsid w:val="000b7fed"/>
    <w:pPr>
      <w:widowControl/>
      <w:suppressAutoHyphens w:val="true"/>
      <w:bidi w:val="0"/>
      <w:spacing w:before="0" w:after="0"/>
      <w:jc w:val="left"/>
    </w:pPr>
    <w:rPr>
      <w:rFonts w:ascii="Arial" w:hAnsi="Arial" w:eastAsia="宋体" w:cs="Times New Roman"/>
      <w:color w:val="auto"/>
      <w:kern w:val="0"/>
      <w:sz w:val="24"/>
      <w:szCs w:val="20"/>
      <w:lang w:val="en-GB" w:eastAsia="en-US" w:bidi="ar-SA"/>
    </w:rPr>
  </w:style>
  <w:style w:type="paragraph" w:styleId="Annotationtext">
    <w:name w:val="annotation text"/>
    <w:basedOn w:val="Normal"/>
    <w:semiHidden/>
    <w:qFormat/>
    <w:rsid w:val="000b7fed"/>
    <w:pPr/>
    <w:rPr/>
  </w:style>
  <w:style w:type="paragraph" w:styleId="BalloonText">
    <w:name w:val="Balloon Text"/>
    <w:basedOn w:val="Normal"/>
    <w:semiHidden/>
    <w:qFormat/>
    <w:rsid w:val="000b7fed"/>
    <w:pPr/>
    <w:rPr>
      <w:rFonts w:ascii="Tahoma" w:hAnsi="Tahoma" w:cs="Tahoma"/>
      <w:sz w:val="16"/>
      <w:szCs w:val="16"/>
    </w:rPr>
  </w:style>
  <w:style w:type="paragraph" w:styleId="Annotationsubject">
    <w:name w:val="annotation subject"/>
    <w:basedOn w:val="Annotationtext"/>
    <w:next w:val="Annotationtext"/>
    <w:semiHidden/>
    <w:qFormat/>
    <w:rsid w:val="000b7fed"/>
    <w:pPr/>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pPr/>
    <w:rPr/>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hanging="0"/>
    </w:pPr>
    <w:rPr>
      <w:rFonts w:ascii="Calibri" w:hAnsi="Calibri" w:eastAsia="宋体" w:cs="" w:asciiTheme="minorHAnsi" w:cstheme="minorBidi" w:eastAsiaTheme="minorEastAsia" w:hAnsiTheme="minorHAnsi"/>
      <w:i/>
      <w:iCs/>
      <w:color w:val="4F81BD" w:themeColor="accent1"/>
    </w:rPr>
  </w:style>
  <w:style w:type="paragraph" w:styleId="BodyText2">
    <w:name w:val="Body Text 2"/>
    <w:basedOn w:val="Normal"/>
    <w:semiHidden/>
    <w:unhideWhenUsed/>
    <w:qFormat/>
    <w:rsid w:val="00887da0"/>
    <w:pPr>
      <w:spacing w:lineRule="auto" w:line="480" w:before="0" w:after="120"/>
    </w:pPr>
    <w:rPr/>
  </w:style>
  <w:style w:type="paragraph" w:styleId="BodyText3">
    <w:name w:val="Body Text 3"/>
    <w:basedOn w:val="Normal"/>
    <w:link w:val="31"/>
    <w:semiHidden/>
    <w:unhideWhenUsed/>
    <w:qFormat/>
    <w:rsid w:val="00887da0"/>
    <w:pPr>
      <w:spacing w:before="0" w:after="120"/>
    </w:pPr>
    <w:rPr>
      <w:sz w:val="16"/>
      <w:szCs w:val="16"/>
    </w:rPr>
  </w:style>
  <w:style w:type="paragraph" w:styleId="TextBodyIndent">
    <w:name w:val="Body Text Indent"/>
    <w:basedOn w:val="Normal"/>
    <w:semiHidden/>
    <w:unhideWhenUsed/>
    <w:rsid w:val="00887da0"/>
    <w:pPr>
      <w:spacing w:before="0" w:after="120"/>
      <w:ind w:left="283" w:hanging="0"/>
    </w:pPr>
    <w:rPr/>
  </w:style>
  <w:style w:type="paragraph" w:styleId="BodyTextFirstIndent2">
    <w:name w:val="Body Text First Indent 2"/>
    <w:basedOn w:val="TextBodyIndent"/>
    <w:semiHidden/>
    <w:unhideWhenUsed/>
    <w:qFormat/>
    <w:rsid w:val="00887da0"/>
    <w:pPr>
      <w:spacing w:before="0" w:after="180"/>
      <w:ind w:left="360" w:firstLine="360"/>
    </w:pPr>
    <w:rPr/>
  </w:style>
  <w:style w:type="paragraph" w:styleId="BodyTextIndent2">
    <w:name w:val="Body Text Indent 2"/>
    <w:basedOn w:val="Normal"/>
    <w:semiHidden/>
    <w:unhideWhenUsed/>
    <w:qFormat/>
    <w:rsid w:val="00887da0"/>
    <w:pPr>
      <w:spacing w:lineRule="auto" w:line="480" w:before="0" w:after="120"/>
      <w:ind w:left="283" w:hanging="0"/>
    </w:pPr>
    <w:rPr/>
  </w:style>
  <w:style w:type="paragraph" w:styleId="BodyTextIndent3">
    <w:name w:val="Body Text Indent 3"/>
    <w:basedOn w:val="Normal"/>
    <w:semiHidden/>
    <w:unhideWhenUsed/>
    <w:qFormat/>
    <w:rsid w:val="00887da0"/>
    <w:pPr>
      <w:spacing w:before="0" w:after="120"/>
      <w:ind w:left="283" w:hanging="0"/>
    </w:pPr>
    <w:rPr>
      <w:sz w:val="16"/>
      <w:szCs w:val="16"/>
    </w:rPr>
  </w:style>
  <w:style w:type="paragraph" w:styleId="Closing">
    <w:name w:val="Closing"/>
    <w:basedOn w:val="Normal"/>
    <w:semiHidden/>
    <w:unhideWhenUsed/>
    <w:qFormat/>
    <w:rsid w:val="00887da0"/>
    <w:pPr>
      <w:spacing w:before="0" w:after="0"/>
      <w:ind w:left="4252" w:hanging="0"/>
    </w:pPr>
    <w:rPr/>
  </w:style>
  <w:style w:type="paragraph" w:styleId="Date">
    <w:name w:val="Date"/>
    <w:basedOn w:val="Normal"/>
    <w:next w:val="Normal"/>
    <w:qFormat/>
    <w:rsid w:val="00887da0"/>
    <w:pPr/>
    <w:rPr/>
  </w:style>
  <w:style w:type="paragraph" w:styleId="EmailSignature">
    <w:name w:val="E-mail Signature"/>
    <w:basedOn w:val="Normal"/>
    <w:semiHidden/>
    <w:unhideWhenUsed/>
    <w:qFormat/>
    <w:rsid w:val="00887da0"/>
    <w:pPr>
      <w:spacing w:before="0" w:after="0"/>
    </w:pPr>
    <w:rPr/>
  </w:style>
  <w:style w:type="paragraph" w:styleId="Endnote">
    <w:name w:val="Endnote Text"/>
    <w:basedOn w:val="Normal"/>
    <w:semiHidden/>
    <w:unhideWhenUsed/>
    <w:rsid w:val="00887da0"/>
    <w:pPr>
      <w:spacing w:before="0" w:after="0"/>
    </w:pPr>
    <w:rPr/>
  </w:style>
  <w:style w:type="paragraph" w:styleId="Envelopeaddress">
    <w:name w:val="envelope address"/>
    <w:basedOn w:val="Normal"/>
    <w:semiHidden/>
    <w:unhideWhenUsed/>
    <w:qFormat/>
    <w:rsid w:val="00887da0"/>
    <w:pPr>
      <w:spacing w:before="0" w:after="0"/>
      <w:ind w:left="2880" w:hanging="0"/>
    </w:pPr>
    <w:rPr>
      <w:rFonts w:ascii="Cambria" w:hAnsi="Cambria" w:eastAsia="黑体" w:cs="" w:asciiTheme="majorHAnsi" w:cstheme="majorBidi" w:eastAsiaTheme="majorEastAsia" w:hAnsiTheme="majorHAnsi"/>
      <w:sz w:val="24"/>
      <w:szCs w:val="24"/>
    </w:rPr>
  </w:style>
  <w:style w:type="paragraph" w:styleId="Envelopereturn">
    <w:name w:val="envelope return"/>
    <w:basedOn w:val="Normal"/>
    <w:semiHidden/>
    <w:unhideWhenUsed/>
    <w:qFormat/>
    <w:rsid w:val="00887da0"/>
    <w:pPr>
      <w:spacing w:before="0" w:after="0"/>
    </w:pPr>
    <w:rPr>
      <w:rFonts w:ascii="Cambria" w:hAnsi="Cambria" w:eastAsia="黑体" w:cs="" w:asciiTheme="majorHAnsi" w:cstheme="majorBidi" w:eastAsiaTheme="majorEastAsia" w:hAnsiTheme="majorHAnsi"/>
    </w:rPr>
  </w:style>
  <w:style w:type="paragraph" w:styleId="HTMLAddress">
    <w:name w:val="HTML Address"/>
    <w:basedOn w:val="Normal"/>
    <w:link w:val="HTML"/>
    <w:semiHidden/>
    <w:unhideWhenUsed/>
    <w:qFormat/>
    <w:rsid w:val="00887da0"/>
    <w:pPr>
      <w:spacing w:before="0" w:after="0"/>
    </w:pPr>
    <w:rPr>
      <w:i/>
      <w:iCs/>
    </w:rPr>
  </w:style>
  <w:style w:type="paragraph" w:styleId="HTMLPreformatted">
    <w:name w:val="HTML Preformatted"/>
    <w:basedOn w:val="Normal"/>
    <w:link w:val="HTML1"/>
    <w:semiHidden/>
    <w:unhideWhenUsed/>
    <w:qFormat/>
    <w:rsid w:val="00887da0"/>
    <w:pPr>
      <w:spacing w:before="0" w:after="0"/>
    </w:pPr>
    <w:rPr>
      <w:rFonts w:ascii="Consolas" w:hAnsi="Consolas"/>
    </w:rPr>
  </w:style>
  <w:style w:type="paragraph" w:styleId="Index3">
    <w:name w:val="index 3"/>
    <w:basedOn w:val="Normal"/>
    <w:next w:val="Normal"/>
    <w:semiHidden/>
    <w:unhideWhenUsed/>
    <w:qFormat/>
    <w:rsid w:val="00887da0"/>
    <w:pPr>
      <w:spacing w:before="0" w:after="0"/>
      <w:ind w:left="600" w:hanging="200"/>
    </w:pPr>
    <w:rPr/>
  </w:style>
  <w:style w:type="paragraph" w:styleId="Index4">
    <w:name w:val="index 4"/>
    <w:basedOn w:val="Normal"/>
    <w:next w:val="Normal"/>
    <w:semiHidden/>
    <w:unhideWhenUsed/>
    <w:qFormat/>
    <w:rsid w:val="00887da0"/>
    <w:pPr>
      <w:spacing w:before="0" w:after="0"/>
      <w:ind w:left="800" w:hanging="200"/>
    </w:pPr>
    <w:rPr/>
  </w:style>
  <w:style w:type="paragraph" w:styleId="Index5">
    <w:name w:val="index 5"/>
    <w:basedOn w:val="Normal"/>
    <w:next w:val="Normal"/>
    <w:semiHidden/>
    <w:unhideWhenUsed/>
    <w:qFormat/>
    <w:rsid w:val="00887da0"/>
    <w:pPr>
      <w:spacing w:before="0" w:after="0"/>
      <w:ind w:left="1000" w:hanging="200"/>
    </w:pPr>
    <w:rPr/>
  </w:style>
  <w:style w:type="paragraph" w:styleId="Index6">
    <w:name w:val="index 6"/>
    <w:basedOn w:val="Normal"/>
    <w:next w:val="Normal"/>
    <w:semiHidden/>
    <w:unhideWhenUsed/>
    <w:qFormat/>
    <w:rsid w:val="00887da0"/>
    <w:pPr>
      <w:spacing w:before="0" w:after="0"/>
      <w:ind w:left="1200" w:hanging="200"/>
    </w:pPr>
    <w:rPr/>
  </w:style>
  <w:style w:type="paragraph" w:styleId="Index7">
    <w:name w:val="index 7"/>
    <w:basedOn w:val="Normal"/>
    <w:next w:val="Normal"/>
    <w:semiHidden/>
    <w:unhideWhenUsed/>
    <w:qFormat/>
    <w:rsid w:val="00887da0"/>
    <w:pPr>
      <w:spacing w:before="0" w:after="0"/>
      <w:ind w:left="1400" w:hanging="200"/>
    </w:pPr>
    <w:rPr/>
  </w:style>
  <w:style w:type="paragraph" w:styleId="Index8">
    <w:name w:val="index 8"/>
    <w:basedOn w:val="Normal"/>
    <w:next w:val="Normal"/>
    <w:semiHidden/>
    <w:unhideWhenUsed/>
    <w:qFormat/>
    <w:rsid w:val="00887da0"/>
    <w:pPr>
      <w:spacing w:before="0" w:after="0"/>
      <w:ind w:left="1600" w:hanging="200"/>
    </w:pPr>
    <w:rPr/>
  </w:style>
  <w:style w:type="paragraph" w:styleId="Index9">
    <w:name w:val="index 9"/>
    <w:basedOn w:val="Normal"/>
    <w:next w:val="Normal"/>
    <w:semiHidden/>
    <w:unhideWhenUsed/>
    <w:qFormat/>
    <w:rsid w:val="00887da0"/>
    <w:pPr>
      <w:spacing w:before="0" w:after="0"/>
      <w:ind w:left="1800" w:hanging="200"/>
    </w:pPr>
    <w:rPr/>
  </w:style>
  <w:style w:type="paragraph" w:styleId="Indexheading">
    <w:name w:val="index heading"/>
    <w:basedOn w:val="Heading"/>
    <w:next w:val="Index1"/>
    <w:semiHidden/>
    <w:unhideWhenUsed/>
    <w:qFormat/>
    <w:rsid w:val="00887da0"/>
    <w:pPr/>
    <w:rPr/>
  </w:style>
  <w:style w:type="paragraph" w:styleId="IntenseQuote">
    <w:name w:val="Intense Quote"/>
    <w:basedOn w:val="Normal"/>
    <w:next w:val="Normal"/>
    <w:uiPriority w:val="30"/>
    <w:qFormat/>
    <w:rsid w:val="00887da0"/>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ListContinue">
    <w:name w:val="List Continue"/>
    <w:basedOn w:val="Normal"/>
    <w:semiHidden/>
    <w:unhideWhenUsed/>
    <w:qFormat/>
    <w:rsid w:val="00887da0"/>
    <w:pPr>
      <w:spacing w:before="0" w:after="120"/>
      <w:ind w:left="283" w:hanging="0"/>
      <w:contextualSpacing/>
    </w:pPr>
    <w:rPr/>
  </w:style>
  <w:style w:type="paragraph" w:styleId="ListContinue2">
    <w:name w:val="List Continue 2"/>
    <w:basedOn w:val="Normal"/>
    <w:semiHidden/>
    <w:unhideWhenUsed/>
    <w:qFormat/>
    <w:rsid w:val="00887da0"/>
    <w:pPr>
      <w:spacing w:before="0" w:after="120"/>
      <w:ind w:left="566" w:hanging="0"/>
      <w:contextualSpacing/>
    </w:pPr>
    <w:rPr/>
  </w:style>
  <w:style w:type="paragraph" w:styleId="ListContinue3">
    <w:name w:val="List Continue 3"/>
    <w:basedOn w:val="Normal"/>
    <w:semiHidden/>
    <w:unhideWhenUsed/>
    <w:qFormat/>
    <w:rsid w:val="00887da0"/>
    <w:pPr>
      <w:spacing w:before="0" w:after="120"/>
      <w:ind w:left="849" w:hanging="0"/>
      <w:contextualSpacing/>
    </w:pPr>
    <w:rPr/>
  </w:style>
  <w:style w:type="paragraph" w:styleId="ListContinue4">
    <w:name w:val="List Continue 4"/>
    <w:basedOn w:val="Normal"/>
    <w:semiHidden/>
    <w:unhideWhenUsed/>
    <w:qFormat/>
    <w:rsid w:val="00887da0"/>
    <w:pPr>
      <w:spacing w:before="0" w:after="120"/>
      <w:ind w:left="1132" w:hanging="0"/>
      <w:contextualSpacing/>
    </w:pPr>
    <w:rPr/>
  </w:style>
  <w:style w:type="paragraph" w:styleId="ListContinue5">
    <w:name w:val="List Continue 5"/>
    <w:basedOn w:val="Normal"/>
    <w:semiHidden/>
    <w:unhideWhenUsed/>
    <w:qFormat/>
    <w:rsid w:val="00887da0"/>
    <w:pPr>
      <w:spacing w:before="0" w:after="120"/>
      <w:ind w:left="1415" w:hanging="0"/>
      <w:contextualSpacing/>
    </w:pPr>
    <w:rPr/>
  </w:style>
  <w:style w:type="paragraph" w:styleId="ListNumber3">
    <w:name w:val="List Number 3"/>
    <w:basedOn w:val="Normal"/>
    <w:semiHidden/>
    <w:unhideWhenUsed/>
    <w:qFormat/>
    <w:rsid w:val="00887da0"/>
    <w:pPr>
      <w:spacing w:before="0" w:after="180"/>
      <w:contextualSpacing/>
    </w:pPr>
    <w:rPr/>
  </w:style>
  <w:style w:type="paragraph" w:styleId="ListNumber4">
    <w:name w:val="List Number 4"/>
    <w:basedOn w:val="Normal"/>
    <w:semiHidden/>
    <w:unhideWhenUsed/>
    <w:qFormat/>
    <w:rsid w:val="00887da0"/>
    <w:pPr>
      <w:spacing w:before="0" w:after="180"/>
      <w:contextualSpacing/>
    </w:pPr>
    <w:rPr/>
  </w:style>
  <w:style w:type="paragraph" w:styleId="ListNumber5">
    <w:name w:val="List Number 5"/>
    <w:basedOn w:val="Normal"/>
    <w:semiHidden/>
    <w:unhideWhenUsed/>
    <w:qFormat/>
    <w:rsid w:val="00887da0"/>
    <w:pPr>
      <w:spacing w:before="0" w:after="180"/>
      <w:contextualSpacing/>
    </w:pPr>
    <w:rPr/>
  </w:style>
  <w:style w:type="paragraph" w:styleId="ListParagraph">
    <w:name w:val="List Paragraph"/>
    <w:basedOn w:val="Normal"/>
    <w:uiPriority w:val="34"/>
    <w:qFormat/>
    <w:rsid w:val="00887da0"/>
    <w:pPr>
      <w:spacing w:before="0" w:after="180"/>
      <w:ind w:left="720" w:hanging="0"/>
      <w:contextualSpacing/>
    </w:pPr>
    <w:rPr/>
  </w:style>
  <w:style w:type="paragraph" w:styleId="Macro">
    <w:name w:val="macro"/>
    <w:semiHidden/>
    <w:unhideWhenUsed/>
    <w:qFormat/>
    <w:rsid w:val="00887da0"/>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nsolas" w:hAnsi="Consolas" w:eastAsia="宋体" w:cs="Times New Roman"/>
      <w:color w:val="auto"/>
      <w:kern w:val="0"/>
      <w:sz w:val="20"/>
      <w:szCs w:val="20"/>
      <w:lang w:val="en-GB" w:eastAsia="en-US" w:bidi="ar-SA"/>
    </w:rPr>
  </w:style>
  <w:style w:type="paragraph" w:styleId="MessageHeader">
    <w:name w:val="Message Header"/>
    <w:basedOn w:val="Normal"/>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mbria" w:hAnsi="Cambria" w:eastAsia="黑体" w:cs="" w:asciiTheme="majorHAnsi" w:cstheme="majorBidi" w:eastAsiaTheme="majorEastAsia" w:hAnsiTheme="majorHAnsi"/>
      <w:sz w:val="24"/>
      <w:szCs w:val="24"/>
    </w:rPr>
  </w:style>
  <w:style w:type="paragraph" w:styleId="NoSpacing">
    <w:name w:val="No Spacing"/>
    <w:uiPriority w:val="1"/>
    <w:qFormat/>
    <w:rsid w:val="00887da0"/>
    <w:pPr>
      <w:widowControl/>
      <w:suppressAutoHyphens w:val="true"/>
      <w:bidi w:val="0"/>
      <w:spacing w:before="0" w:after="0"/>
      <w:jc w:val="left"/>
    </w:pPr>
    <w:rPr>
      <w:rFonts w:ascii="Times New Roman" w:hAnsi="Times New Roman" w:eastAsia="宋体" w:cs="Times New Roman"/>
      <w:color w:val="auto"/>
      <w:kern w:val="0"/>
      <w:sz w:val="20"/>
      <w:szCs w:val="20"/>
      <w:lang w:val="en-GB" w:eastAsia="en-US" w:bidi="ar-SA"/>
    </w:rPr>
  </w:style>
  <w:style w:type="paragraph" w:styleId="NormalWeb">
    <w:name w:val="Normal (Web)"/>
    <w:basedOn w:val="Normal"/>
    <w:semiHidden/>
    <w:unhideWhenUsed/>
    <w:qFormat/>
    <w:rsid w:val="00887da0"/>
    <w:pPr/>
    <w:rPr>
      <w:sz w:val="24"/>
      <w:szCs w:val="24"/>
    </w:rPr>
  </w:style>
  <w:style w:type="paragraph" w:styleId="NormalIndent">
    <w:name w:val="Normal Indent"/>
    <w:basedOn w:val="Normal"/>
    <w:semiHidden/>
    <w:unhideWhenUsed/>
    <w:qFormat/>
    <w:rsid w:val="00887da0"/>
    <w:pPr>
      <w:ind w:left="720" w:hanging="0"/>
    </w:pPr>
    <w:rPr/>
  </w:style>
  <w:style w:type="paragraph" w:styleId="NoteHeading">
    <w:name w:val="Note Heading"/>
    <w:basedOn w:val="Normal"/>
    <w:next w:val="Normal"/>
    <w:semiHidden/>
    <w:unhideWhenUsed/>
    <w:qFormat/>
    <w:rsid w:val="00887da0"/>
    <w:pPr>
      <w:spacing w:before="0" w:after="0"/>
    </w:pPr>
    <w:rPr/>
  </w:style>
  <w:style w:type="paragraph" w:styleId="PlainText">
    <w:name w:val="Plain Text"/>
    <w:basedOn w:val="Normal"/>
    <w:semiHidden/>
    <w:unhideWhenUsed/>
    <w:qFormat/>
    <w:rsid w:val="00887da0"/>
    <w:pPr>
      <w:spacing w:before="0" w:after="0"/>
    </w:pPr>
    <w:rPr>
      <w:rFonts w:ascii="Consolas" w:hAnsi="Consolas"/>
      <w:sz w:val="21"/>
      <w:szCs w:val="21"/>
    </w:rPr>
  </w:style>
  <w:style w:type="paragraph" w:styleId="Quote">
    <w:name w:val="Quote"/>
    <w:basedOn w:val="Normal"/>
    <w:next w:val="Normal"/>
    <w:uiPriority w:val="29"/>
    <w:qFormat/>
    <w:rsid w:val="00887da0"/>
    <w:pPr>
      <w:spacing w:before="200" w:after="160"/>
      <w:ind w:left="864" w:right="864" w:hanging="0"/>
      <w:jc w:val="center"/>
    </w:pPr>
    <w:rPr>
      <w:i/>
      <w:iCs/>
      <w:color w:val="404040" w:themeColor="text1" w:themeTint="bf"/>
    </w:rPr>
  </w:style>
  <w:style w:type="paragraph" w:styleId="ComplimentaryClose">
    <w:name w:val="Salutation"/>
    <w:basedOn w:val="Normal"/>
    <w:next w:val="Normal"/>
    <w:rsid w:val="00887da0"/>
    <w:pPr/>
    <w:rPr/>
  </w:style>
  <w:style w:type="paragraph" w:styleId="Signature">
    <w:name w:val="Signature"/>
    <w:basedOn w:val="Normal"/>
    <w:semiHidden/>
    <w:unhideWhenUsed/>
    <w:rsid w:val="00887da0"/>
    <w:pPr>
      <w:spacing w:before="0" w:after="0"/>
      <w:ind w:left="4252" w:hanging="0"/>
    </w:pPr>
    <w:rPr/>
  </w:style>
  <w:style w:type="paragraph" w:styleId="Subtitle">
    <w:name w:val="Subtitle"/>
    <w:basedOn w:val="Normal"/>
    <w:next w:val="Normal"/>
    <w:qFormat/>
    <w:rsid w:val="00887da0"/>
    <w:pPr>
      <w:spacing w:before="0" w:after="160"/>
    </w:pPr>
    <w:rPr>
      <w:rFonts w:ascii="Calibri" w:hAnsi="Calibri" w:eastAsia="宋体"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before="0" w:after="0"/>
      <w:ind w:left="200" w:hanging="200"/>
    </w:pPr>
    <w:rPr/>
  </w:style>
  <w:style w:type="paragraph" w:styleId="Tableoffigures">
    <w:name w:val="table of figures"/>
    <w:basedOn w:val="Normal"/>
    <w:next w:val="Normal"/>
    <w:semiHidden/>
    <w:unhideWhenUsed/>
    <w:qFormat/>
    <w:rsid w:val="00887da0"/>
    <w:pPr>
      <w:spacing w:before="0" w:after="0"/>
    </w:pPr>
    <w:rPr/>
  </w:style>
  <w:style w:type="paragraph" w:styleId="Title">
    <w:name w:val="Title"/>
    <w:basedOn w:val="Normal"/>
    <w:next w:val="Normal"/>
    <w:qFormat/>
    <w:rsid w:val="00887da0"/>
    <w:pPr>
      <w:spacing w:before="0" w:after="0"/>
      <w:contextualSpacing/>
    </w:pPr>
    <w:rPr>
      <w:rFonts w:ascii="Cambria" w:hAnsi="Cambria" w:eastAsia="黑体" w:cs="" w:asciiTheme="majorHAnsi" w:cstheme="majorBidi" w:eastAsiaTheme="majorEastAsia" w:hAnsiTheme="majorHAnsi"/>
      <w:spacing w:val="-10"/>
      <w:kern w:val="2"/>
      <w:sz w:val="56"/>
      <w:szCs w:val="56"/>
    </w:rPr>
  </w:style>
  <w:style w:type="paragraph" w:styleId="Toaheading">
    <w:name w:val="toa heading"/>
    <w:basedOn w:val="Normal"/>
    <w:next w:val="Normal"/>
    <w:semiHidden/>
    <w:unhideWhenUsed/>
    <w:qFormat/>
    <w:rsid w:val="00887da0"/>
    <w:pPr>
      <w:spacing w:before="120" w:after="180"/>
    </w:pPr>
    <w:rPr>
      <w:rFonts w:ascii="Cambria" w:hAnsi="Cambria" w:eastAsia="黑体" w:cs="" w:asciiTheme="majorHAnsi" w:cstheme="majorBidi" w:eastAsiaTheme="majorEastAsia" w:hAnsiTheme="majorHAnsi"/>
      <w:b/>
      <w:bCs/>
      <w:sz w:val="24"/>
      <w:szCs w:val="24"/>
    </w:rPr>
  </w:style>
  <w:style w:type="paragraph" w:styleId="TOCHeading">
    <w:name w:val="TOC Heading"/>
    <w:basedOn w:val="Heading1"/>
    <w:next w:val="Normal"/>
    <w:uiPriority w:val="39"/>
    <w:semiHidden/>
    <w:unhideWhenUsed/>
    <w:qFormat/>
    <w:rsid w:val="00887da0"/>
    <w:pPr>
      <w:pBdr>
        <w:top w:val="nil"/>
      </w:pBdr>
      <w:spacing w:before="240" w:after="0"/>
      <w:ind w:left="0" w:hanging="0"/>
    </w:pPr>
    <w:rPr>
      <w:rFonts w:ascii="Cambria" w:hAnsi="Cambria" w:eastAsia="黑体" w:cs="" w:asciiTheme="majorHAnsi" w:cstheme="majorBidi" w:eastAsiaTheme="majorEastAsia" w:hAnsiTheme="majorHAnsi"/>
      <w:color w:val="365F91" w:themeColor="accent1" w:themeShade="bf"/>
      <w:sz w:val="32"/>
      <w:szCs w:val="32"/>
    </w:rPr>
  </w:style>
  <w:style w:type="paragraph" w:styleId="NotDone" w:customStyle="1">
    <w:name w:val="Not Done"/>
    <w:basedOn w:val="Normal"/>
    <w:qFormat/>
    <w:rsid w:val="00921737"/>
    <w:pPr>
      <w:keepNext w:val="true"/>
      <w:keepLines/>
      <w:widowControl w:val="false"/>
      <w:pBdr>
        <w:top w:val="single" w:sz="6" w:space="1" w:color="008000"/>
        <w:left w:val="single" w:sz="6" w:space="4" w:color="008000"/>
        <w:bottom w:val="single" w:sz="6" w:space="1" w:color="008000"/>
        <w:right w:val="single" w:sz="6" w:space="4" w:color="008000"/>
      </w:pBdr>
      <w:tabs>
        <w:tab w:val="clear" w:pos="284"/>
        <w:tab w:val="left" w:pos="1125" w:leader="none"/>
        <w:tab w:val="left" w:pos="1843" w:leader="none"/>
      </w:tabs>
      <w:spacing w:before="60" w:after="60"/>
      <w:jc w:val="both"/>
      <w:textAlignment w:val="baseline"/>
    </w:pPr>
    <w:rPr>
      <w:rFonts w:ascii="Arial" w:hAnsi="Arial"/>
      <w:b/>
      <w:color w:val="FF0000"/>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Revision">
    <w:name w:val="Revision"/>
    <w:uiPriority w:val="99"/>
    <w:semiHidden/>
    <w:qFormat/>
    <w:rsid w:val="005b6551"/>
    <w:pPr>
      <w:widowControl/>
      <w:suppressAutoHyphens w:val="false"/>
      <w:bidi w:val="0"/>
      <w:spacing w:before="0" w:after="0"/>
      <w:jc w:val="left"/>
    </w:pPr>
    <w:rPr>
      <w:rFonts w:ascii="Times New Roman" w:hAnsi="Times New Roman" w:eastAsia="宋体"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Change-Requests" TargetMode="External"/><Relationship Id="rId3" Type="http://schemas.openxmlformats.org/officeDocument/2006/relationships/hyperlink" Target="http://www.3gpp.org/ftp/Specs/html-info/21900.htm" TargetMode="External"/><Relationship Id="rId4" Type="http://schemas.openxmlformats.org/officeDocument/2006/relationships/header" Target="header1.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Relationship Id="rId13" Type="http://schemas.openxmlformats.org/officeDocument/2006/relationships/customXml" Target="../customXml/item5.xml"/><Relationship Id="rId14" Type="http://schemas.openxmlformats.org/officeDocument/2006/relationships/customXml" Target="../customXml/item6.xml"/>
</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5AIRPNAIUNRU-931754773-4850</_dlc_DocId>
    <_dlc_DocIdUrl xmlns="71c5aaf6-e6ce-465b-b873-5148d2a4c105">
      <Url>https://nokia.sharepoint.com/sites/c5g/security/_layouts/15/DocIdRedir.aspx?ID=5AIRPNAIUNRU-931754773-4850</Url>
      <Description>5AIRPNAIUNRU-931754773-4850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59a701f1a91321905c99c781009ae941">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33d790b14b732bc9b5a2329b221fc146"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392A5-427A-4EFC-8325-9AFFD811D630}">
  <ds:schemaRefs>
    <ds:schemaRef ds:uri="http://schemas.microsoft.com/sharepoint/events"/>
  </ds:schemaRefs>
</ds:datastoreItem>
</file>

<file path=customXml/itemProps2.xml><?xml version="1.0" encoding="utf-8"?>
<ds:datastoreItem xmlns:ds="http://schemas.openxmlformats.org/officeDocument/2006/customXml" ds:itemID="{9FA4D015-4B7F-4997-89AE-3BDE26C6A498}">
  <ds:schemaRefs>
    <ds:schemaRef ds:uri="Microsoft.SharePoint.Taxonomy.ContentTypeSync"/>
  </ds:schemaRefs>
</ds:datastoreItem>
</file>

<file path=customXml/itemProps3.xml><?xml version="1.0" encoding="utf-8"?>
<ds:datastoreItem xmlns:ds="http://schemas.openxmlformats.org/officeDocument/2006/customXml" ds:itemID="{1B509607-323E-44D4-9598-4584403936E4}">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4.xml><?xml version="1.0" encoding="utf-8"?>
<ds:datastoreItem xmlns:ds="http://schemas.openxmlformats.org/officeDocument/2006/customXml" ds:itemID="{76042F3B-2BE1-4580-BB89-9393AEB1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0F9B0-AF3C-421D-96D4-4EE6002BED9E}">
  <ds:schemaRefs>
    <ds:schemaRef ds:uri="http://schemas.openxmlformats.org/officeDocument/2006/bibliography"/>
  </ds:schemaRefs>
</ds:datastoreItem>
</file>

<file path=customXml/itemProps6.xml><?xml version="1.0" encoding="utf-8"?>
<ds:datastoreItem xmlns:ds="http://schemas.openxmlformats.org/officeDocument/2006/customXml" ds:itemID="{7DED2FE5-3C0D-49E4-8537-BE8E151B3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LibreOffice/6.4.7.2$Linux_X86_64 LibreOffice_project/40$Build-2</Application>
  <Pages>6</Pages>
  <Words>1875</Words>
  <Characters>10186</Characters>
  <CharactersWithSpaces>12004</CharactersWithSpaces>
  <Paragraphs>99</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2024-11-12T16:13:00Z</dcterms:created>
  <dc:creator>Michael Sanders, John M Meredith</dc:creator>
  <dc:description/>
  <dc:language>el-GR</dc:language>
  <cp:lastModifiedBy/>
  <cp:lastPrinted>1900-01-01T05:00:00Z</cp:lastPrinted>
  <dcterms:modified xsi:type="dcterms:W3CDTF">2024-11-12T21:09:26Z</dcterms:modified>
  <cp:revision>4</cp:revision>
  <dc:subject/>
  <dc:title>MTG_TITLE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0x010100DA95EA92BC8BC0428C825697CEF0A167</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0</vt:bool>
  </property>
  <property fmtid="{D5CDD505-2E9C-101B-9397-08002B2CF9AE}" pid="12" name="LinksUpToDate">
    <vt:bool>0</vt:bool>
  </property>
  <property fmtid="{D5CDD505-2E9C-101B-9397-08002B2CF9AE}" pid="13" name="Location">
    <vt:lpwstr> &lt;Location&gt;</vt:lpwstr>
  </property>
  <property fmtid="{D5CDD505-2E9C-101B-9397-08002B2CF9AE}" pid="14" name="MediaServiceImageTags">
    <vt:lpwstr/>
  </property>
  <property fmtid="{D5CDD505-2E9C-101B-9397-08002B2CF9AE}" pid="15" name="MtgSeq">
    <vt:lpwstr> &lt;MTG_SEQ&gt;</vt:lpwstr>
  </property>
  <property fmtid="{D5CDD505-2E9C-101B-9397-08002B2CF9AE}" pid="16" name="MtgTitle">
    <vt:lpwstr>&lt;MTG_TITLE&gt;</vt:lpwstr>
  </property>
  <property fmtid="{D5CDD505-2E9C-101B-9397-08002B2CF9AE}" pid="17" name="RelatedWis">
    <vt:lpwstr>&lt;Related_WIs&gt;</vt:lpwstr>
  </property>
  <property fmtid="{D5CDD505-2E9C-101B-9397-08002B2CF9AE}" pid="18" name="Release">
    <vt:lpwstr>&lt;Release&gt;</vt:lpwstr>
  </property>
  <property fmtid="{D5CDD505-2E9C-101B-9397-08002B2CF9AE}" pid="19" name="ResDate">
    <vt:lpwstr>&lt;Res_date&gt;</vt:lpwstr>
  </property>
  <property fmtid="{D5CDD505-2E9C-101B-9397-08002B2CF9AE}" pid="20" name="Revision">
    <vt:lpwstr>&lt;Rev#&gt;</vt:lpwstr>
  </property>
  <property fmtid="{D5CDD505-2E9C-101B-9397-08002B2CF9AE}" pid="21" name="ScaleCrop">
    <vt:bool>0</vt:bool>
  </property>
  <property fmtid="{D5CDD505-2E9C-101B-9397-08002B2CF9AE}" pid="22" name="ShareDoc">
    <vt:bool>0</vt:bool>
  </property>
  <property fmtid="{D5CDD505-2E9C-101B-9397-08002B2CF9AE}" pid="23" name="SourceIfTsg">
    <vt:lpwstr>&lt;Source_if_TSG&gt;</vt:lpwstr>
  </property>
  <property fmtid="{D5CDD505-2E9C-101B-9397-08002B2CF9AE}" pid="24" name="SourceIfWg">
    <vt:lpwstr>&lt;Source_if_WG&gt;</vt:lpwstr>
  </property>
  <property fmtid="{D5CDD505-2E9C-101B-9397-08002B2CF9AE}" pid="25" name="Spec#">
    <vt:lpwstr>&lt;Spec#&gt;</vt:lpwstr>
  </property>
  <property fmtid="{D5CDD505-2E9C-101B-9397-08002B2CF9AE}" pid="26" name="StartDate">
    <vt:lpwstr> &lt;Start_Date&gt;</vt:lpwstr>
  </property>
  <property fmtid="{D5CDD505-2E9C-101B-9397-08002B2CF9AE}" pid="27" name="TSG/WGRef">
    <vt:lpwstr> &lt;TSG/WG&gt;</vt:lpwstr>
  </property>
  <property fmtid="{D5CDD505-2E9C-101B-9397-08002B2CF9AE}" pid="28" name="Tdoc#">
    <vt:lpwstr>&lt;TDoc#&gt;</vt:lpwstr>
  </property>
  <property fmtid="{D5CDD505-2E9C-101B-9397-08002B2CF9AE}" pid="29" name="Version">
    <vt:lpwstr>&lt;Version#&gt;</vt:lpwstr>
  </property>
  <property fmtid="{D5CDD505-2E9C-101B-9397-08002B2CF9AE}" pid="30" name="_change">
    <vt:lpwstr/>
  </property>
  <property fmtid="{D5CDD505-2E9C-101B-9397-08002B2CF9AE}" pid="31" name="_dlc_DocIdItemGuid">
    <vt:lpwstr>23d35836-85a2-4edd-bc95-eaf97463ef85</vt:lpwstr>
  </property>
  <property fmtid="{D5CDD505-2E9C-101B-9397-08002B2CF9AE}" pid="32" name="_full-control">
    <vt:lpwstr/>
  </property>
  <property fmtid="{D5CDD505-2E9C-101B-9397-08002B2CF9AE}" pid="33" name="_readonly">
    <vt:lpwstr/>
  </property>
  <property fmtid="{D5CDD505-2E9C-101B-9397-08002B2CF9AE}" pid="34" name="sflag">
    <vt:lpwstr>1730792061</vt:lpwstr>
  </property>
</Properties>
</file>