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E778FB" w14:textId="5D5ED7E3" w:rsidR="00556509" w:rsidRPr="004775CB" w:rsidRDefault="00556509" w:rsidP="00556509">
      <w:pPr>
        <w:pStyle w:val="CRCoverPage"/>
        <w:tabs>
          <w:tab w:val="right" w:pos="9639"/>
        </w:tabs>
        <w:spacing w:after="0"/>
        <w:rPr>
          <w:b/>
          <w:i/>
          <w:noProof/>
          <w:sz w:val="28"/>
          <w:lang w:val="en-US"/>
        </w:rPr>
      </w:pPr>
      <w:r w:rsidRPr="004775CB">
        <w:rPr>
          <w:b/>
          <w:noProof/>
          <w:sz w:val="24"/>
          <w:lang w:val="en-US"/>
        </w:rPr>
        <w:t>3GPP SA-</w:t>
      </w:r>
      <w:r>
        <w:fldChar w:fldCharType="begin"/>
      </w:r>
      <w:r w:rsidRPr="004775CB">
        <w:rPr>
          <w:lang w:val="en-US"/>
        </w:rPr>
        <w:instrText xml:space="preserve"> DOCPROPERTY  TSG/WGRef  \* MERGEFORMAT </w:instrText>
      </w:r>
      <w:r>
        <w:fldChar w:fldCharType="separate"/>
      </w:r>
      <w:r w:rsidRPr="004775CB">
        <w:rPr>
          <w:b/>
          <w:noProof/>
          <w:sz w:val="24"/>
          <w:lang w:val="en-US"/>
        </w:rPr>
        <w:t>WG2</w:t>
      </w:r>
      <w:r>
        <w:rPr>
          <w:b/>
          <w:noProof/>
          <w:sz w:val="24"/>
        </w:rPr>
        <w:fldChar w:fldCharType="end"/>
      </w:r>
      <w:r w:rsidRPr="004775CB">
        <w:rPr>
          <w:b/>
          <w:noProof/>
          <w:sz w:val="24"/>
          <w:lang w:val="en-US"/>
        </w:rPr>
        <w:t xml:space="preserve"> Meeting #</w:t>
      </w:r>
      <w:r>
        <w:fldChar w:fldCharType="begin"/>
      </w:r>
      <w:r w:rsidRPr="004775CB">
        <w:rPr>
          <w:lang w:val="en-US"/>
        </w:rPr>
        <w:instrText xml:space="preserve"> DOCPROPERTY  MtgSeq  \* MERGEFORMAT </w:instrText>
      </w:r>
      <w:r>
        <w:fldChar w:fldCharType="separate"/>
      </w:r>
      <w:r w:rsidRPr="004775CB">
        <w:rPr>
          <w:b/>
          <w:noProof/>
          <w:sz w:val="24"/>
          <w:lang w:val="en-US"/>
        </w:rPr>
        <w:t xml:space="preserve"> 16</w:t>
      </w:r>
      <w:r w:rsidR="0057620D">
        <w:rPr>
          <w:b/>
          <w:noProof/>
          <w:sz w:val="24"/>
          <w:lang w:val="en-US"/>
        </w:rPr>
        <w:t>6</w:t>
      </w:r>
      <w:r>
        <w:fldChar w:fldCharType="end"/>
      </w:r>
      <w:r>
        <w:fldChar w:fldCharType="begin"/>
      </w:r>
      <w:r w:rsidRPr="004775CB">
        <w:rPr>
          <w:lang w:val="en-US"/>
        </w:rPr>
        <w:instrText xml:space="preserve"> DOCPROPERTY  MtgTitle  \* MERGEFORMAT </w:instrText>
      </w:r>
      <w:r>
        <w:fldChar w:fldCharType="separate"/>
      </w:r>
      <w:r>
        <w:rPr>
          <w:b/>
          <w:noProof/>
          <w:sz w:val="24"/>
        </w:rPr>
        <w:fldChar w:fldCharType="end"/>
      </w:r>
      <w:r w:rsidRPr="004775CB">
        <w:rPr>
          <w:b/>
          <w:i/>
          <w:noProof/>
          <w:sz w:val="28"/>
          <w:lang w:val="en-US"/>
        </w:rPr>
        <w:tab/>
      </w:r>
      <w:bookmarkStart w:id="0" w:name="_Hlk181629465"/>
      <w:r>
        <w:fldChar w:fldCharType="begin"/>
      </w:r>
      <w:r w:rsidRPr="004775CB">
        <w:rPr>
          <w:lang w:val="en-US"/>
        </w:rPr>
        <w:instrText xml:space="preserve"> DOCPROPERTY  Tdoc#  \* MERGEFORMAT </w:instrText>
      </w:r>
      <w:r>
        <w:fldChar w:fldCharType="separate"/>
      </w:r>
      <w:r w:rsidRPr="004775CB">
        <w:rPr>
          <w:b/>
          <w:i/>
          <w:noProof/>
          <w:sz w:val="28"/>
          <w:lang w:val="en-US"/>
        </w:rPr>
        <w:t>S2-</w:t>
      </w:r>
      <w:r w:rsidR="00F92BC5" w:rsidRPr="00F92BC5">
        <w:rPr>
          <w:b/>
          <w:i/>
          <w:noProof/>
          <w:sz w:val="28"/>
          <w:lang w:val="en-US"/>
        </w:rPr>
        <w:t>241</w:t>
      </w:r>
      <w:r w:rsidR="006068F6">
        <w:rPr>
          <w:b/>
          <w:i/>
          <w:noProof/>
          <w:sz w:val="28"/>
          <w:lang w:val="en-US"/>
        </w:rPr>
        <w:t>2382</w:t>
      </w:r>
      <w:r>
        <w:rPr>
          <w:b/>
          <w:i/>
          <w:noProof/>
          <w:sz w:val="28"/>
        </w:rPr>
        <w:fldChar w:fldCharType="end"/>
      </w:r>
      <w:bookmarkEnd w:id="0"/>
    </w:p>
    <w:p w14:paraId="7F190EB8" w14:textId="16F4ECDD" w:rsidR="00556509" w:rsidRDefault="00E95ABF" w:rsidP="00556509">
      <w:pPr>
        <w:pStyle w:val="CRCoverPage"/>
        <w:outlineLvl w:val="0"/>
        <w:rPr>
          <w:b/>
          <w:noProof/>
          <w:sz w:val="24"/>
        </w:rPr>
      </w:pPr>
      <w:r>
        <w:rPr>
          <w:b/>
          <w:sz w:val="24"/>
        </w:rPr>
        <w:t>Orlando, United States,</w:t>
      </w:r>
      <w:r>
        <w:rPr>
          <w:b/>
          <w:noProof/>
          <w:sz w:val="24"/>
        </w:rPr>
        <w:t xml:space="preserve"> </w:t>
      </w:r>
      <w:bookmarkStart w:id="1" w:name="_Hlk34721270"/>
      <w:r>
        <w:rPr>
          <w:b/>
          <w:noProof/>
          <w:sz w:val="24"/>
        </w:rPr>
        <w:t>18-22</w:t>
      </w:r>
      <w:r>
        <w:rPr>
          <w:b/>
          <w:noProof/>
          <w:sz w:val="24"/>
          <w:vertAlign w:val="superscript"/>
        </w:rPr>
        <w:t xml:space="preserve"> </w:t>
      </w:r>
      <w:r>
        <w:rPr>
          <w:b/>
          <w:noProof/>
          <w:sz w:val="24"/>
        </w:rPr>
        <w:t>November 2</w:t>
      </w:r>
      <w:r w:rsidRPr="0056034C">
        <w:rPr>
          <w:b/>
          <w:noProof/>
          <w:sz w:val="24"/>
        </w:rPr>
        <w:t>0</w:t>
      </w:r>
      <w:bookmarkEnd w:id="1"/>
      <w:r>
        <w:rPr>
          <w:b/>
          <w:sz w:val="24"/>
        </w:rPr>
        <w:t>24</w:t>
      </w:r>
      <w:r>
        <w:rPr>
          <w:rFonts w:eastAsia="Arial Unicode MS" w:cs="Arial"/>
          <w:b/>
          <w:bCs/>
          <w:sz w:val="24"/>
        </w:rPr>
        <w:tab/>
      </w:r>
      <w:r>
        <w:rPr>
          <w:rFonts w:eastAsia="Arial Unicode MS" w:cs="Arial"/>
          <w:b/>
          <w:bCs/>
          <w:sz w:val="24"/>
        </w:rPr>
        <w:tab/>
        <w:t xml:space="preserve">    </w:t>
      </w:r>
      <w:proofErr w:type="gramStart"/>
      <w:r w:rsidR="0057620D">
        <w:rPr>
          <w:rFonts w:eastAsia="Arial Unicode MS" w:cs="Arial"/>
          <w:b/>
          <w:bCs/>
          <w:sz w:val="24"/>
        </w:rPr>
        <w:t xml:space="preserve"> </w:t>
      </w:r>
      <w:r>
        <w:rPr>
          <w:rFonts w:eastAsia="Arial Unicode MS" w:cs="Arial"/>
          <w:b/>
          <w:bCs/>
          <w:sz w:val="24"/>
        </w:rPr>
        <w:t xml:space="preserve">  </w:t>
      </w:r>
      <w:r>
        <w:rPr>
          <w:b/>
          <w:i/>
          <w:color w:val="0000FF"/>
          <w:lang w:eastAsia="ko-KR"/>
        </w:rPr>
        <w:t>(</w:t>
      </w:r>
      <w:proofErr w:type="gramEnd"/>
      <w:r>
        <w:rPr>
          <w:b/>
          <w:i/>
          <w:color w:val="0000FF"/>
          <w:lang w:eastAsia="ko-KR"/>
        </w:rPr>
        <w:t xml:space="preserve">revision of </w:t>
      </w:r>
      <w:r w:rsidRPr="00E95ABF">
        <w:rPr>
          <w:b/>
          <w:i/>
          <w:color w:val="0000FF"/>
          <w:lang w:eastAsia="ko-KR"/>
        </w:rPr>
        <w:t>S2-241</w:t>
      </w:r>
      <w:r w:rsidR="00A3578F">
        <w:rPr>
          <w:b/>
          <w:i/>
          <w:color w:val="0000FF"/>
          <w:lang w:eastAsia="ko-KR"/>
        </w:rPr>
        <w:t>1706</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Default="00556509">
            <w:pPr>
              <w:pStyle w:val="CRCoverPage"/>
              <w:spacing w:after="0"/>
              <w:jc w:val="right"/>
              <w:rPr>
                <w:i/>
                <w:noProof/>
              </w:rPr>
            </w:pPr>
            <w:r>
              <w:rPr>
                <w:i/>
                <w:noProof/>
                <w:sz w:val="14"/>
              </w:rPr>
              <w:t>CR-Form-v12.3</w:t>
            </w:r>
          </w:p>
        </w:tc>
      </w:tr>
      <w:tr w:rsidR="00556509" w14:paraId="2EA152C6" w14:textId="77777777">
        <w:tc>
          <w:tcPr>
            <w:tcW w:w="9641" w:type="dxa"/>
            <w:gridSpan w:val="9"/>
            <w:tcBorders>
              <w:left w:val="single" w:sz="4" w:space="0" w:color="auto"/>
              <w:right w:val="single" w:sz="4" w:space="0" w:color="auto"/>
            </w:tcBorders>
          </w:tcPr>
          <w:p w14:paraId="022DB5BA" w14:textId="77777777" w:rsidR="00556509" w:rsidRDefault="00556509">
            <w:pPr>
              <w:pStyle w:val="CRCoverPage"/>
              <w:spacing w:after="0"/>
              <w:jc w:val="center"/>
              <w:rPr>
                <w:noProof/>
              </w:rPr>
            </w:pPr>
            <w:r>
              <w:rPr>
                <w:b/>
                <w:noProof/>
                <w:sz w:val="32"/>
              </w:rPr>
              <w:t>CHANGE REQUEST</w:t>
            </w:r>
          </w:p>
        </w:tc>
      </w:tr>
      <w:tr w:rsidR="00556509" w14:paraId="2BD37529" w14:textId="77777777">
        <w:tc>
          <w:tcPr>
            <w:tcW w:w="9641" w:type="dxa"/>
            <w:gridSpan w:val="9"/>
            <w:tcBorders>
              <w:left w:val="single" w:sz="4" w:space="0" w:color="auto"/>
              <w:right w:val="single" w:sz="4" w:space="0" w:color="auto"/>
            </w:tcBorders>
          </w:tcPr>
          <w:p w14:paraId="7DF1443B" w14:textId="77777777" w:rsidR="00556509" w:rsidRDefault="00556509">
            <w:pPr>
              <w:pStyle w:val="CRCoverPage"/>
              <w:spacing w:after="0"/>
              <w:rPr>
                <w:noProof/>
                <w:sz w:val="8"/>
                <w:szCs w:val="8"/>
              </w:rPr>
            </w:pPr>
          </w:p>
        </w:tc>
      </w:tr>
      <w:tr w:rsidR="00556509" w14:paraId="456AC854" w14:textId="77777777">
        <w:tc>
          <w:tcPr>
            <w:tcW w:w="142" w:type="dxa"/>
            <w:tcBorders>
              <w:left w:val="single" w:sz="4" w:space="0" w:color="auto"/>
            </w:tcBorders>
          </w:tcPr>
          <w:p w14:paraId="6A4264C2" w14:textId="77777777" w:rsidR="00556509" w:rsidRDefault="00556509">
            <w:pPr>
              <w:pStyle w:val="CRCoverPage"/>
              <w:spacing w:after="0"/>
              <w:jc w:val="right"/>
              <w:rPr>
                <w:noProof/>
              </w:rPr>
            </w:pPr>
          </w:p>
        </w:tc>
        <w:tc>
          <w:tcPr>
            <w:tcW w:w="1559" w:type="dxa"/>
            <w:shd w:val="pct30" w:color="FFFF00" w:fill="auto"/>
          </w:tcPr>
          <w:p w14:paraId="10204F87" w14:textId="5A734EAB" w:rsidR="00556509" w:rsidRPr="00410371" w:rsidRDefault="00556509">
            <w:pPr>
              <w:pStyle w:val="CRCoverPage"/>
              <w:spacing w:after="0"/>
              <w:jc w:val="right"/>
              <w:rPr>
                <w:b/>
                <w:noProof/>
                <w:sz w:val="28"/>
              </w:rPr>
            </w:pPr>
            <w:fldSimple w:instr=" DOCPROPERTY  Spec#  \* MERGEFORMAT ">
              <w:r>
                <w:rPr>
                  <w:b/>
                  <w:noProof/>
                  <w:sz w:val="28"/>
                </w:rPr>
                <w:t>23.50</w:t>
              </w:r>
            </w:fldSimple>
            <w:r w:rsidR="00F91878">
              <w:rPr>
                <w:b/>
                <w:noProof/>
                <w:sz w:val="28"/>
              </w:rPr>
              <w:t>3</w:t>
            </w:r>
          </w:p>
        </w:tc>
        <w:tc>
          <w:tcPr>
            <w:tcW w:w="709" w:type="dxa"/>
          </w:tcPr>
          <w:p w14:paraId="4297BAD8" w14:textId="77777777" w:rsidR="00556509" w:rsidRDefault="00556509">
            <w:pPr>
              <w:pStyle w:val="CRCoverPage"/>
              <w:spacing w:after="0"/>
              <w:jc w:val="center"/>
              <w:rPr>
                <w:noProof/>
              </w:rPr>
            </w:pPr>
            <w:r>
              <w:rPr>
                <w:b/>
                <w:noProof/>
                <w:sz w:val="28"/>
              </w:rPr>
              <w:t>CR</w:t>
            </w:r>
          </w:p>
        </w:tc>
        <w:tc>
          <w:tcPr>
            <w:tcW w:w="1276" w:type="dxa"/>
            <w:shd w:val="pct30" w:color="FFFF00" w:fill="auto"/>
          </w:tcPr>
          <w:p w14:paraId="51E7D146" w14:textId="79A6470A" w:rsidR="00556509" w:rsidRPr="00410371" w:rsidRDefault="00581953">
            <w:pPr>
              <w:pStyle w:val="CRCoverPage"/>
              <w:spacing w:after="0"/>
              <w:rPr>
                <w:noProof/>
              </w:rPr>
            </w:pPr>
            <w:r w:rsidRPr="00581953">
              <w:rPr>
                <w:b/>
                <w:noProof/>
                <w:sz w:val="28"/>
              </w:rPr>
              <w:t>1394</w:t>
            </w:r>
          </w:p>
        </w:tc>
        <w:tc>
          <w:tcPr>
            <w:tcW w:w="709" w:type="dxa"/>
          </w:tcPr>
          <w:p w14:paraId="45545E58" w14:textId="77777777" w:rsidR="00556509" w:rsidRDefault="00556509">
            <w:pPr>
              <w:pStyle w:val="CRCoverPage"/>
              <w:tabs>
                <w:tab w:val="right" w:pos="625"/>
              </w:tabs>
              <w:spacing w:after="0"/>
              <w:jc w:val="center"/>
              <w:rPr>
                <w:noProof/>
              </w:rPr>
            </w:pPr>
            <w:r>
              <w:rPr>
                <w:b/>
                <w:bCs/>
                <w:noProof/>
                <w:sz w:val="28"/>
              </w:rPr>
              <w:t>rev</w:t>
            </w:r>
          </w:p>
        </w:tc>
        <w:tc>
          <w:tcPr>
            <w:tcW w:w="992" w:type="dxa"/>
            <w:shd w:val="pct30" w:color="FFFF00" w:fill="auto"/>
          </w:tcPr>
          <w:p w14:paraId="50B42FBB" w14:textId="39964FBB" w:rsidR="00556509" w:rsidRPr="00410371" w:rsidRDefault="00EC3461">
            <w:pPr>
              <w:pStyle w:val="CRCoverPage"/>
              <w:spacing w:after="0"/>
              <w:jc w:val="center"/>
              <w:rPr>
                <w:b/>
                <w:noProof/>
              </w:rPr>
            </w:pPr>
            <w:fldSimple w:instr=" DOCPROPERTY  Revision  \* MERGEFORMAT ">
              <w:ins w:id="2" w:author="Ericsson r2" w:date="2024-11-20T15:56:00Z">
                <w:r>
                  <w:rPr>
                    <w:b/>
                    <w:noProof/>
                    <w:sz w:val="28"/>
                  </w:rPr>
                  <w:t>2</w:t>
                </w:r>
              </w:ins>
              <w:del w:id="3" w:author="Ericsson r2" w:date="2024-11-20T15:56:00Z">
                <w:r w:rsidR="000920A7" w:rsidDel="00EC3461">
                  <w:rPr>
                    <w:b/>
                    <w:noProof/>
                    <w:sz w:val="28"/>
                  </w:rPr>
                  <w:delText>1</w:delText>
                </w:r>
              </w:del>
              <w:r w:rsidR="00556509" w:rsidRPr="00410371">
                <w:rPr>
                  <w:b/>
                  <w:noProof/>
                  <w:sz w:val="28"/>
                </w:rPr>
                <w:t xml:space="preserve"> </w:t>
              </w:r>
            </w:fldSimple>
          </w:p>
        </w:tc>
        <w:tc>
          <w:tcPr>
            <w:tcW w:w="2410" w:type="dxa"/>
          </w:tcPr>
          <w:p w14:paraId="2B980A01" w14:textId="77777777" w:rsidR="00556509" w:rsidRDefault="005565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C47F84" w14:textId="77777777" w:rsidR="00556509" w:rsidRPr="00410371" w:rsidRDefault="00556509">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475C9271" w14:textId="77777777" w:rsidR="00556509" w:rsidRDefault="00556509">
            <w:pPr>
              <w:pStyle w:val="CRCoverPage"/>
              <w:spacing w:after="0"/>
              <w:rPr>
                <w:noProof/>
              </w:rPr>
            </w:pPr>
          </w:p>
        </w:tc>
      </w:tr>
      <w:tr w:rsidR="00556509" w14:paraId="472C9B9A" w14:textId="77777777">
        <w:tc>
          <w:tcPr>
            <w:tcW w:w="9641" w:type="dxa"/>
            <w:gridSpan w:val="9"/>
            <w:tcBorders>
              <w:left w:val="single" w:sz="4" w:space="0" w:color="auto"/>
              <w:right w:val="single" w:sz="4" w:space="0" w:color="auto"/>
            </w:tcBorders>
          </w:tcPr>
          <w:p w14:paraId="2C940FBD" w14:textId="77777777" w:rsidR="00556509" w:rsidRDefault="00556509">
            <w:pPr>
              <w:pStyle w:val="CRCoverPage"/>
              <w:spacing w:after="0"/>
              <w:rPr>
                <w:noProof/>
              </w:rPr>
            </w:pPr>
          </w:p>
        </w:tc>
      </w:tr>
      <w:tr w:rsidR="00556509" w14:paraId="43D1C60F" w14:textId="77777777">
        <w:tc>
          <w:tcPr>
            <w:tcW w:w="9641" w:type="dxa"/>
            <w:gridSpan w:val="9"/>
            <w:tcBorders>
              <w:top w:val="single" w:sz="4" w:space="0" w:color="auto"/>
            </w:tcBorders>
          </w:tcPr>
          <w:p w14:paraId="155A49E6" w14:textId="77777777" w:rsidR="00556509" w:rsidRPr="00F25D98" w:rsidRDefault="005565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56509" w14:paraId="07434704" w14:textId="77777777">
        <w:tc>
          <w:tcPr>
            <w:tcW w:w="9641" w:type="dxa"/>
            <w:gridSpan w:val="9"/>
          </w:tcPr>
          <w:p w14:paraId="61A80E8E" w14:textId="77777777" w:rsidR="00556509" w:rsidRDefault="00556509">
            <w:pPr>
              <w:pStyle w:val="CRCoverPage"/>
              <w:spacing w:after="0"/>
              <w:rPr>
                <w:noProof/>
                <w:sz w:val="8"/>
                <w:szCs w:val="8"/>
              </w:rPr>
            </w:pPr>
          </w:p>
        </w:tc>
      </w:tr>
    </w:tbl>
    <w:p w14:paraId="3B08075F" w14:textId="77777777" w:rsidR="00556509"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14:paraId="3CBFCF1F" w14:textId="77777777">
        <w:tc>
          <w:tcPr>
            <w:tcW w:w="2835" w:type="dxa"/>
          </w:tcPr>
          <w:p w14:paraId="3E0F93B7" w14:textId="77777777" w:rsidR="00556509" w:rsidRDefault="00556509">
            <w:pPr>
              <w:pStyle w:val="CRCoverPage"/>
              <w:tabs>
                <w:tab w:val="right" w:pos="2751"/>
              </w:tabs>
              <w:spacing w:after="0"/>
              <w:rPr>
                <w:b/>
                <w:i/>
                <w:noProof/>
              </w:rPr>
            </w:pPr>
            <w:r>
              <w:rPr>
                <w:b/>
                <w:i/>
                <w:noProof/>
              </w:rPr>
              <w:t>Proposed change affects:</w:t>
            </w:r>
          </w:p>
        </w:tc>
        <w:tc>
          <w:tcPr>
            <w:tcW w:w="1418" w:type="dxa"/>
          </w:tcPr>
          <w:p w14:paraId="76A2A2E7" w14:textId="77777777" w:rsidR="00556509" w:rsidRDefault="005565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Default="005565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Default="00556509">
            <w:pPr>
              <w:pStyle w:val="CRCoverPage"/>
              <w:spacing w:after="0"/>
              <w:jc w:val="center"/>
              <w:rPr>
                <w:b/>
                <w:caps/>
                <w:noProof/>
              </w:rPr>
            </w:pPr>
          </w:p>
        </w:tc>
        <w:tc>
          <w:tcPr>
            <w:tcW w:w="2126" w:type="dxa"/>
          </w:tcPr>
          <w:p w14:paraId="4711463E" w14:textId="77777777" w:rsidR="00556509" w:rsidRDefault="005565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Default="00556509">
            <w:pPr>
              <w:pStyle w:val="CRCoverPage"/>
              <w:spacing w:after="0"/>
              <w:jc w:val="center"/>
              <w:rPr>
                <w:b/>
                <w:caps/>
                <w:noProof/>
              </w:rPr>
            </w:pPr>
          </w:p>
        </w:tc>
        <w:tc>
          <w:tcPr>
            <w:tcW w:w="1418" w:type="dxa"/>
            <w:tcBorders>
              <w:left w:val="nil"/>
            </w:tcBorders>
          </w:tcPr>
          <w:p w14:paraId="047F1728" w14:textId="77777777" w:rsidR="00556509" w:rsidRDefault="005565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Default="00556509">
            <w:pPr>
              <w:pStyle w:val="CRCoverPage"/>
              <w:spacing w:after="0"/>
              <w:jc w:val="center"/>
              <w:rPr>
                <w:b/>
                <w:bCs/>
                <w:caps/>
                <w:noProof/>
              </w:rPr>
            </w:pPr>
            <w:r>
              <w:rPr>
                <w:b/>
                <w:bCs/>
                <w:caps/>
                <w:noProof/>
              </w:rPr>
              <w:t>x</w:t>
            </w:r>
          </w:p>
        </w:tc>
      </w:tr>
    </w:tbl>
    <w:p w14:paraId="2579B673" w14:textId="77777777" w:rsidR="00556509"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14:paraId="7A3892F1" w14:textId="77777777">
        <w:tc>
          <w:tcPr>
            <w:tcW w:w="9640" w:type="dxa"/>
            <w:gridSpan w:val="11"/>
          </w:tcPr>
          <w:p w14:paraId="4959199E" w14:textId="77777777" w:rsidR="00556509" w:rsidRDefault="00556509">
            <w:pPr>
              <w:pStyle w:val="CRCoverPage"/>
              <w:spacing w:after="0"/>
              <w:rPr>
                <w:noProof/>
                <w:sz w:val="8"/>
                <w:szCs w:val="8"/>
              </w:rPr>
            </w:pPr>
          </w:p>
        </w:tc>
      </w:tr>
      <w:tr w:rsidR="00556509" w14:paraId="7CADD763" w14:textId="77777777">
        <w:tc>
          <w:tcPr>
            <w:tcW w:w="1843" w:type="dxa"/>
            <w:tcBorders>
              <w:top w:val="single" w:sz="4" w:space="0" w:color="auto"/>
              <w:left w:val="single" w:sz="4" w:space="0" w:color="auto"/>
            </w:tcBorders>
          </w:tcPr>
          <w:p w14:paraId="676A31DE" w14:textId="77777777" w:rsidR="00556509" w:rsidRDefault="005565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7F779" w14:textId="589269BC" w:rsidR="00556509" w:rsidRDefault="00556509">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w:t>
            </w:r>
            <w:r w:rsidR="00CE04CA">
              <w:t>PCC</w:t>
            </w:r>
            <w:r w:rsidRPr="00F3327C">
              <w:t xml:space="preserve"> part</w:t>
            </w:r>
          </w:p>
        </w:tc>
      </w:tr>
      <w:tr w:rsidR="00556509" w14:paraId="2DC12971" w14:textId="77777777">
        <w:tc>
          <w:tcPr>
            <w:tcW w:w="1843" w:type="dxa"/>
            <w:tcBorders>
              <w:left w:val="single" w:sz="4" w:space="0" w:color="auto"/>
            </w:tcBorders>
          </w:tcPr>
          <w:p w14:paraId="342CE9AD"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Default="00556509">
            <w:pPr>
              <w:pStyle w:val="CRCoverPage"/>
              <w:spacing w:after="0"/>
              <w:rPr>
                <w:noProof/>
                <w:sz w:val="8"/>
                <w:szCs w:val="8"/>
              </w:rPr>
            </w:pPr>
          </w:p>
        </w:tc>
      </w:tr>
      <w:tr w:rsidR="00556509" w14:paraId="40FB828A" w14:textId="77777777">
        <w:tc>
          <w:tcPr>
            <w:tcW w:w="1843" w:type="dxa"/>
            <w:tcBorders>
              <w:left w:val="single" w:sz="4" w:space="0" w:color="auto"/>
            </w:tcBorders>
          </w:tcPr>
          <w:p w14:paraId="665F9F0D" w14:textId="77777777" w:rsidR="00556509" w:rsidRDefault="005565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5AF1A" w14:textId="7B991B5D" w:rsidR="00556509" w:rsidRDefault="00556509">
            <w:pPr>
              <w:pStyle w:val="CRCoverPage"/>
              <w:spacing w:after="0"/>
              <w:ind w:left="100"/>
              <w:rPr>
                <w:noProof/>
              </w:rPr>
            </w:pPr>
            <w:r>
              <w:t>Ericsson</w:t>
            </w:r>
            <w:r w:rsidR="00084D2E">
              <w:t xml:space="preserve"> [</w:t>
            </w:r>
            <w:r w:rsidR="00FB7EA7">
              <w:t>, InterDigital</w:t>
            </w:r>
            <w:r w:rsidR="00084D2E">
              <w:t>]</w:t>
            </w:r>
          </w:p>
        </w:tc>
      </w:tr>
      <w:tr w:rsidR="00556509" w14:paraId="6BCA0B7F" w14:textId="77777777">
        <w:tc>
          <w:tcPr>
            <w:tcW w:w="1843" w:type="dxa"/>
            <w:tcBorders>
              <w:left w:val="single" w:sz="4" w:space="0" w:color="auto"/>
            </w:tcBorders>
          </w:tcPr>
          <w:p w14:paraId="0BCBB8FC" w14:textId="77777777" w:rsidR="00556509" w:rsidRDefault="005565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844EA6" w14:textId="77777777" w:rsidR="00556509" w:rsidRDefault="00556509">
            <w:pPr>
              <w:pStyle w:val="CRCoverPage"/>
              <w:spacing w:after="0"/>
              <w:ind w:left="100"/>
              <w:rPr>
                <w:noProof/>
              </w:rPr>
            </w:pPr>
            <w:r>
              <w:t>SA2</w:t>
            </w:r>
          </w:p>
        </w:tc>
      </w:tr>
      <w:tr w:rsidR="00556509" w14:paraId="0BC007C1" w14:textId="77777777">
        <w:tc>
          <w:tcPr>
            <w:tcW w:w="1843" w:type="dxa"/>
            <w:tcBorders>
              <w:left w:val="single" w:sz="4" w:space="0" w:color="auto"/>
            </w:tcBorders>
          </w:tcPr>
          <w:p w14:paraId="4127F522"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Default="00556509">
            <w:pPr>
              <w:pStyle w:val="CRCoverPage"/>
              <w:spacing w:after="0"/>
              <w:rPr>
                <w:noProof/>
                <w:sz w:val="8"/>
                <w:szCs w:val="8"/>
              </w:rPr>
            </w:pPr>
          </w:p>
        </w:tc>
      </w:tr>
      <w:tr w:rsidR="00556509" w14:paraId="247F6903" w14:textId="77777777">
        <w:tc>
          <w:tcPr>
            <w:tcW w:w="1843" w:type="dxa"/>
            <w:tcBorders>
              <w:left w:val="single" w:sz="4" w:space="0" w:color="auto"/>
            </w:tcBorders>
          </w:tcPr>
          <w:p w14:paraId="60F63707" w14:textId="77777777" w:rsidR="00556509" w:rsidRDefault="00556509">
            <w:pPr>
              <w:pStyle w:val="CRCoverPage"/>
              <w:tabs>
                <w:tab w:val="right" w:pos="1759"/>
              </w:tabs>
              <w:spacing w:after="0"/>
              <w:rPr>
                <w:b/>
                <w:i/>
                <w:noProof/>
              </w:rPr>
            </w:pPr>
            <w:r>
              <w:rPr>
                <w:b/>
                <w:i/>
                <w:noProof/>
              </w:rPr>
              <w:t>Work item code:</w:t>
            </w:r>
          </w:p>
        </w:tc>
        <w:tc>
          <w:tcPr>
            <w:tcW w:w="3686" w:type="dxa"/>
            <w:gridSpan w:val="5"/>
            <w:shd w:val="pct30" w:color="FFFF00" w:fill="auto"/>
          </w:tcPr>
          <w:p w14:paraId="60A9DF0F" w14:textId="77777777" w:rsidR="00556509" w:rsidRDefault="00556509">
            <w:pPr>
              <w:pStyle w:val="CRCoverPage"/>
              <w:spacing w:after="0"/>
              <w:ind w:left="100"/>
              <w:rPr>
                <w:noProof/>
              </w:rPr>
            </w:pPr>
            <w:r>
              <w:t>XRM_Ph2</w:t>
            </w:r>
          </w:p>
        </w:tc>
        <w:tc>
          <w:tcPr>
            <w:tcW w:w="567" w:type="dxa"/>
            <w:tcBorders>
              <w:left w:val="nil"/>
            </w:tcBorders>
          </w:tcPr>
          <w:p w14:paraId="6FDF2248" w14:textId="77777777" w:rsidR="00556509" w:rsidRDefault="00556509">
            <w:pPr>
              <w:pStyle w:val="CRCoverPage"/>
              <w:spacing w:after="0"/>
              <w:ind w:right="100"/>
              <w:rPr>
                <w:noProof/>
              </w:rPr>
            </w:pPr>
          </w:p>
        </w:tc>
        <w:tc>
          <w:tcPr>
            <w:tcW w:w="1417" w:type="dxa"/>
            <w:gridSpan w:val="3"/>
            <w:tcBorders>
              <w:left w:val="nil"/>
            </w:tcBorders>
          </w:tcPr>
          <w:p w14:paraId="5E330A35" w14:textId="77777777" w:rsidR="00556509" w:rsidRDefault="005565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B7C60" w14:textId="2369C86A" w:rsidR="00556509" w:rsidRDefault="00556509">
            <w:pPr>
              <w:pStyle w:val="CRCoverPage"/>
              <w:spacing w:after="0"/>
              <w:ind w:left="100"/>
              <w:rPr>
                <w:noProof/>
              </w:rPr>
            </w:pPr>
            <w:r>
              <w:t>20024-1</w:t>
            </w:r>
            <w:r w:rsidR="00D77451">
              <w:t>1</w:t>
            </w:r>
            <w:r>
              <w:t>-</w:t>
            </w:r>
            <w:r w:rsidR="00FB7EA7">
              <w:t>04</w:t>
            </w:r>
          </w:p>
        </w:tc>
      </w:tr>
      <w:tr w:rsidR="00556509" w14:paraId="689EBE94" w14:textId="77777777">
        <w:tc>
          <w:tcPr>
            <w:tcW w:w="1843" w:type="dxa"/>
            <w:tcBorders>
              <w:left w:val="single" w:sz="4" w:space="0" w:color="auto"/>
            </w:tcBorders>
          </w:tcPr>
          <w:p w14:paraId="46EC4E6A" w14:textId="77777777" w:rsidR="00556509" w:rsidRDefault="00556509">
            <w:pPr>
              <w:pStyle w:val="CRCoverPage"/>
              <w:spacing w:after="0"/>
              <w:rPr>
                <w:b/>
                <w:i/>
                <w:noProof/>
                <w:sz w:val="8"/>
                <w:szCs w:val="8"/>
              </w:rPr>
            </w:pPr>
          </w:p>
        </w:tc>
        <w:tc>
          <w:tcPr>
            <w:tcW w:w="1986" w:type="dxa"/>
            <w:gridSpan w:val="4"/>
          </w:tcPr>
          <w:p w14:paraId="7289066E" w14:textId="77777777" w:rsidR="00556509" w:rsidRDefault="00556509">
            <w:pPr>
              <w:pStyle w:val="CRCoverPage"/>
              <w:spacing w:after="0"/>
              <w:rPr>
                <w:noProof/>
                <w:sz w:val="8"/>
                <w:szCs w:val="8"/>
              </w:rPr>
            </w:pPr>
          </w:p>
        </w:tc>
        <w:tc>
          <w:tcPr>
            <w:tcW w:w="2267" w:type="dxa"/>
            <w:gridSpan w:val="2"/>
          </w:tcPr>
          <w:p w14:paraId="0DC8A692" w14:textId="77777777" w:rsidR="00556509" w:rsidRDefault="00556509">
            <w:pPr>
              <w:pStyle w:val="CRCoverPage"/>
              <w:spacing w:after="0"/>
              <w:rPr>
                <w:noProof/>
                <w:sz w:val="8"/>
                <w:szCs w:val="8"/>
              </w:rPr>
            </w:pPr>
          </w:p>
        </w:tc>
        <w:tc>
          <w:tcPr>
            <w:tcW w:w="1417" w:type="dxa"/>
            <w:gridSpan w:val="3"/>
          </w:tcPr>
          <w:p w14:paraId="65AAE536" w14:textId="77777777" w:rsidR="00556509"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Default="00556509">
            <w:pPr>
              <w:pStyle w:val="CRCoverPage"/>
              <w:spacing w:after="0"/>
              <w:rPr>
                <w:noProof/>
                <w:sz w:val="8"/>
                <w:szCs w:val="8"/>
              </w:rPr>
            </w:pPr>
          </w:p>
        </w:tc>
      </w:tr>
      <w:tr w:rsidR="00556509" w14:paraId="3696EA2A" w14:textId="77777777">
        <w:trPr>
          <w:cantSplit/>
        </w:trPr>
        <w:tc>
          <w:tcPr>
            <w:tcW w:w="1843" w:type="dxa"/>
            <w:tcBorders>
              <w:left w:val="single" w:sz="4" w:space="0" w:color="auto"/>
            </w:tcBorders>
          </w:tcPr>
          <w:p w14:paraId="2D020F7B" w14:textId="77777777" w:rsidR="00556509" w:rsidRDefault="00556509">
            <w:pPr>
              <w:pStyle w:val="CRCoverPage"/>
              <w:tabs>
                <w:tab w:val="right" w:pos="1759"/>
              </w:tabs>
              <w:spacing w:after="0"/>
              <w:rPr>
                <w:b/>
                <w:i/>
                <w:noProof/>
              </w:rPr>
            </w:pPr>
            <w:r>
              <w:rPr>
                <w:b/>
                <w:i/>
                <w:noProof/>
              </w:rPr>
              <w:t>Category:</w:t>
            </w:r>
          </w:p>
        </w:tc>
        <w:tc>
          <w:tcPr>
            <w:tcW w:w="851" w:type="dxa"/>
            <w:shd w:val="pct30" w:color="FFFF00" w:fill="auto"/>
          </w:tcPr>
          <w:p w14:paraId="4318A1BF" w14:textId="77777777" w:rsidR="00556509" w:rsidRDefault="00556509">
            <w:pPr>
              <w:pStyle w:val="CRCoverPage"/>
              <w:spacing w:after="0"/>
              <w:ind w:left="100" w:right="-609"/>
              <w:rPr>
                <w:b/>
                <w:noProof/>
              </w:rPr>
            </w:pPr>
            <w:r>
              <w:t>B</w:t>
            </w:r>
          </w:p>
        </w:tc>
        <w:tc>
          <w:tcPr>
            <w:tcW w:w="3402" w:type="dxa"/>
            <w:gridSpan w:val="5"/>
            <w:tcBorders>
              <w:left w:val="nil"/>
            </w:tcBorders>
          </w:tcPr>
          <w:p w14:paraId="230201D7" w14:textId="77777777" w:rsidR="00556509" w:rsidRDefault="00556509">
            <w:pPr>
              <w:pStyle w:val="CRCoverPage"/>
              <w:spacing w:after="0"/>
              <w:rPr>
                <w:noProof/>
              </w:rPr>
            </w:pPr>
          </w:p>
        </w:tc>
        <w:tc>
          <w:tcPr>
            <w:tcW w:w="1417" w:type="dxa"/>
            <w:gridSpan w:val="3"/>
            <w:tcBorders>
              <w:left w:val="nil"/>
            </w:tcBorders>
          </w:tcPr>
          <w:p w14:paraId="1F0D6CB3" w14:textId="77777777" w:rsidR="00556509" w:rsidRDefault="005565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0FCF77" w14:textId="77777777" w:rsidR="00556509" w:rsidRDefault="00556509">
            <w:pPr>
              <w:pStyle w:val="CRCoverPage"/>
              <w:spacing w:after="0"/>
              <w:ind w:left="100"/>
              <w:rPr>
                <w:noProof/>
              </w:rPr>
            </w:pPr>
            <w:r>
              <w:t>Rel-19</w:t>
            </w:r>
          </w:p>
        </w:tc>
      </w:tr>
      <w:tr w:rsidR="00556509" w14:paraId="7A70B190" w14:textId="77777777">
        <w:tc>
          <w:tcPr>
            <w:tcW w:w="1843" w:type="dxa"/>
            <w:tcBorders>
              <w:left w:val="single" w:sz="4" w:space="0" w:color="auto"/>
              <w:bottom w:val="single" w:sz="4" w:space="0" w:color="auto"/>
            </w:tcBorders>
          </w:tcPr>
          <w:p w14:paraId="56A2103E" w14:textId="77777777" w:rsidR="00556509"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Default="005565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C58BD9" w14:textId="77777777" w:rsidR="00556509" w:rsidRDefault="005565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2F93F" w14:textId="77777777" w:rsidR="00556509" w:rsidRPr="007C2097" w:rsidRDefault="005565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6509" w14:paraId="1F23F3C8" w14:textId="77777777">
        <w:tc>
          <w:tcPr>
            <w:tcW w:w="1843" w:type="dxa"/>
          </w:tcPr>
          <w:p w14:paraId="5058CCAF" w14:textId="77777777" w:rsidR="00556509" w:rsidRDefault="00556509">
            <w:pPr>
              <w:pStyle w:val="CRCoverPage"/>
              <w:spacing w:after="0"/>
              <w:rPr>
                <w:b/>
                <w:i/>
                <w:noProof/>
                <w:sz w:val="8"/>
                <w:szCs w:val="8"/>
              </w:rPr>
            </w:pPr>
          </w:p>
        </w:tc>
        <w:tc>
          <w:tcPr>
            <w:tcW w:w="7797" w:type="dxa"/>
            <w:gridSpan w:val="10"/>
          </w:tcPr>
          <w:p w14:paraId="79B13AA6" w14:textId="77777777" w:rsidR="00556509" w:rsidRDefault="00556509">
            <w:pPr>
              <w:pStyle w:val="CRCoverPage"/>
              <w:spacing w:after="0"/>
              <w:rPr>
                <w:noProof/>
                <w:sz w:val="8"/>
                <w:szCs w:val="8"/>
              </w:rPr>
            </w:pPr>
          </w:p>
        </w:tc>
      </w:tr>
      <w:tr w:rsidR="00556509" w14:paraId="3CE160C4" w14:textId="77777777">
        <w:tc>
          <w:tcPr>
            <w:tcW w:w="2694" w:type="dxa"/>
            <w:gridSpan w:val="2"/>
            <w:tcBorders>
              <w:top w:val="single" w:sz="4" w:space="0" w:color="auto"/>
              <w:left w:val="single" w:sz="4" w:space="0" w:color="auto"/>
            </w:tcBorders>
          </w:tcPr>
          <w:p w14:paraId="414C14B3" w14:textId="77777777" w:rsidR="00556509" w:rsidRDefault="005565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2F716" w14:textId="77777777" w:rsidR="00556509" w:rsidRDefault="00556509">
            <w:pPr>
              <w:pStyle w:val="CRCoverPage"/>
              <w:spacing w:after="0"/>
              <w:ind w:left="100"/>
              <w:rPr>
                <w:sz w:val="18"/>
                <w:szCs w:val="18"/>
                <w:lang w:eastAsia="fr-FR"/>
              </w:rPr>
            </w:pPr>
            <w:r w:rsidRPr="00A52321">
              <w:rPr>
                <w:sz w:val="18"/>
                <w:szCs w:val="18"/>
                <w:lang w:eastAsia="fr-FR"/>
              </w:rPr>
              <w:t>TR 23.700-70 has concluded for Key Issue #2 that a solution based on Proxy-UDP-in-HTTP/3 [38] + QUIC-Aware Proxying [40] shall be adopted by 3GPP to Support XRM metadata identification for end-to-end encrypted XRM traffic.</w:t>
            </w:r>
          </w:p>
          <w:p w14:paraId="388DDB96" w14:textId="77777777" w:rsidR="00556509" w:rsidRPr="00A52321" w:rsidRDefault="00556509">
            <w:pPr>
              <w:pStyle w:val="CRCoverPage"/>
              <w:spacing w:after="0"/>
              <w:ind w:left="100"/>
              <w:rPr>
                <w:sz w:val="18"/>
                <w:szCs w:val="18"/>
                <w:lang w:eastAsia="fr-FR"/>
              </w:rPr>
            </w:pPr>
          </w:p>
          <w:p w14:paraId="352DE61B" w14:textId="337FE775" w:rsidR="00556509" w:rsidRPr="00470D54" w:rsidRDefault="00556509">
            <w:pPr>
              <w:pStyle w:val="CRCoverPage"/>
              <w:spacing w:after="0"/>
              <w:ind w:left="100"/>
              <w:rPr>
                <w:sz w:val="18"/>
                <w:szCs w:val="18"/>
                <w:lang w:eastAsia="fr-FR"/>
              </w:rPr>
            </w:pPr>
            <w:r w:rsidRPr="00A52321">
              <w:rPr>
                <w:sz w:val="18"/>
                <w:szCs w:val="18"/>
                <w:lang w:eastAsia="fr-FR"/>
              </w:rPr>
              <w:t>This CR introduces the changes needed to support that solution in TS 23.50</w:t>
            </w:r>
            <w:r w:rsidR="00342C83">
              <w:rPr>
                <w:sz w:val="18"/>
                <w:szCs w:val="18"/>
                <w:lang w:eastAsia="fr-FR"/>
              </w:rPr>
              <w:t>3</w:t>
            </w:r>
            <w:r w:rsidRPr="00A52321">
              <w:rPr>
                <w:sz w:val="18"/>
                <w:szCs w:val="18"/>
                <w:lang w:eastAsia="fr-FR"/>
              </w:rPr>
              <w:t>.</w:t>
            </w:r>
          </w:p>
        </w:tc>
      </w:tr>
      <w:tr w:rsidR="00556509" w14:paraId="03A13AC0" w14:textId="77777777">
        <w:tc>
          <w:tcPr>
            <w:tcW w:w="2694" w:type="dxa"/>
            <w:gridSpan w:val="2"/>
            <w:tcBorders>
              <w:left w:val="single" w:sz="4" w:space="0" w:color="auto"/>
            </w:tcBorders>
          </w:tcPr>
          <w:p w14:paraId="2D4A1991"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Default="00556509">
            <w:pPr>
              <w:pStyle w:val="CRCoverPage"/>
              <w:spacing w:after="0"/>
              <w:rPr>
                <w:noProof/>
                <w:sz w:val="8"/>
                <w:szCs w:val="8"/>
              </w:rPr>
            </w:pPr>
          </w:p>
        </w:tc>
      </w:tr>
      <w:tr w:rsidR="00556509" w14:paraId="70B0AB66" w14:textId="77777777">
        <w:tc>
          <w:tcPr>
            <w:tcW w:w="2694" w:type="dxa"/>
            <w:gridSpan w:val="2"/>
            <w:tcBorders>
              <w:left w:val="single" w:sz="4" w:space="0" w:color="auto"/>
            </w:tcBorders>
          </w:tcPr>
          <w:p w14:paraId="5B57823C" w14:textId="77777777" w:rsidR="00556509" w:rsidRDefault="005565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2436E" w14:textId="77777777" w:rsidR="00342C83" w:rsidRDefault="00342C83" w:rsidP="00342C83">
            <w:pPr>
              <w:pStyle w:val="CRCoverPage"/>
              <w:spacing w:after="0"/>
              <w:ind w:left="100"/>
              <w:rPr>
                <w:sz w:val="18"/>
                <w:szCs w:val="18"/>
                <w:lang w:eastAsia="fr-FR"/>
              </w:rPr>
            </w:pPr>
            <w:r w:rsidRPr="0083296D">
              <w:rPr>
                <w:sz w:val="18"/>
                <w:szCs w:val="18"/>
                <w:lang w:eastAsia="fr-FR"/>
              </w:rPr>
              <w:t>UPF may establish a UDP tunnel to an AS proxy according to Proxying UDP in HTTP. The AS then provides PDU Set information within HTTP datagrams.</w:t>
            </w:r>
          </w:p>
          <w:p w14:paraId="4C71D9C2" w14:textId="77777777" w:rsidR="00342C83" w:rsidRDefault="00342C83" w:rsidP="00342C83">
            <w:pPr>
              <w:pStyle w:val="CRCoverPage"/>
              <w:spacing w:after="0"/>
              <w:ind w:left="100"/>
              <w:rPr>
                <w:sz w:val="18"/>
                <w:szCs w:val="18"/>
                <w:lang w:eastAsia="fr-FR"/>
              </w:rPr>
            </w:pPr>
          </w:p>
          <w:p w14:paraId="46BBB8A0" w14:textId="77777777" w:rsidR="00342C83" w:rsidRDefault="00342C83" w:rsidP="00342C83">
            <w:pPr>
              <w:pStyle w:val="CRCoverPage"/>
              <w:spacing w:after="0"/>
              <w:ind w:left="100"/>
              <w:rPr>
                <w:sz w:val="18"/>
                <w:szCs w:val="18"/>
                <w:lang w:eastAsia="fr-FR"/>
              </w:rPr>
            </w:pPr>
            <w:r w:rsidRPr="00E861D1">
              <w:rPr>
                <w:sz w:val="18"/>
                <w:szCs w:val="18"/>
                <w:lang w:eastAsia="fr-FR"/>
              </w:rPr>
              <w:t>If the traffic is transported over QUIC and both UPF and the AS proxy support QUIC-Aware Proxying Using HTTP, they may agree on using the Forwarded Mode</w:t>
            </w:r>
            <w:r>
              <w:rPr>
                <w:sz w:val="18"/>
                <w:szCs w:val="18"/>
                <w:lang w:eastAsia="fr-FR"/>
              </w:rPr>
              <w:t>.</w:t>
            </w:r>
          </w:p>
          <w:p w14:paraId="2AA6A11A" w14:textId="77777777" w:rsidR="00342C83" w:rsidRDefault="00342C83" w:rsidP="00342C83">
            <w:pPr>
              <w:pStyle w:val="CRCoverPage"/>
              <w:spacing w:after="0"/>
              <w:ind w:left="100"/>
              <w:rPr>
                <w:sz w:val="18"/>
                <w:szCs w:val="18"/>
                <w:lang w:eastAsia="fr-FR"/>
              </w:rPr>
            </w:pPr>
          </w:p>
          <w:p w14:paraId="557F2727" w14:textId="77777777" w:rsidR="00342C83" w:rsidRDefault="00342C83" w:rsidP="00342C83">
            <w:pPr>
              <w:pStyle w:val="CRCoverPage"/>
              <w:spacing w:after="0"/>
              <w:ind w:left="100"/>
              <w:rPr>
                <w:sz w:val="18"/>
                <w:szCs w:val="18"/>
                <w:lang w:eastAsia="fr-FR"/>
              </w:rPr>
            </w:pPr>
            <w:r>
              <w:rPr>
                <w:sz w:val="18"/>
                <w:szCs w:val="18"/>
                <w:lang w:eastAsia="fr-FR"/>
              </w:rPr>
              <w:t xml:space="preserve">PDU Set Handling and End of Data Burst Indication updated to receive information through the connect-UDP in-band </w:t>
            </w:r>
            <w:proofErr w:type="spellStart"/>
            <w:r>
              <w:rPr>
                <w:sz w:val="18"/>
                <w:szCs w:val="18"/>
                <w:lang w:eastAsia="fr-FR"/>
              </w:rPr>
              <w:t>signaling</w:t>
            </w:r>
            <w:proofErr w:type="spellEnd"/>
            <w:r>
              <w:rPr>
                <w:sz w:val="18"/>
                <w:szCs w:val="18"/>
                <w:lang w:eastAsia="fr-FR"/>
              </w:rPr>
              <w:t xml:space="preserve"> protocol.</w:t>
            </w:r>
          </w:p>
          <w:p w14:paraId="0A0DF2AA" w14:textId="77777777" w:rsidR="00342C83" w:rsidRDefault="00342C83" w:rsidP="00342C83">
            <w:pPr>
              <w:pStyle w:val="CRCoverPage"/>
              <w:spacing w:after="0"/>
              <w:ind w:left="100"/>
              <w:rPr>
                <w:sz w:val="18"/>
                <w:szCs w:val="18"/>
                <w:lang w:eastAsia="fr-FR"/>
              </w:rPr>
            </w:pPr>
          </w:p>
          <w:p w14:paraId="54232206" w14:textId="16D1D510" w:rsidR="00342C83" w:rsidRDefault="00762878" w:rsidP="00342C83">
            <w:pPr>
              <w:pStyle w:val="CRCoverPage"/>
              <w:spacing w:after="0"/>
              <w:ind w:left="100"/>
              <w:rPr>
                <w:sz w:val="18"/>
                <w:szCs w:val="18"/>
                <w:lang w:eastAsia="fr-FR"/>
              </w:rPr>
            </w:pPr>
            <w:r w:rsidRPr="00F51F61">
              <w:rPr>
                <w:sz w:val="18"/>
                <w:szCs w:val="18"/>
                <w:lang w:eastAsia="fr-FR"/>
              </w:rPr>
              <w:t>Connect-UDP information</w:t>
            </w:r>
            <w:r w:rsidRPr="00F51F61" w:rsidDel="00762878">
              <w:rPr>
                <w:sz w:val="18"/>
                <w:szCs w:val="18"/>
                <w:lang w:eastAsia="fr-FR"/>
              </w:rPr>
              <w:t xml:space="preserve"> </w:t>
            </w:r>
            <w:r w:rsidR="00342C83" w:rsidRPr="00C029F4">
              <w:rPr>
                <w:sz w:val="18"/>
                <w:szCs w:val="18"/>
                <w:lang w:eastAsia="fr-FR"/>
              </w:rPr>
              <w:t xml:space="preserve">added to </w:t>
            </w:r>
            <w:r w:rsidR="00342C83">
              <w:rPr>
                <w:sz w:val="18"/>
                <w:szCs w:val="18"/>
                <w:lang w:eastAsia="fr-FR"/>
              </w:rPr>
              <w:t>the PCC</w:t>
            </w:r>
            <w:r w:rsidR="00342C83" w:rsidRPr="00C029F4">
              <w:rPr>
                <w:sz w:val="18"/>
                <w:szCs w:val="18"/>
                <w:lang w:eastAsia="fr-FR"/>
              </w:rPr>
              <w:t xml:space="preserve"> Rule</w:t>
            </w:r>
            <w:r w:rsidR="00342C83">
              <w:rPr>
                <w:sz w:val="18"/>
                <w:szCs w:val="18"/>
                <w:lang w:eastAsia="fr-FR"/>
              </w:rPr>
              <w:t>s.</w:t>
            </w:r>
          </w:p>
          <w:p w14:paraId="40A51A7E" w14:textId="77777777" w:rsidR="007954AD" w:rsidRDefault="007954AD" w:rsidP="00342C83">
            <w:pPr>
              <w:pStyle w:val="CRCoverPage"/>
              <w:spacing w:after="0"/>
              <w:ind w:left="100"/>
              <w:rPr>
                <w:sz w:val="18"/>
                <w:szCs w:val="18"/>
                <w:lang w:eastAsia="fr-FR"/>
              </w:rPr>
            </w:pPr>
          </w:p>
          <w:p w14:paraId="43BF464E" w14:textId="56C52B83" w:rsidR="007954AD" w:rsidRDefault="004830D2" w:rsidP="00342C83">
            <w:pPr>
              <w:pStyle w:val="CRCoverPage"/>
              <w:spacing w:after="0"/>
              <w:ind w:left="100"/>
              <w:rPr>
                <w:sz w:val="18"/>
                <w:szCs w:val="18"/>
                <w:lang w:eastAsia="fr-FR"/>
              </w:rPr>
            </w:pPr>
            <w:r w:rsidRPr="00F51F61">
              <w:rPr>
                <w:sz w:val="18"/>
                <w:szCs w:val="18"/>
                <w:lang w:eastAsia="fr-FR"/>
              </w:rPr>
              <w:lastRenderedPageBreak/>
              <w:t xml:space="preserve">In-band </w:t>
            </w:r>
            <w:proofErr w:type="spellStart"/>
            <w:r w:rsidRPr="00F51F61">
              <w:rPr>
                <w:sz w:val="18"/>
                <w:szCs w:val="18"/>
                <w:lang w:eastAsia="fr-FR"/>
              </w:rPr>
              <w:t>signaling</w:t>
            </w:r>
            <w:proofErr w:type="spellEnd"/>
            <w:r w:rsidRPr="00F51F61">
              <w:rPr>
                <w:sz w:val="18"/>
                <w:szCs w:val="18"/>
                <w:lang w:eastAsia="fr-FR"/>
              </w:rPr>
              <w:t xml:space="preserve"> replaced by Connect-UDP information, since the scope of this CR is the Connect-UDP solution</w:t>
            </w:r>
            <w:r w:rsidR="007954AD" w:rsidRPr="00F51F61">
              <w:rPr>
                <w:sz w:val="18"/>
                <w:szCs w:val="18"/>
                <w:lang w:eastAsia="fr-FR"/>
              </w:rPr>
              <w:t>.</w:t>
            </w:r>
          </w:p>
          <w:p w14:paraId="009F0C8A" w14:textId="2EF4AE5F" w:rsidR="00556509" w:rsidRDefault="00556509">
            <w:pPr>
              <w:pStyle w:val="CRCoverPage"/>
              <w:spacing w:after="0"/>
              <w:ind w:left="100"/>
              <w:rPr>
                <w:noProof/>
              </w:rPr>
            </w:pPr>
          </w:p>
        </w:tc>
      </w:tr>
      <w:tr w:rsidR="00556509" w14:paraId="15A43A55" w14:textId="77777777">
        <w:tc>
          <w:tcPr>
            <w:tcW w:w="2694" w:type="dxa"/>
            <w:gridSpan w:val="2"/>
            <w:tcBorders>
              <w:left w:val="single" w:sz="4" w:space="0" w:color="auto"/>
            </w:tcBorders>
          </w:tcPr>
          <w:p w14:paraId="44AC5AC5"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Default="00556509">
            <w:pPr>
              <w:pStyle w:val="CRCoverPage"/>
              <w:spacing w:after="0"/>
              <w:rPr>
                <w:noProof/>
                <w:sz w:val="8"/>
                <w:szCs w:val="8"/>
              </w:rPr>
            </w:pPr>
          </w:p>
        </w:tc>
      </w:tr>
      <w:tr w:rsidR="00556509" w14:paraId="47E04D24" w14:textId="77777777">
        <w:tc>
          <w:tcPr>
            <w:tcW w:w="2694" w:type="dxa"/>
            <w:gridSpan w:val="2"/>
            <w:tcBorders>
              <w:left w:val="single" w:sz="4" w:space="0" w:color="auto"/>
              <w:bottom w:val="single" w:sz="4" w:space="0" w:color="auto"/>
            </w:tcBorders>
          </w:tcPr>
          <w:p w14:paraId="585E8D71" w14:textId="77777777" w:rsidR="00556509" w:rsidRDefault="005565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77777777" w:rsidR="00556509" w:rsidRDefault="00556509">
            <w:pPr>
              <w:pStyle w:val="CRCoverPage"/>
              <w:spacing w:after="0"/>
              <w:ind w:left="100"/>
              <w:rPr>
                <w:noProof/>
              </w:rPr>
            </w:pPr>
            <w:r>
              <w:rPr>
                <w:noProof/>
                <w:sz w:val="18"/>
                <w:szCs w:val="18"/>
              </w:rPr>
              <w:t>PDU Set</w:t>
            </w:r>
            <w:r w:rsidRPr="00DD3874">
              <w:rPr>
                <w:noProof/>
                <w:sz w:val="18"/>
                <w:szCs w:val="18"/>
              </w:rPr>
              <w:t xml:space="preserve"> identification for end-to-end encrypted XRM traffic</w:t>
            </w:r>
            <w:r>
              <w:rPr>
                <w:noProof/>
                <w:sz w:val="18"/>
                <w:szCs w:val="18"/>
              </w:rPr>
              <w:t xml:space="preserve"> based on </w:t>
            </w:r>
            <w:r w:rsidRPr="00A52321">
              <w:rPr>
                <w:sz w:val="18"/>
                <w:szCs w:val="18"/>
                <w:lang w:eastAsia="fr-FR"/>
              </w:rPr>
              <w:t>Proxy-UDP-in-HTTP/3 [38] + QUIC-Aware Proxying</w:t>
            </w:r>
            <w:r>
              <w:rPr>
                <w:sz w:val="18"/>
                <w:szCs w:val="18"/>
                <w:lang w:eastAsia="fr-FR"/>
              </w:rPr>
              <w:t xml:space="preserve"> will not be supported.</w:t>
            </w:r>
          </w:p>
        </w:tc>
      </w:tr>
      <w:tr w:rsidR="00556509" w14:paraId="248E2569" w14:textId="77777777">
        <w:tc>
          <w:tcPr>
            <w:tcW w:w="2694" w:type="dxa"/>
            <w:gridSpan w:val="2"/>
          </w:tcPr>
          <w:p w14:paraId="02FC3D64" w14:textId="77777777" w:rsidR="00556509" w:rsidRDefault="00556509">
            <w:pPr>
              <w:pStyle w:val="CRCoverPage"/>
              <w:spacing w:after="0"/>
              <w:rPr>
                <w:b/>
                <w:i/>
                <w:noProof/>
                <w:sz w:val="8"/>
                <w:szCs w:val="8"/>
              </w:rPr>
            </w:pPr>
          </w:p>
        </w:tc>
        <w:tc>
          <w:tcPr>
            <w:tcW w:w="6946" w:type="dxa"/>
            <w:gridSpan w:val="9"/>
          </w:tcPr>
          <w:p w14:paraId="21CBDA9B" w14:textId="77777777" w:rsidR="00556509" w:rsidRDefault="00556509">
            <w:pPr>
              <w:pStyle w:val="CRCoverPage"/>
              <w:spacing w:after="0"/>
              <w:rPr>
                <w:noProof/>
                <w:sz w:val="8"/>
                <w:szCs w:val="8"/>
              </w:rPr>
            </w:pPr>
          </w:p>
        </w:tc>
      </w:tr>
      <w:tr w:rsidR="00556509" w14:paraId="6A405E3D" w14:textId="77777777">
        <w:tc>
          <w:tcPr>
            <w:tcW w:w="2694" w:type="dxa"/>
            <w:gridSpan w:val="2"/>
            <w:tcBorders>
              <w:top w:val="single" w:sz="4" w:space="0" w:color="auto"/>
              <w:left w:val="single" w:sz="4" w:space="0" w:color="auto"/>
            </w:tcBorders>
          </w:tcPr>
          <w:p w14:paraId="7C3DE0FE" w14:textId="77777777" w:rsidR="00556509" w:rsidRDefault="005565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05FF4131" w:rsidR="00556509" w:rsidRDefault="00342C83">
            <w:pPr>
              <w:pStyle w:val="CRCoverPage"/>
              <w:spacing w:after="0"/>
              <w:ind w:left="100"/>
              <w:rPr>
                <w:noProof/>
              </w:rPr>
            </w:pPr>
            <w:r>
              <w:t xml:space="preserve">3.1, </w:t>
            </w:r>
            <w:r w:rsidRPr="00402A0D">
              <w:t>6.1.3.27.4</w:t>
            </w:r>
            <w:r>
              <w:t xml:space="preserve">, </w:t>
            </w:r>
            <w:r w:rsidRPr="00402A0D">
              <w:t>6.1.3.27.5</w:t>
            </w:r>
            <w:r>
              <w:t xml:space="preserve">, </w:t>
            </w:r>
            <w:r w:rsidRPr="00402A0D">
              <w:t>6.3.1</w:t>
            </w:r>
          </w:p>
        </w:tc>
      </w:tr>
      <w:tr w:rsidR="00556509" w14:paraId="3A3DB4D5" w14:textId="77777777">
        <w:tc>
          <w:tcPr>
            <w:tcW w:w="2694" w:type="dxa"/>
            <w:gridSpan w:val="2"/>
            <w:tcBorders>
              <w:left w:val="single" w:sz="4" w:space="0" w:color="auto"/>
            </w:tcBorders>
          </w:tcPr>
          <w:p w14:paraId="426C47AA"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Default="00556509">
            <w:pPr>
              <w:pStyle w:val="CRCoverPage"/>
              <w:spacing w:after="0"/>
              <w:rPr>
                <w:noProof/>
                <w:sz w:val="8"/>
                <w:szCs w:val="8"/>
              </w:rPr>
            </w:pPr>
          </w:p>
        </w:tc>
      </w:tr>
      <w:tr w:rsidR="00556509" w14:paraId="46750065" w14:textId="77777777">
        <w:tc>
          <w:tcPr>
            <w:tcW w:w="2694" w:type="dxa"/>
            <w:gridSpan w:val="2"/>
            <w:tcBorders>
              <w:left w:val="single" w:sz="4" w:space="0" w:color="auto"/>
            </w:tcBorders>
          </w:tcPr>
          <w:p w14:paraId="6C4F101D" w14:textId="77777777" w:rsidR="00556509"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Default="005565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Default="00556509">
            <w:pPr>
              <w:pStyle w:val="CRCoverPage"/>
              <w:spacing w:after="0"/>
              <w:jc w:val="center"/>
              <w:rPr>
                <w:b/>
                <w:caps/>
                <w:noProof/>
              </w:rPr>
            </w:pPr>
            <w:r>
              <w:rPr>
                <w:b/>
                <w:caps/>
                <w:noProof/>
              </w:rPr>
              <w:t>N</w:t>
            </w:r>
          </w:p>
        </w:tc>
        <w:tc>
          <w:tcPr>
            <w:tcW w:w="2977" w:type="dxa"/>
            <w:gridSpan w:val="4"/>
          </w:tcPr>
          <w:p w14:paraId="143AB5A4" w14:textId="77777777" w:rsidR="00556509"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Default="00556509">
            <w:pPr>
              <w:pStyle w:val="CRCoverPage"/>
              <w:spacing w:after="0"/>
              <w:ind w:left="99"/>
              <w:rPr>
                <w:noProof/>
              </w:rPr>
            </w:pPr>
          </w:p>
        </w:tc>
      </w:tr>
      <w:tr w:rsidR="00556509" w14:paraId="2B4213A3" w14:textId="77777777">
        <w:tc>
          <w:tcPr>
            <w:tcW w:w="2694" w:type="dxa"/>
            <w:gridSpan w:val="2"/>
            <w:tcBorders>
              <w:left w:val="single" w:sz="4" w:space="0" w:color="auto"/>
            </w:tcBorders>
          </w:tcPr>
          <w:p w14:paraId="119CF258" w14:textId="77777777" w:rsidR="00556509" w:rsidRDefault="005565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Default="00556509">
            <w:pPr>
              <w:pStyle w:val="CRCoverPage"/>
              <w:spacing w:after="0"/>
              <w:jc w:val="center"/>
              <w:rPr>
                <w:b/>
                <w:caps/>
                <w:noProof/>
              </w:rPr>
            </w:pPr>
            <w:r>
              <w:rPr>
                <w:b/>
                <w:caps/>
                <w:noProof/>
              </w:rPr>
              <w:t>x</w:t>
            </w:r>
          </w:p>
        </w:tc>
        <w:tc>
          <w:tcPr>
            <w:tcW w:w="2977" w:type="dxa"/>
            <w:gridSpan w:val="4"/>
          </w:tcPr>
          <w:p w14:paraId="1715CEAF" w14:textId="77777777" w:rsidR="00556509" w:rsidRDefault="005565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6C78C" w14:textId="77777777" w:rsidR="00556509" w:rsidRDefault="00556509">
            <w:pPr>
              <w:pStyle w:val="CRCoverPage"/>
              <w:spacing w:after="0"/>
              <w:ind w:left="99"/>
              <w:rPr>
                <w:noProof/>
              </w:rPr>
            </w:pPr>
            <w:r>
              <w:rPr>
                <w:noProof/>
              </w:rPr>
              <w:t xml:space="preserve">TS/TR ... CR ... </w:t>
            </w:r>
          </w:p>
        </w:tc>
      </w:tr>
      <w:tr w:rsidR="00556509" w14:paraId="52FBB7EF" w14:textId="77777777">
        <w:tc>
          <w:tcPr>
            <w:tcW w:w="2694" w:type="dxa"/>
            <w:gridSpan w:val="2"/>
            <w:tcBorders>
              <w:left w:val="single" w:sz="4" w:space="0" w:color="auto"/>
            </w:tcBorders>
          </w:tcPr>
          <w:p w14:paraId="20F81C86" w14:textId="77777777" w:rsidR="00556509" w:rsidRDefault="005565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Default="00556509">
            <w:pPr>
              <w:pStyle w:val="CRCoverPage"/>
              <w:spacing w:after="0"/>
              <w:jc w:val="center"/>
              <w:rPr>
                <w:b/>
                <w:caps/>
                <w:noProof/>
              </w:rPr>
            </w:pPr>
            <w:r>
              <w:rPr>
                <w:b/>
                <w:caps/>
                <w:noProof/>
              </w:rPr>
              <w:t>x</w:t>
            </w:r>
          </w:p>
        </w:tc>
        <w:tc>
          <w:tcPr>
            <w:tcW w:w="2977" w:type="dxa"/>
            <w:gridSpan w:val="4"/>
          </w:tcPr>
          <w:p w14:paraId="78C9C26C" w14:textId="77777777" w:rsidR="00556509" w:rsidRDefault="005565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Default="00556509">
            <w:pPr>
              <w:pStyle w:val="CRCoverPage"/>
              <w:spacing w:after="0"/>
              <w:ind w:left="99"/>
              <w:rPr>
                <w:noProof/>
              </w:rPr>
            </w:pPr>
            <w:r>
              <w:rPr>
                <w:noProof/>
              </w:rPr>
              <w:t xml:space="preserve">TS/TR ... CR ... </w:t>
            </w:r>
          </w:p>
        </w:tc>
      </w:tr>
      <w:tr w:rsidR="00556509" w14:paraId="269993F0" w14:textId="77777777">
        <w:tc>
          <w:tcPr>
            <w:tcW w:w="2694" w:type="dxa"/>
            <w:gridSpan w:val="2"/>
            <w:tcBorders>
              <w:left w:val="single" w:sz="4" w:space="0" w:color="auto"/>
            </w:tcBorders>
          </w:tcPr>
          <w:p w14:paraId="1DCC236B" w14:textId="77777777" w:rsidR="00556509" w:rsidRDefault="005565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Default="00556509">
            <w:pPr>
              <w:pStyle w:val="CRCoverPage"/>
              <w:spacing w:after="0"/>
              <w:jc w:val="center"/>
              <w:rPr>
                <w:b/>
                <w:caps/>
                <w:noProof/>
              </w:rPr>
            </w:pPr>
            <w:r>
              <w:rPr>
                <w:b/>
                <w:caps/>
                <w:noProof/>
              </w:rPr>
              <w:t>x</w:t>
            </w:r>
          </w:p>
        </w:tc>
        <w:tc>
          <w:tcPr>
            <w:tcW w:w="2977" w:type="dxa"/>
            <w:gridSpan w:val="4"/>
          </w:tcPr>
          <w:p w14:paraId="08C361D7" w14:textId="77777777" w:rsidR="00556509" w:rsidRDefault="005565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Default="00556509">
            <w:pPr>
              <w:pStyle w:val="CRCoverPage"/>
              <w:spacing w:after="0"/>
              <w:ind w:left="99"/>
              <w:rPr>
                <w:noProof/>
              </w:rPr>
            </w:pPr>
            <w:r>
              <w:rPr>
                <w:noProof/>
              </w:rPr>
              <w:t xml:space="preserve">TS/TR ... CR ... </w:t>
            </w:r>
          </w:p>
        </w:tc>
      </w:tr>
      <w:tr w:rsidR="00556509" w14:paraId="4BAEA524" w14:textId="77777777">
        <w:tc>
          <w:tcPr>
            <w:tcW w:w="2694" w:type="dxa"/>
            <w:gridSpan w:val="2"/>
            <w:tcBorders>
              <w:left w:val="single" w:sz="4" w:space="0" w:color="auto"/>
            </w:tcBorders>
          </w:tcPr>
          <w:p w14:paraId="6CCD24FE" w14:textId="77777777" w:rsidR="00556509"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Default="00556509">
            <w:pPr>
              <w:pStyle w:val="CRCoverPage"/>
              <w:spacing w:after="0"/>
              <w:rPr>
                <w:noProof/>
              </w:rPr>
            </w:pPr>
          </w:p>
        </w:tc>
      </w:tr>
      <w:tr w:rsidR="00556509" w14:paraId="52C99540" w14:textId="77777777">
        <w:tc>
          <w:tcPr>
            <w:tcW w:w="2694" w:type="dxa"/>
            <w:gridSpan w:val="2"/>
            <w:tcBorders>
              <w:left w:val="single" w:sz="4" w:space="0" w:color="auto"/>
              <w:bottom w:val="single" w:sz="4" w:space="0" w:color="auto"/>
            </w:tcBorders>
          </w:tcPr>
          <w:p w14:paraId="0602383D" w14:textId="77777777" w:rsidR="00556509" w:rsidRDefault="005565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Default="00556509">
            <w:pPr>
              <w:pStyle w:val="CRCoverPage"/>
              <w:spacing w:after="0"/>
              <w:ind w:left="100"/>
              <w:rPr>
                <w:noProof/>
              </w:rPr>
            </w:pPr>
          </w:p>
        </w:tc>
      </w:tr>
      <w:tr w:rsidR="00556509" w:rsidRPr="008863B9" w14:paraId="29A3E82E" w14:textId="77777777">
        <w:tc>
          <w:tcPr>
            <w:tcW w:w="2694" w:type="dxa"/>
            <w:gridSpan w:val="2"/>
            <w:tcBorders>
              <w:top w:val="single" w:sz="4" w:space="0" w:color="auto"/>
              <w:bottom w:val="single" w:sz="4" w:space="0" w:color="auto"/>
            </w:tcBorders>
          </w:tcPr>
          <w:p w14:paraId="1A6F89B3" w14:textId="77777777" w:rsidR="00556509" w:rsidRPr="008863B9"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8863B9" w:rsidRDefault="00556509">
            <w:pPr>
              <w:pStyle w:val="CRCoverPage"/>
              <w:spacing w:after="0"/>
              <w:ind w:left="100"/>
              <w:rPr>
                <w:noProof/>
                <w:sz w:val="8"/>
                <w:szCs w:val="8"/>
              </w:rPr>
            </w:pPr>
          </w:p>
        </w:tc>
      </w:tr>
      <w:tr w:rsidR="00556509"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Default="005565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2FC43" w14:textId="77777777" w:rsidR="00556509" w:rsidRDefault="004830D2">
            <w:pPr>
              <w:pStyle w:val="CRCoverPage"/>
              <w:spacing w:after="0"/>
              <w:ind w:left="100"/>
              <w:rPr>
                <w:ins w:id="4" w:author="Ericsson r2" w:date="2024-11-20T15:57:00Z"/>
                <w:sz w:val="18"/>
                <w:szCs w:val="18"/>
                <w:lang w:eastAsia="fr-FR"/>
              </w:rPr>
            </w:pPr>
            <w:r w:rsidRPr="00AC7A9C">
              <w:rPr>
                <w:sz w:val="18"/>
                <w:szCs w:val="18"/>
                <w:lang w:eastAsia="fr-FR"/>
              </w:rPr>
              <w:t>Rev 01: In-band signaling replaced by Connect-UDP information, since the scope of this CR is the Connect-UDP solution.</w:t>
            </w:r>
          </w:p>
          <w:p w14:paraId="29339B26" w14:textId="7B121070" w:rsidR="00EC3461" w:rsidRPr="00AC7A9C" w:rsidRDefault="00EC3461">
            <w:pPr>
              <w:pStyle w:val="CRCoverPage"/>
              <w:spacing w:after="0"/>
              <w:ind w:left="100"/>
              <w:rPr>
                <w:sz w:val="18"/>
                <w:szCs w:val="18"/>
                <w:highlight w:val="yellow"/>
                <w:lang w:eastAsia="fr-FR"/>
              </w:rPr>
            </w:pPr>
            <w:ins w:id="5" w:author="Ericsson r2" w:date="2024-11-20T15:57:00Z">
              <w:r>
                <w:rPr>
                  <w:sz w:val="18"/>
                  <w:szCs w:val="18"/>
                  <w:lang w:eastAsia="fr-FR"/>
                </w:rPr>
                <w:t xml:space="preserve">Rev 02: </w:t>
              </w:r>
              <w:r w:rsidR="00B9534E">
                <w:rPr>
                  <w:sz w:val="18"/>
                  <w:szCs w:val="18"/>
                  <w:lang w:eastAsia="fr-FR"/>
                </w:rPr>
                <w:t>Connect-UDP</w:t>
              </w:r>
            </w:ins>
            <w:ins w:id="6" w:author="Ericsson r2" w:date="2024-11-20T15:58:00Z">
              <w:r w:rsidR="00CD2B39">
                <w:rPr>
                  <w:sz w:val="18"/>
                  <w:szCs w:val="18"/>
                  <w:lang w:eastAsia="fr-FR"/>
                </w:rPr>
                <w:t xml:space="preserve"> information</w:t>
              </w:r>
            </w:ins>
            <w:ins w:id="7" w:author="Ericsson r2" w:date="2024-11-20T15:57:00Z">
              <w:r w:rsidR="00B9534E">
                <w:rPr>
                  <w:sz w:val="18"/>
                  <w:szCs w:val="18"/>
                  <w:lang w:eastAsia="fr-FR"/>
                </w:rPr>
                <w:t xml:space="preserve"> generalized as In-band </w:t>
              </w:r>
            </w:ins>
            <w:ins w:id="8" w:author="Ericsson r2" w:date="2024-11-20T15:58:00Z">
              <w:r w:rsidR="00CD2B39">
                <w:rPr>
                  <w:sz w:val="18"/>
                  <w:szCs w:val="18"/>
                  <w:lang w:eastAsia="fr-FR"/>
                </w:rPr>
                <w:t>connection information</w:t>
              </w:r>
            </w:ins>
            <w:ins w:id="9" w:author="Ericsson r2" w:date="2024-11-20T16:00:00Z">
              <w:r w:rsidR="0073736F">
                <w:rPr>
                  <w:sz w:val="18"/>
                  <w:szCs w:val="18"/>
                  <w:lang w:eastAsia="fr-FR"/>
                </w:rPr>
                <w:t>.</w:t>
              </w:r>
            </w:ins>
          </w:p>
        </w:tc>
      </w:tr>
    </w:tbl>
    <w:p w14:paraId="526B9979" w14:textId="27BB1C47" w:rsidR="00467267" w:rsidRDefault="00467267" w:rsidP="00D6392B">
      <w:pPr>
        <w:overflowPunct/>
        <w:autoSpaceDE/>
        <w:autoSpaceDN/>
        <w:adjustRightInd/>
        <w:spacing w:after="0"/>
        <w:textAlignment w:val="auto"/>
        <w:rPr>
          <w:lang w:eastAsia="zh-CN"/>
        </w:rPr>
      </w:pPr>
      <w:bookmarkStart w:id="10" w:name="_Toc170198930"/>
      <w:bookmarkStart w:id="11" w:name="_Toc519004414"/>
    </w:p>
    <w:p w14:paraId="01FC90DC" w14:textId="77777777" w:rsidR="004830D2" w:rsidRDefault="004830D2" w:rsidP="00D6392B">
      <w:pPr>
        <w:overflowPunct/>
        <w:autoSpaceDE/>
        <w:autoSpaceDN/>
        <w:adjustRightInd/>
        <w:spacing w:after="0"/>
        <w:textAlignment w:val="auto"/>
        <w:rPr>
          <w:lang w:eastAsia="zh-CN"/>
        </w:rPr>
      </w:pPr>
    </w:p>
    <w:p w14:paraId="04EB9D03" w14:textId="772EF2BF" w:rsidR="00467267" w:rsidRDefault="00467267" w:rsidP="004672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0667">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7AFA881" w14:textId="32C4E850" w:rsidR="00D607FE" w:rsidRPr="00D607FE" w:rsidRDefault="00D607FE" w:rsidP="00D607FE">
      <w:pPr>
        <w:keepNext/>
        <w:keepLines/>
        <w:spacing w:before="120"/>
        <w:ind w:left="1701" w:hanging="1701"/>
        <w:outlineLvl w:val="4"/>
        <w:rPr>
          <w:rFonts w:ascii="Arial" w:eastAsia="Times New Roman" w:hAnsi="Arial"/>
          <w:color w:val="auto"/>
          <w:sz w:val="22"/>
          <w:lang w:eastAsia="zh-CN"/>
        </w:rPr>
      </w:pPr>
      <w:r w:rsidRPr="00D607FE">
        <w:rPr>
          <w:rFonts w:ascii="Arial" w:eastAsia="Times New Roman" w:hAnsi="Arial"/>
          <w:color w:val="auto"/>
          <w:sz w:val="22"/>
          <w:lang w:eastAsia="zh-CN"/>
        </w:rPr>
        <w:t>6.1.3.27.4</w:t>
      </w:r>
      <w:r w:rsidRPr="00D607FE">
        <w:rPr>
          <w:rFonts w:ascii="Arial" w:eastAsia="Times New Roman" w:hAnsi="Arial"/>
          <w:color w:val="auto"/>
          <w:sz w:val="22"/>
          <w:lang w:eastAsia="zh-CN"/>
        </w:rPr>
        <w:tab/>
        <w:t>PDU Set based handling</w:t>
      </w:r>
      <w:bookmarkEnd w:id="10"/>
    </w:p>
    <w:p w14:paraId="48E00EEA" w14:textId="3D6704D6" w:rsidR="00D607FE" w:rsidRPr="00D607FE" w:rsidRDefault="00D607FE" w:rsidP="00D607FE">
      <w:pPr>
        <w:rPr>
          <w:rFonts w:eastAsia="Times New Roman"/>
          <w:color w:val="auto"/>
          <w:lang w:eastAsia="zh-CN"/>
        </w:rPr>
      </w:pPr>
      <w:r w:rsidRPr="00D607FE">
        <w:rPr>
          <w:rFonts w:eastAsia="Times New Roman"/>
          <w:color w:val="auto"/>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w:t>
      </w:r>
      <w:ins w:id="12" w:author="Ericsson" w:date="2024-10-04T13:54:00Z">
        <w:r w:rsidR="0002296B" w:rsidRPr="0002296B">
          <w:rPr>
            <w:rFonts w:eastAsia="Times New Roman"/>
            <w:color w:val="auto"/>
            <w:lang w:eastAsia="zh-CN"/>
          </w:rPr>
          <w:t>Alternatively</w:t>
        </w:r>
        <w:r w:rsidR="0002296B" w:rsidRPr="007D2415">
          <w:rPr>
            <w:rFonts w:eastAsia="Times New Roman"/>
            <w:color w:val="auto"/>
            <w:lang w:eastAsia="zh-CN"/>
          </w:rPr>
          <w:t xml:space="preserve">, when the AF </w:t>
        </w:r>
      </w:ins>
      <w:ins w:id="13" w:author="Ericsson 2" w:date="2024-11-04T16:01:00Z">
        <w:r w:rsidR="00EA7B18" w:rsidRPr="003D49A2">
          <w:rPr>
            <w:rFonts w:eastAsia="Times New Roman"/>
            <w:color w:val="auto"/>
            <w:lang w:eastAsia="zh-CN"/>
          </w:rPr>
          <w:t xml:space="preserve">includes </w:t>
        </w:r>
        <w:del w:id="14" w:author="Ericsson r2" w:date="2024-11-20T15:26:00Z">
          <w:r w:rsidR="00EA7B18" w:rsidRPr="00984ED3" w:rsidDel="00DB6B7D">
            <w:rPr>
              <w:rFonts w:eastAsia="Times New Roman"/>
              <w:color w:val="auto"/>
              <w:highlight w:val="yellow"/>
              <w:lang w:eastAsia="zh-CN"/>
              <w:rPrChange w:id="15" w:author="Ericsson r2" w:date="2024-11-20T15:26:00Z">
                <w:rPr>
                  <w:rFonts w:eastAsia="Times New Roman"/>
                  <w:color w:val="auto"/>
                  <w:lang w:eastAsia="zh-CN"/>
                </w:rPr>
              </w:rPrChange>
            </w:rPr>
            <w:delText>Connect-UDP</w:delText>
          </w:r>
        </w:del>
      </w:ins>
      <w:ins w:id="16" w:author="Ericsson r2" w:date="2024-11-20T15:26:00Z">
        <w:r w:rsidR="00DB6B7D" w:rsidRPr="00984ED3">
          <w:rPr>
            <w:rFonts w:eastAsia="Times New Roman"/>
            <w:color w:val="auto"/>
            <w:highlight w:val="yellow"/>
            <w:lang w:eastAsia="zh-CN"/>
            <w:rPrChange w:id="17" w:author="Ericsson r2" w:date="2024-11-20T15:26:00Z">
              <w:rPr>
                <w:rFonts w:eastAsia="Times New Roman"/>
                <w:color w:val="auto"/>
                <w:lang w:eastAsia="zh-CN"/>
              </w:rPr>
            </w:rPrChange>
          </w:rPr>
          <w:t>In-band connection</w:t>
        </w:r>
      </w:ins>
      <w:ins w:id="18" w:author="Ericsson" w:date="2024-10-04T13:54:00Z">
        <w:r w:rsidR="0002296B" w:rsidRPr="007D2415">
          <w:rPr>
            <w:rFonts w:eastAsia="Times New Roman"/>
            <w:color w:val="auto"/>
            <w:lang w:eastAsia="zh-CN"/>
          </w:rPr>
          <w:t xml:space="preserve"> information</w:t>
        </w:r>
      </w:ins>
      <w:ins w:id="19" w:author="Ericsson" w:date="2024-11-07T11:55:00Z">
        <w:r w:rsidR="00DB4509" w:rsidRPr="007D2415">
          <w:rPr>
            <w:rFonts w:eastAsia="Times New Roman"/>
            <w:color w:val="auto"/>
            <w:lang w:eastAsia="zh-CN"/>
          </w:rPr>
          <w:t xml:space="preserve"> </w:t>
        </w:r>
      </w:ins>
      <w:ins w:id="20" w:author="Ericsson" w:date="2024-10-04T13:54:00Z">
        <w:r w:rsidR="0002296B" w:rsidRPr="007D2415">
          <w:rPr>
            <w:rFonts w:eastAsia="Times New Roman"/>
            <w:color w:val="auto"/>
            <w:lang w:eastAsia="zh-CN"/>
          </w:rPr>
          <w:t xml:space="preserve">to enable retrieval of PDU Set Information for encrypted traffic, the PCF may, based on local configuration or on the information received from the AF, generate PDU Set Control Information together with the </w:t>
        </w:r>
      </w:ins>
      <w:ins w:id="21" w:author="Ericsson r2" w:date="2024-11-20T15:26:00Z">
        <w:r w:rsidR="00984ED3" w:rsidRPr="002E0938">
          <w:rPr>
            <w:rFonts w:eastAsia="Times New Roman"/>
            <w:color w:val="auto"/>
            <w:highlight w:val="yellow"/>
            <w:lang w:eastAsia="zh-CN"/>
          </w:rPr>
          <w:t>In-band connection</w:t>
        </w:r>
        <w:r w:rsidR="00984ED3" w:rsidRPr="007D2415">
          <w:rPr>
            <w:rFonts w:eastAsia="Times New Roman"/>
            <w:color w:val="auto"/>
            <w:lang w:eastAsia="zh-CN"/>
          </w:rPr>
          <w:t xml:space="preserve"> </w:t>
        </w:r>
      </w:ins>
      <w:ins w:id="22" w:author="Ericsson 2" w:date="2024-11-04T16:03:00Z">
        <w:del w:id="23" w:author="Ericsson r2" w:date="2024-11-20T15:26:00Z">
          <w:r w:rsidR="00400B71" w:rsidRPr="00984ED3" w:rsidDel="00984ED3">
            <w:rPr>
              <w:rFonts w:eastAsia="Times New Roman"/>
              <w:color w:val="auto"/>
              <w:highlight w:val="yellow"/>
              <w:lang w:eastAsia="zh-CN"/>
              <w:rPrChange w:id="24" w:author="Ericsson r2" w:date="2024-11-20T15:26:00Z">
                <w:rPr>
                  <w:rFonts w:eastAsia="Times New Roman"/>
                  <w:color w:val="auto"/>
                  <w:lang w:eastAsia="zh-CN"/>
                </w:rPr>
              </w:rPrChange>
            </w:rPr>
            <w:delText>Connect-UDP</w:delText>
          </w:r>
        </w:del>
      </w:ins>
      <w:ins w:id="25" w:author="Ericsson" w:date="2024-10-04T13:54:00Z">
        <w:del w:id="26" w:author="Ericsson r2" w:date="2024-11-20T15:26:00Z">
          <w:r w:rsidR="0002296B" w:rsidRPr="007D2415" w:rsidDel="00984ED3">
            <w:rPr>
              <w:rFonts w:eastAsia="Times New Roman"/>
              <w:color w:val="auto"/>
              <w:lang w:eastAsia="zh-CN"/>
            </w:rPr>
            <w:delText xml:space="preserve"> </w:delText>
          </w:r>
        </w:del>
        <w:r w:rsidR="0002296B" w:rsidRPr="007D2415">
          <w:rPr>
            <w:rFonts w:eastAsia="Times New Roman"/>
            <w:color w:val="auto"/>
            <w:lang w:eastAsia="zh-CN"/>
          </w:rPr>
          <w:t xml:space="preserve">information and provide it in the PCC </w:t>
        </w:r>
        <w:proofErr w:type="spellStart"/>
        <w:r w:rsidR="0002296B" w:rsidRPr="007D2415">
          <w:rPr>
            <w:rFonts w:eastAsia="Times New Roman"/>
            <w:color w:val="auto"/>
            <w:lang w:eastAsia="zh-CN"/>
          </w:rPr>
          <w:t>Rule.</w:t>
        </w:r>
      </w:ins>
      <w:r w:rsidRPr="007D2415">
        <w:rPr>
          <w:rFonts w:eastAsia="Times New Roman"/>
          <w:color w:val="auto"/>
          <w:lang w:eastAsia="zh-CN"/>
        </w:rPr>
        <w:t>The</w:t>
      </w:r>
      <w:proofErr w:type="spellEnd"/>
      <w:r w:rsidRPr="007D2415">
        <w:rPr>
          <w:rFonts w:eastAsia="Times New Roman"/>
          <w:color w:val="auto"/>
          <w:lang w:eastAsia="zh-CN"/>
        </w:rPr>
        <w:t xml:space="preserv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w:t>
      </w:r>
      <w:ins w:id="27" w:author="Ericsson" w:date="2024-10-04T13:54:00Z">
        <w:r w:rsidR="00F12F4F" w:rsidRPr="007D2415">
          <w:rPr>
            <w:rFonts w:eastAsia="Times New Roman"/>
            <w:color w:val="auto"/>
            <w:lang w:eastAsia="zh-CN"/>
          </w:rPr>
          <w:t xml:space="preserve"> or </w:t>
        </w:r>
      </w:ins>
      <w:ins w:id="28" w:author="Ericsson r2" w:date="2024-11-20T15:27:00Z">
        <w:r w:rsidR="00B61A5A" w:rsidRPr="002E0938">
          <w:rPr>
            <w:rFonts w:eastAsia="Times New Roman"/>
            <w:color w:val="auto"/>
            <w:highlight w:val="yellow"/>
            <w:lang w:eastAsia="zh-CN"/>
          </w:rPr>
          <w:t>In-band connection</w:t>
        </w:r>
        <w:r w:rsidR="00B61A5A" w:rsidRPr="007D2415">
          <w:rPr>
            <w:rFonts w:eastAsia="Times New Roman"/>
            <w:color w:val="auto"/>
            <w:lang w:eastAsia="zh-CN"/>
          </w:rPr>
          <w:t xml:space="preserve"> </w:t>
        </w:r>
      </w:ins>
      <w:ins w:id="29" w:author="Ericsson 2" w:date="2024-11-04T16:03:00Z">
        <w:del w:id="30" w:author="Ericsson r2" w:date="2024-11-20T15:27:00Z">
          <w:r w:rsidR="001929A7" w:rsidRPr="00B61A5A" w:rsidDel="00B61A5A">
            <w:rPr>
              <w:rFonts w:eastAsia="Times New Roman"/>
              <w:color w:val="auto"/>
              <w:highlight w:val="yellow"/>
              <w:lang w:eastAsia="ko-KR"/>
              <w:rPrChange w:id="31" w:author="Ericsson r2" w:date="2024-11-20T15:27:00Z">
                <w:rPr>
                  <w:rFonts w:eastAsia="Times New Roman"/>
                  <w:color w:val="auto"/>
                  <w:lang w:eastAsia="ko-KR"/>
                </w:rPr>
              </w:rPrChange>
            </w:rPr>
            <w:delText>Connect-UDP</w:delText>
          </w:r>
        </w:del>
      </w:ins>
      <w:ins w:id="32" w:author="Ericsson" w:date="2024-10-04T13:54:00Z">
        <w:del w:id="33" w:author="Ericsson r2" w:date="2024-11-20T15:27:00Z">
          <w:r w:rsidR="00F12F4F" w:rsidRPr="007D2415" w:rsidDel="00B61A5A">
            <w:rPr>
              <w:rFonts w:eastAsia="Times New Roman"/>
              <w:color w:val="auto"/>
              <w:lang w:eastAsia="ko-KR"/>
            </w:rPr>
            <w:delText xml:space="preserve"> </w:delText>
          </w:r>
        </w:del>
        <w:r w:rsidR="00F12F4F" w:rsidRPr="007D2415">
          <w:rPr>
            <w:rFonts w:eastAsia="Times New Roman"/>
            <w:color w:val="auto"/>
            <w:lang w:eastAsia="ko-KR"/>
          </w:rPr>
          <w:t>information</w:t>
        </w:r>
      </w:ins>
      <w:r w:rsidRPr="007D2415">
        <w:rPr>
          <w:rFonts w:eastAsia="Times New Roman"/>
          <w:color w:val="auto"/>
          <w:lang w:eastAsia="zh-CN"/>
        </w:rPr>
        <w:t>, it is</w:t>
      </w:r>
      <w:r w:rsidRPr="00D607FE">
        <w:rPr>
          <w:rFonts w:eastAsia="Times New Roman"/>
          <w:color w:val="auto"/>
          <w:lang w:eastAsia="zh-CN"/>
        </w:rPr>
        <w:t xml:space="preserve"> used for PDU Set identification (as described in clause 5.37.5 of TS 23.501 [2]).</w:t>
      </w:r>
    </w:p>
    <w:p w14:paraId="56A90DBC" w14:textId="77777777" w:rsidR="00D607FE" w:rsidRPr="00D607FE" w:rsidRDefault="00D607FE" w:rsidP="00D607FE">
      <w:pPr>
        <w:rPr>
          <w:rFonts w:eastAsia="Times New Roman"/>
          <w:color w:val="auto"/>
          <w:lang w:eastAsia="zh-CN"/>
        </w:rPr>
      </w:pPr>
      <w:r w:rsidRPr="00D607FE">
        <w:rPr>
          <w:rFonts w:eastAsia="Times New Roman"/>
          <w:color w:val="auto"/>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based handling and the Protocol Description (UL and/or DL).</w:t>
      </w:r>
    </w:p>
    <w:p w14:paraId="2E80C043" w14:textId="77777777" w:rsidR="00D607FE" w:rsidRPr="00D607FE" w:rsidRDefault="00D607FE" w:rsidP="00D607FE">
      <w:pPr>
        <w:keepNext/>
        <w:keepLines/>
        <w:spacing w:before="120"/>
        <w:ind w:left="1701" w:hanging="1701"/>
        <w:outlineLvl w:val="4"/>
        <w:rPr>
          <w:rFonts w:ascii="Arial" w:eastAsia="Times New Roman" w:hAnsi="Arial"/>
          <w:color w:val="auto"/>
          <w:sz w:val="22"/>
          <w:lang w:eastAsia="zh-CN"/>
        </w:rPr>
      </w:pPr>
      <w:bookmarkStart w:id="34" w:name="_CR6_1_3_28"/>
      <w:bookmarkStart w:id="35" w:name="_Toc170198931"/>
      <w:bookmarkEnd w:id="34"/>
      <w:r w:rsidRPr="00D607FE">
        <w:rPr>
          <w:rFonts w:ascii="Arial" w:eastAsia="Times New Roman" w:hAnsi="Arial"/>
          <w:color w:val="auto"/>
          <w:sz w:val="22"/>
          <w:lang w:eastAsia="zh-CN"/>
        </w:rPr>
        <w:t>6.1.3.27.5</w:t>
      </w:r>
      <w:r w:rsidRPr="00D607FE">
        <w:rPr>
          <w:rFonts w:ascii="Arial" w:eastAsia="Times New Roman" w:hAnsi="Arial"/>
          <w:color w:val="auto"/>
          <w:sz w:val="22"/>
          <w:lang w:eastAsia="zh-CN"/>
        </w:rPr>
        <w:tab/>
        <w:t>Data Burst Based Handling</w:t>
      </w:r>
      <w:bookmarkEnd w:id="35"/>
    </w:p>
    <w:p w14:paraId="1C5C9173" w14:textId="31CF1C2F" w:rsidR="00D607FE" w:rsidRPr="00D607FE" w:rsidRDefault="00D607FE" w:rsidP="00D607FE">
      <w:pPr>
        <w:rPr>
          <w:rFonts w:eastAsia="Times New Roman"/>
          <w:color w:val="auto"/>
          <w:lang w:eastAsia="zh-CN"/>
        </w:rPr>
      </w:pPr>
      <w:r w:rsidRPr="00D607FE">
        <w:rPr>
          <w:rFonts w:eastAsia="Times New Roman"/>
          <w:color w:val="auto"/>
          <w:lang w:eastAsia="zh-CN"/>
        </w:rPr>
        <w:t>The detection and marking of End of Data Burst is defined in clause 5.37.8.3 of TS 23.501 [2]. Based on the AF provided DL Protocol Description</w:t>
      </w:r>
      <w:ins w:id="36" w:author="Ericsson" w:date="2024-10-04T13:55:00Z">
        <w:del w:id="37" w:author="Ericsson r2" w:date="2024-11-20T15:28:00Z">
          <w:r w:rsidR="00F12F4F" w:rsidRPr="007C726A" w:rsidDel="0088313C">
            <w:rPr>
              <w:rFonts w:eastAsia="Times New Roman"/>
              <w:color w:val="auto"/>
              <w:highlight w:val="yellow"/>
              <w:lang w:eastAsia="zh-CN"/>
              <w:rPrChange w:id="38" w:author="Ericsson r2" w:date="2024-11-20T15:42:00Z">
                <w:rPr>
                  <w:rFonts w:eastAsia="Times New Roman"/>
                  <w:color w:val="auto"/>
                  <w:lang w:eastAsia="zh-CN"/>
                </w:rPr>
              </w:rPrChange>
            </w:rPr>
            <w:delText xml:space="preserve">, </w:delText>
          </w:r>
        </w:del>
      </w:ins>
      <w:ins w:id="39" w:author="Ericsson 2" w:date="2024-11-04T16:04:00Z">
        <w:del w:id="40" w:author="Ericsson r2" w:date="2024-11-20T15:28:00Z">
          <w:r w:rsidR="001929A7" w:rsidRPr="007C726A" w:rsidDel="0088313C">
            <w:rPr>
              <w:rFonts w:eastAsia="Times New Roman"/>
              <w:color w:val="auto"/>
              <w:highlight w:val="yellow"/>
              <w:lang w:eastAsia="ko-KR"/>
              <w:rPrChange w:id="41" w:author="Ericsson r2" w:date="2024-11-20T15:42:00Z">
                <w:rPr>
                  <w:rFonts w:eastAsia="Times New Roman"/>
                  <w:color w:val="auto"/>
                  <w:lang w:eastAsia="ko-KR"/>
                </w:rPr>
              </w:rPrChange>
            </w:rPr>
            <w:delText xml:space="preserve">Connect-UDP </w:delText>
          </w:r>
        </w:del>
      </w:ins>
      <w:ins w:id="42" w:author="Ericsson" w:date="2024-10-04T13:55:00Z">
        <w:del w:id="43" w:author="Ericsson r2" w:date="2024-11-20T15:28:00Z">
          <w:r w:rsidR="00F12F4F" w:rsidRPr="007C726A" w:rsidDel="0088313C">
            <w:rPr>
              <w:rFonts w:eastAsia="Times New Roman"/>
              <w:color w:val="auto"/>
              <w:highlight w:val="yellow"/>
              <w:lang w:eastAsia="ko-KR"/>
            </w:rPr>
            <w:delText xml:space="preserve">information </w:delText>
          </w:r>
          <w:r w:rsidR="00F12F4F" w:rsidRPr="007C726A" w:rsidDel="0088313C">
            <w:rPr>
              <w:rFonts w:eastAsia="Times New Roman"/>
              <w:color w:val="auto"/>
              <w:highlight w:val="yellow"/>
              <w:lang w:eastAsia="zh-CN"/>
              <w:rPrChange w:id="44" w:author="Ericsson r2" w:date="2024-11-20T15:42:00Z">
                <w:rPr>
                  <w:rFonts w:eastAsia="Times New Roman"/>
                  <w:color w:val="auto"/>
                  <w:lang w:eastAsia="zh-CN"/>
                </w:rPr>
              </w:rPrChange>
            </w:rPr>
            <w:delText>in case of encrypted traffic</w:delText>
          </w:r>
        </w:del>
      </w:ins>
      <w:r w:rsidRPr="0081433D">
        <w:rPr>
          <w:rFonts w:eastAsia="Times New Roman"/>
          <w:color w:val="auto"/>
          <w:lang w:eastAsia="zh-CN"/>
        </w:rPr>
        <w:t xml:space="preserve"> (see clause 5.37.5 of TS 23.501 [2] and TS 26.522 [40])</w:t>
      </w:r>
      <w:ins w:id="45" w:author="Ericsson r2" w:date="2024-11-20T15:29:00Z">
        <w:r w:rsidR="0088313C">
          <w:rPr>
            <w:rFonts w:eastAsia="Times New Roman"/>
            <w:color w:val="auto"/>
            <w:lang w:eastAsia="zh-CN"/>
          </w:rPr>
          <w:t xml:space="preserve">, </w:t>
        </w:r>
        <w:r w:rsidR="0088313C" w:rsidRPr="007C726A">
          <w:rPr>
            <w:rFonts w:eastAsia="Times New Roman"/>
            <w:color w:val="auto"/>
            <w:highlight w:val="yellow"/>
            <w:lang w:eastAsia="zh-CN"/>
            <w:rPrChange w:id="46" w:author="Ericsson r2" w:date="2024-11-20T15:42:00Z">
              <w:rPr>
                <w:rFonts w:eastAsia="Times New Roman"/>
                <w:color w:val="auto"/>
                <w:lang w:eastAsia="zh-CN"/>
              </w:rPr>
            </w:rPrChange>
          </w:rPr>
          <w:t>In-band connection</w:t>
        </w:r>
        <w:r w:rsidR="0088313C" w:rsidRPr="007C726A">
          <w:rPr>
            <w:rFonts w:eastAsia="Times New Roman"/>
            <w:color w:val="auto"/>
            <w:highlight w:val="yellow"/>
            <w:lang w:eastAsia="ko-KR"/>
            <w:rPrChange w:id="47" w:author="Ericsson r2" w:date="2024-11-20T15:42:00Z">
              <w:rPr>
                <w:rFonts w:eastAsia="Times New Roman"/>
                <w:color w:val="auto"/>
                <w:lang w:eastAsia="ko-KR"/>
              </w:rPr>
            </w:rPrChange>
          </w:rPr>
          <w:t xml:space="preserve"> information </w:t>
        </w:r>
        <w:r w:rsidR="0088313C" w:rsidRPr="007C726A">
          <w:rPr>
            <w:rFonts w:eastAsia="Times New Roman"/>
            <w:color w:val="auto"/>
            <w:highlight w:val="yellow"/>
            <w:lang w:eastAsia="zh-CN"/>
            <w:rPrChange w:id="48" w:author="Ericsson r2" w:date="2024-11-20T15:42:00Z">
              <w:rPr>
                <w:rFonts w:eastAsia="Times New Roman"/>
                <w:color w:val="auto"/>
                <w:lang w:eastAsia="zh-CN"/>
              </w:rPr>
            </w:rPrChange>
          </w:rPr>
          <w:t xml:space="preserve">(see </w:t>
        </w:r>
        <w:r w:rsidR="00836883" w:rsidRPr="007C726A">
          <w:rPr>
            <w:rFonts w:eastAsia="Times New Roman"/>
            <w:color w:val="auto"/>
            <w:highlight w:val="yellow"/>
            <w:lang w:eastAsia="zh-CN"/>
            <w:rPrChange w:id="49" w:author="Ericsson r2" w:date="2024-11-20T15:42:00Z">
              <w:rPr>
                <w:rFonts w:eastAsia="Times New Roman"/>
                <w:color w:val="auto"/>
                <w:lang w:eastAsia="zh-CN"/>
              </w:rPr>
            </w:rPrChange>
          </w:rPr>
          <w:t xml:space="preserve">clause </w:t>
        </w:r>
      </w:ins>
      <w:ins w:id="50" w:author="Ericsson r2" w:date="2024-11-20T15:30:00Z">
        <w:r w:rsidR="00836883" w:rsidRPr="007C726A">
          <w:rPr>
            <w:rFonts w:eastAsia="Times New Roman"/>
            <w:color w:val="auto"/>
            <w:highlight w:val="yellow"/>
            <w:lang w:eastAsia="zh-CN"/>
            <w:rPrChange w:id="51" w:author="Ericsson r2" w:date="2024-11-20T15:42:00Z">
              <w:rPr>
                <w:rFonts w:eastAsia="Times New Roman"/>
                <w:color w:val="auto"/>
                <w:lang w:eastAsia="zh-CN"/>
              </w:rPr>
            </w:rPrChange>
          </w:rPr>
          <w:t>5.37.X</w:t>
        </w:r>
      </w:ins>
      <w:ins w:id="52" w:author="Ericsson r2" w:date="2024-11-20T15:44:00Z">
        <w:r w:rsidR="008772F9">
          <w:rPr>
            <w:rFonts w:eastAsia="Times New Roman"/>
            <w:color w:val="auto"/>
            <w:highlight w:val="yellow"/>
            <w:lang w:eastAsia="zh-CN"/>
          </w:rPr>
          <w:t>.3</w:t>
        </w:r>
      </w:ins>
      <w:ins w:id="53" w:author="Ericsson r2" w:date="2024-11-20T15:30:00Z">
        <w:r w:rsidR="00836883" w:rsidRPr="007C726A">
          <w:rPr>
            <w:rFonts w:eastAsia="Times New Roman"/>
            <w:color w:val="auto"/>
            <w:highlight w:val="yellow"/>
            <w:lang w:eastAsia="zh-CN"/>
            <w:rPrChange w:id="54" w:author="Ericsson r2" w:date="2024-11-20T15:42:00Z">
              <w:rPr>
                <w:rFonts w:eastAsia="Times New Roman"/>
                <w:color w:val="auto"/>
                <w:lang w:eastAsia="zh-CN"/>
              </w:rPr>
            </w:rPrChange>
          </w:rPr>
          <w:t xml:space="preserve"> of TS 23.501</w:t>
        </w:r>
        <w:r w:rsidR="005B3AC0" w:rsidRPr="007C726A">
          <w:rPr>
            <w:rFonts w:eastAsia="Times New Roman"/>
            <w:color w:val="auto"/>
            <w:highlight w:val="yellow"/>
            <w:lang w:eastAsia="zh-CN"/>
            <w:rPrChange w:id="55" w:author="Ericsson r2" w:date="2024-11-20T15:42:00Z">
              <w:rPr>
                <w:rFonts w:eastAsia="Times New Roman"/>
                <w:color w:val="auto"/>
                <w:lang w:eastAsia="zh-CN"/>
              </w:rPr>
            </w:rPrChange>
          </w:rPr>
          <w:t>)</w:t>
        </w:r>
      </w:ins>
      <w:r w:rsidRPr="0081433D">
        <w:rPr>
          <w:rFonts w:eastAsia="Times New Roman"/>
          <w:color w:val="auto"/>
          <w:lang w:eastAsia="zh-CN"/>
        </w:rPr>
        <w:t xml:space="preserve"> and/or local configuration, the PCF generates the End of Data Burst Marking Indication (see clause 5.37.8.3 of TS 23.501 [2]) and provides it and the DL Protocol Description </w:t>
      </w:r>
      <w:ins w:id="56" w:author="Ericsson" w:date="2024-10-04T13:56:00Z">
        <w:r w:rsidR="002B087A" w:rsidRPr="0081433D">
          <w:rPr>
            <w:rFonts w:eastAsia="Times New Roman"/>
            <w:color w:val="auto"/>
            <w:lang w:eastAsia="zh-CN"/>
          </w:rPr>
          <w:t xml:space="preserve">or the </w:t>
        </w:r>
      </w:ins>
      <w:ins w:id="57" w:author="Ericsson 2" w:date="2024-11-04T16:04:00Z">
        <w:del w:id="58" w:author="Ericsson r2" w:date="2024-11-20T15:47:00Z">
          <w:r w:rsidR="001929A7" w:rsidRPr="004A0AEF" w:rsidDel="00D157FE">
            <w:rPr>
              <w:rFonts w:eastAsia="Times New Roman"/>
              <w:color w:val="auto"/>
              <w:highlight w:val="yellow"/>
              <w:lang w:eastAsia="ko-KR"/>
              <w:rPrChange w:id="59" w:author="Ericsson r2" w:date="2024-11-20T15:48:00Z">
                <w:rPr>
                  <w:rFonts w:eastAsia="Times New Roman"/>
                  <w:color w:val="auto"/>
                  <w:lang w:eastAsia="ko-KR"/>
                </w:rPr>
              </w:rPrChange>
            </w:rPr>
            <w:delText>Connect-UDP</w:delText>
          </w:r>
        </w:del>
      </w:ins>
      <w:ins w:id="60" w:author="Ericsson r2" w:date="2024-11-20T15:47:00Z">
        <w:r w:rsidR="00D157FE" w:rsidRPr="004A0AEF">
          <w:rPr>
            <w:rFonts w:eastAsia="Times New Roman"/>
            <w:color w:val="auto"/>
            <w:highlight w:val="yellow"/>
            <w:lang w:eastAsia="ko-KR"/>
            <w:rPrChange w:id="61" w:author="Ericsson r2" w:date="2024-11-20T15:48:00Z">
              <w:rPr>
                <w:rFonts w:eastAsia="Times New Roman"/>
                <w:color w:val="auto"/>
                <w:lang w:eastAsia="ko-KR"/>
              </w:rPr>
            </w:rPrChange>
          </w:rPr>
          <w:t>In-ba</w:t>
        </w:r>
        <w:r w:rsidR="00794367" w:rsidRPr="004A0AEF">
          <w:rPr>
            <w:rFonts w:eastAsia="Times New Roman"/>
            <w:color w:val="auto"/>
            <w:highlight w:val="yellow"/>
            <w:lang w:eastAsia="ko-KR"/>
            <w:rPrChange w:id="62" w:author="Ericsson r2" w:date="2024-11-20T15:48:00Z">
              <w:rPr>
                <w:rFonts w:eastAsia="Times New Roman"/>
                <w:color w:val="auto"/>
                <w:lang w:eastAsia="ko-KR"/>
              </w:rPr>
            </w:rPrChange>
          </w:rPr>
          <w:t>n</w:t>
        </w:r>
        <w:r w:rsidR="00D157FE" w:rsidRPr="004A0AEF">
          <w:rPr>
            <w:rFonts w:eastAsia="Times New Roman"/>
            <w:color w:val="auto"/>
            <w:highlight w:val="yellow"/>
            <w:lang w:eastAsia="ko-KR"/>
            <w:rPrChange w:id="63" w:author="Ericsson r2" w:date="2024-11-20T15:48:00Z">
              <w:rPr>
                <w:rFonts w:eastAsia="Times New Roman"/>
                <w:color w:val="auto"/>
                <w:lang w:eastAsia="ko-KR"/>
              </w:rPr>
            </w:rPrChange>
          </w:rPr>
          <w:t xml:space="preserve">d </w:t>
        </w:r>
      </w:ins>
      <w:ins w:id="64" w:author="Ericsson r2" w:date="2024-11-20T15:48:00Z">
        <w:r w:rsidR="00794367" w:rsidRPr="004A0AEF">
          <w:rPr>
            <w:rFonts w:eastAsia="Times New Roman"/>
            <w:color w:val="auto"/>
            <w:highlight w:val="yellow"/>
            <w:lang w:eastAsia="ko-KR"/>
            <w:rPrChange w:id="65" w:author="Ericsson r2" w:date="2024-11-20T15:48:00Z">
              <w:rPr>
                <w:rFonts w:eastAsia="Times New Roman"/>
                <w:color w:val="auto"/>
                <w:lang w:eastAsia="ko-KR"/>
              </w:rPr>
            </w:rPrChange>
          </w:rPr>
          <w:t>C</w:t>
        </w:r>
      </w:ins>
      <w:ins w:id="66" w:author="Ericsson r2" w:date="2024-11-20T15:47:00Z">
        <w:r w:rsidR="00D157FE" w:rsidRPr="004A0AEF">
          <w:rPr>
            <w:rFonts w:eastAsia="Times New Roman"/>
            <w:color w:val="auto"/>
            <w:highlight w:val="yellow"/>
            <w:lang w:eastAsia="ko-KR"/>
            <w:rPrChange w:id="67" w:author="Ericsson r2" w:date="2024-11-20T15:48:00Z">
              <w:rPr>
                <w:rFonts w:eastAsia="Times New Roman"/>
                <w:color w:val="auto"/>
                <w:lang w:eastAsia="ko-KR"/>
              </w:rPr>
            </w:rPrChange>
          </w:rPr>
          <w:t>onnection</w:t>
        </w:r>
      </w:ins>
      <w:ins w:id="68" w:author="Ericsson" w:date="2024-11-07T11:56:00Z">
        <w:r w:rsidR="00EB0F21" w:rsidRPr="004A0AEF">
          <w:rPr>
            <w:rFonts w:eastAsia="Times New Roman"/>
            <w:color w:val="auto"/>
            <w:highlight w:val="yellow"/>
            <w:lang w:eastAsia="ko-KR"/>
            <w:rPrChange w:id="69" w:author="Ericsson r2" w:date="2024-11-20T15:48:00Z">
              <w:rPr>
                <w:rFonts w:eastAsia="Times New Roman"/>
                <w:color w:val="auto"/>
                <w:lang w:eastAsia="ko-KR"/>
              </w:rPr>
            </w:rPrChange>
          </w:rPr>
          <w:t xml:space="preserve"> </w:t>
        </w:r>
      </w:ins>
      <w:ins w:id="70" w:author="Ericsson r2" w:date="2024-11-20T15:48:00Z">
        <w:r w:rsidR="004A0AEF" w:rsidRPr="004A0AEF">
          <w:rPr>
            <w:rFonts w:eastAsia="Times New Roman"/>
            <w:color w:val="auto"/>
            <w:highlight w:val="yellow"/>
            <w:lang w:eastAsia="ko-KR"/>
            <w:rPrChange w:id="71" w:author="Ericsson r2" w:date="2024-11-20T15:48:00Z">
              <w:rPr>
                <w:rFonts w:eastAsia="Times New Roman"/>
                <w:color w:val="auto"/>
                <w:lang w:eastAsia="ko-KR"/>
              </w:rPr>
            </w:rPrChange>
          </w:rPr>
          <w:t>I</w:t>
        </w:r>
      </w:ins>
      <w:ins w:id="72" w:author="Ericsson" w:date="2024-10-04T13:56:00Z">
        <w:del w:id="73" w:author="Ericsson r2" w:date="2024-11-20T15:48:00Z">
          <w:r w:rsidR="002B087A" w:rsidRPr="004A0AEF" w:rsidDel="004A0AEF">
            <w:rPr>
              <w:rFonts w:eastAsia="Times New Roman"/>
              <w:color w:val="auto"/>
              <w:highlight w:val="yellow"/>
              <w:lang w:eastAsia="ko-KR"/>
              <w:rPrChange w:id="74" w:author="Ericsson r2" w:date="2024-11-20T15:48:00Z">
                <w:rPr>
                  <w:rFonts w:eastAsia="Times New Roman"/>
                  <w:color w:val="auto"/>
                  <w:lang w:eastAsia="ko-KR"/>
                </w:rPr>
              </w:rPrChange>
            </w:rPr>
            <w:delText>i</w:delText>
          </w:r>
        </w:del>
        <w:r w:rsidR="002B087A" w:rsidRPr="0081433D">
          <w:rPr>
            <w:rFonts w:eastAsia="Times New Roman"/>
            <w:color w:val="auto"/>
            <w:lang w:eastAsia="ko-KR"/>
          </w:rPr>
          <w:t xml:space="preserve">nformation </w:t>
        </w:r>
      </w:ins>
      <w:r w:rsidRPr="0081433D">
        <w:rPr>
          <w:rFonts w:eastAsia="Times New Roman"/>
          <w:color w:val="auto"/>
          <w:lang w:eastAsia="zh-CN"/>
        </w:rPr>
        <w:t>in the PCC rule to the SMF.</w:t>
      </w:r>
    </w:p>
    <w:p w14:paraId="5724AFF3" w14:textId="77777777" w:rsidR="008802C2" w:rsidRDefault="008802C2" w:rsidP="008802C2">
      <w:pPr>
        <w:jc w:val="both"/>
        <w:rPr>
          <w:lang w:eastAsia="zh-CN"/>
        </w:rPr>
      </w:pPr>
    </w:p>
    <w:p w14:paraId="357ED1CC" w14:textId="7F77A2FD"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0667">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6D57BFA" w14:textId="77777777" w:rsidR="00E46192" w:rsidRPr="00E46192" w:rsidRDefault="00E46192" w:rsidP="00E46192">
      <w:pPr>
        <w:keepNext/>
        <w:keepLines/>
        <w:spacing w:before="180"/>
        <w:ind w:left="1134" w:hanging="1134"/>
        <w:outlineLvl w:val="1"/>
        <w:rPr>
          <w:rFonts w:ascii="Arial" w:eastAsia="Times New Roman" w:hAnsi="Arial"/>
          <w:color w:val="auto"/>
          <w:sz w:val="32"/>
          <w:lang w:eastAsia="en-GB"/>
        </w:rPr>
      </w:pPr>
      <w:bookmarkStart w:id="75" w:name="_Toc170198981"/>
      <w:r w:rsidRPr="00E46192">
        <w:rPr>
          <w:rFonts w:ascii="Arial" w:eastAsia="Times New Roman" w:hAnsi="Arial"/>
          <w:color w:val="auto"/>
          <w:sz w:val="32"/>
          <w:lang w:eastAsia="en-GB"/>
        </w:rPr>
        <w:t>6.3</w:t>
      </w:r>
      <w:r w:rsidRPr="00E46192">
        <w:rPr>
          <w:rFonts w:ascii="Arial" w:eastAsia="Times New Roman" w:hAnsi="Arial"/>
          <w:color w:val="auto"/>
          <w:sz w:val="32"/>
          <w:lang w:eastAsia="en-GB"/>
        </w:rPr>
        <w:tab/>
        <w:t>Policy and charging control rule</w:t>
      </w:r>
      <w:bookmarkEnd w:id="75"/>
    </w:p>
    <w:p w14:paraId="6701DD57" w14:textId="77777777" w:rsidR="00E46192" w:rsidRPr="00E46192" w:rsidRDefault="00E46192" w:rsidP="00E46192">
      <w:pPr>
        <w:keepNext/>
        <w:keepLines/>
        <w:spacing w:before="120"/>
        <w:ind w:left="1134" w:hanging="1134"/>
        <w:outlineLvl w:val="2"/>
        <w:rPr>
          <w:rFonts w:ascii="Arial" w:eastAsia="Times New Roman" w:hAnsi="Arial"/>
          <w:color w:val="auto"/>
          <w:sz w:val="28"/>
          <w:lang w:eastAsia="en-GB"/>
        </w:rPr>
      </w:pPr>
      <w:bookmarkStart w:id="76" w:name="_CR6_3_1"/>
      <w:bookmarkStart w:id="77" w:name="_Toc19197384"/>
      <w:bookmarkStart w:id="78" w:name="_Toc27896537"/>
      <w:bookmarkStart w:id="79" w:name="_Toc36192705"/>
      <w:bookmarkStart w:id="80" w:name="_Toc37076436"/>
      <w:bookmarkStart w:id="81" w:name="_Toc45194886"/>
      <w:bookmarkStart w:id="82" w:name="_Toc47594298"/>
      <w:bookmarkStart w:id="83" w:name="_Toc51836929"/>
      <w:bookmarkStart w:id="84" w:name="_Toc170198982"/>
      <w:bookmarkEnd w:id="76"/>
      <w:r w:rsidRPr="00E46192">
        <w:rPr>
          <w:rFonts w:ascii="Arial" w:eastAsia="Times New Roman" w:hAnsi="Arial"/>
          <w:color w:val="auto"/>
          <w:sz w:val="28"/>
          <w:lang w:eastAsia="en-GB"/>
        </w:rPr>
        <w:t>6.3.1</w:t>
      </w:r>
      <w:r w:rsidRPr="00E46192">
        <w:rPr>
          <w:rFonts w:ascii="Arial" w:eastAsia="Times New Roman" w:hAnsi="Arial"/>
          <w:color w:val="auto"/>
          <w:sz w:val="28"/>
          <w:lang w:eastAsia="en-GB"/>
        </w:rPr>
        <w:tab/>
        <w:t>General</w:t>
      </w:r>
      <w:bookmarkEnd w:id="77"/>
      <w:bookmarkEnd w:id="78"/>
      <w:bookmarkEnd w:id="79"/>
      <w:bookmarkEnd w:id="80"/>
      <w:bookmarkEnd w:id="81"/>
      <w:bookmarkEnd w:id="82"/>
      <w:bookmarkEnd w:id="83"/>
      <w:bookmarkEnd w:id="84"/>
    </w:p>
    <w:p w14:paraId="4D95434C"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Policy and charging control rule (PCC rule) </w:t>
      </w:r>
      <w:proofErr w:type="gramStart"/>
      <w:r w:rsidRPr="00E46192">
        <w:rPr>
          <w:rFonts w:eastAsia="Times New Roman"/>
          <w:color w:val="auto"/>
          <w:lang w:eastAsia="en-GB"/>
        </w:rPr>
        <w:t>comprises</w:t>
      </w:r>
      <w:proofErr w:type="gramEnd"/>
      <w:r w:rsidRPr="00E46192">
        <w:rPr>
          <w:rFonts w:eastAsia="Times New Roman"/>
          <w:color w:val="auto"/>
          <w:lang w:eastAsia="en-GB"/>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72439BA4" w14:textId="77777777" w:rsidR="00E46192" w:rsidRPr="00E46192" w:rsidRDefault="00E46192" w:rsidP="00E46192">
      <w:pPr>
        <w:rPr>
          <w:rFonts w:eastAsia="Times New Roman"/>
          <w:color w:val="auto"/>
          <w:lang w:eastAsia="en-GB"/>
        </w:rPr>
      </w:pPr>
      <w:r w:rsidRPr="00E46192">
        <w:rPr>
          <w:rFonts w:eastAsia="Times New Roman"/>
          <w:color w:val="auto"/>
          <w:lang w:eastAsia="en-GB"/>
        </w:rP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26B6C509"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1:</w:t>
      </w:r>
      <w:r w:rsidRPr="00E46192">
        <w:rPr>
          <w:rFonts w:eastAsia="Times New Roman"/>
          <w:color w:val="auto"/>
          <w:lang w:eastAsia="en-GB"/>
        </w:rPr>
        <w:tab/>
        <w:t>The procedure for provisioning predefined PCC rules is out of scope for this specification.</w:t>
      </w:r>
    </w:p>
    <w:p w14:paraId="4CB1B7D2"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operator defines the PCC rules.</w:t>
      </w:r>
    </w:p>
    <w:p w14:paraId="58E5CD0D" w14:textId="77777777" w:rsidR="00E46192" w:rsidRPr="00E46192" w:rsidRDefault="00E46192" w:rsidP="00E46192">
      <w:pPr>
        <w:rPr>
          <w:rFonts w:eastAsia="Times New Roman"/>
          <w:color w:val="auto"/>
          <w:lang w:eastAsia="en-GB"/>
        </w:rPr>
      </w:pPr>
      <w:r w:rsidRPr="00E46192">
        <w:rPr>
          <w:rFonts w:eastAsia="Times New Roman"/>
          <w:color w:val="auto"/>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2F85CCB"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D0C8EE6" w14:textId="77777777" w:rsidR="00E46192" w:rsidRPr="00E46192" w:rsidRDefault="00E46192" w:rsidP="00E46192">
      <w:pPr>
        <w:keepNext/>
        <w:keepLines/>
        <w:spacing w:before="60"/>
        <w:jc w:val="center"/>
        <w:rPr>
          <w:rFonts w:ascii="Arial" w:eastAsia="Times New Roman" w:hAnsi="Arial"/>
          <w:b/>
          <w:color w:val="auto"/>
          <w:lang w:eastAsia="en-GB"/>
        </w:rPr>
      </w:pPr>
      <w:bookmarkStart w:id="85" w:name="_CRTable6_3_1"/>
      <w:r w:rsidRPr="00E46192">
        <w:rPr>
          <w:rFonts w:ascii="Arial" w:eastAsia="Times New Roman" w:hAnsi="Arial"/>
          <w:b/>
          <w:color w:val="auto"/>
          <w:lang w:eastAsia="en-GB"/>
        </w:rPr>
        <w:t xml:space="preserve">Table </w:t>
      </w:r>
      <w:bookmarkEnd w:id="85"/>
      <w:r w:rsidRPr="00E46192">
        <w:rPr>
          <w:rFonts w:ascii="Arial" w:eastAsia="Times New Roman" w:hAnsi="Arial"/>
          <w:b/>
          <w:color w:val="auto"/>
          <w:lang w:eastAsia="en-GB"/>
        </w:rPr>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46192" w:rsidRPr="00E46192" w14:paraId="1395258A" w14:textId="77777777" w:rsidTr="0081433D">
        <w:trPr>
          <w:cantSplit/>
          <w:tblHeader/>
        </w:trPr>
        <w:tc>
          <w:tcPr>
            <w:tcW w:w="1980" w:type="dxa"/>
          </w:tcPr>
          <w:p w14:paraId="35D2B50C"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Information name</w:t>
            </w:r>
          </w:p>
        </w:tc>
        <w:tc>
          <w:tcPr>
            <w:tcW w:w="2912" w:type="dxa"/>
          </w:tcPr>
          <w:p w14:paraId="6F784D43"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Description</w:t>
            </w:r>
          </w:p>
        </w:tc>
        <w:tc>
          <w:tcPr>
            <w:tcW w:w="1364" w:type="dxa"/>
          </w:tcPr>
          <w:p w14:paraId="7538F1EE"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Category</w:t>
            </w:r>
          </w:p>
        </w:tc>
        <w:tc>
          <w:tcPr>
            <w:tcW w:w="1748" w:type="dxa"/>
          </w:tcPr>
          <w:p w14:paraId="24A63B90"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PCF permitted to modify for a dynamic PCC rule in the SMF</w:t>
            </w:r>
          </w:p>
        </w:tc>
        <w:tc>
          <w:tcPr>
            <w:tcW w:w="1627" w:type="dxa"/>
          </w:tcPr>
          <w:p w14:paraId="1847BFC8"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Differences compared with table 6.3. in TS 23.203 [4]</w:t>
            </w:r>
          </w:p>
        </w:tc>
      </w:tr>
      <w:tr w:rsidR="00E46192" w:rsidRPr="00E46192" w14:paraId="6195DDB6" w14:textId="77777777" w:rsidTr="0081433D">
        <w:trPr>
          <w:cantSplit/>
        </w:trPr>
        <w:tc>
          <w:tcPr>
            <w:tcW w:w="1980" w:type="dxa"/>
          </w:tcPr>
          <w:p w14:paraId="5BCDD65B"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Rule identifier</w:t>
            </w:r>
          </w:p>
        </w:tc>
        <w:tc>
          <w:tcPr>
            <w:tcW w:w="2912" w:type="dxa"/>
          </w:tcPr>
          <w:p w14:paraId="02A535E2"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Uniquely identifies the PCC rule, within a PDU </w:t>
            </w:r>
            <w:r w:rsidRPr="00E46192">
              <w:rPr>
                <w:rFonts w:ascii="Arial" w:eastAsia="Times New Roman" w:hAnsi="Arial"/>
                <w:noProof/>
                <w:color w:val="auto"/>
                <w:sz w:val="18"/>
                <w:szCs w:val="18"/>
                <w:lang w:eastAsia="en-GB"/>
              </w:rPr>
              <w:t>Session</w:t>
            </w:r>
            <w:r w:rsidRPr="00E46192">
              <w:rPr>
                <w:rFonts w:ascii="Arial" w:eastAsia="Times New Roman" w:hAnsi="Arial"/>
                <w:color w:val="auto"/>
                <w:sz w:val="18"/>
                <w:szCs w:val="18"/>
                <w:lang w:eastAsia="en-GB"/>
              </w:rPr>
              <w:t>.</w:t>
            </w:r>
          </w:p>
          <w:p w14:paraId="1710C3E5"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It is used between PCF and SMF for referencing PCC rules.</w:t>
            </w:r>
          </w:p>
        </w:tc>
        <w:tc>
          <w:tcPr>
            <w:tcW w:w="1364" w:type="dxa"/>
          </w:tcPr>
          <w:p w14:paraId="7937E2C9"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Mandatory</w:t>
            </w:r>
          </w:p>
        </w:tc>
        <w:tc>
          <w:tcPr>
            <w:tcW w:w="1748" w:type="dxa"/>
          </w:tcPr>
          <w:p w14:paraId="70042B82"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6B06090B"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15DE9755" w14:textId="77777777" w:rsidTr="0081433D">
        <w:trPr>
          <w:cantSplit/>
        </w:trPr>
        <w:tc>
          <w:tcPr>
            <w:tcW w:w="1980" w:type="dxa"/>
          </w:tcPr>
          <w:p w14:paraId="4D676C8D" w14:textId="77777777" w:rsidR="00E46192" w:rsidRPr="00E46192" w:rsidRDefault="00E46192" w:rsidP="00E46192">
            <w:pPr>
              <w:keepNext/>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Service data flow detection</w:t>
            </w:r>
          </w:p>
        </w:tc>
        <w:tc>
          <w:tcPr>
            <w:tcW w:w="2912" w:type="dxa"/>
          </w:tcPr>
          <w:p w14:paraId="13BC4A79" w14:textId="77777777" w:rsidR="00E46192" w:rsidRPr="00E46192" w:rsidRDefault="00E46192" w:rsidP="00E46192">
            <w:pPr>
              <w:keepNext/>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defines the method for detecting packets belonging to a service data flow.</w:t>
            </w:r>
          </w:p>
        </w:tc>
        <w:tc>
          <w:tcPr>
            <w:tcW w:w="1364" w:type="dxa"/>
          </w:tcPr>
          <w:p w14:paraId="3981B0FD" w14:textId="77777777" w:rsidR="00E46192" w:rsidRPr="00E46192" w:rsidRDefault="00E46192" w:rsidP="00E46192">
            <w:pPr>
              <w:keepNext/>
              <w:keepLines/>
              <w:spacing w:after="0"/>
              <w:rPr>
                <w:rFonts w:ascii="Arial" w:eastAsia="Times New Roman" w:hAnsi="Arial"/>
                <w:color w:val="auto"/>
                <w:sz w:val="18"/>
                <w:szCs w:val="18"/>
                <w:lang w:eastAsia="en-GB"/>
              </w:rPr>
            </w:pPr>
          </w:p>
        </w:tc>
        <w:tc>
          <w:tcPr>
            <w:tcW w:w="1748" w:type="dxa"/>
          </w:tcPr>
          <w:p w14:paraId="3F6FBA1E" w14:textId="77777777" w:rsidR="00E46192" w:rsidRPr="00E46192" w:rsidRDefault="00E46192" w:rsidP="00E46192">
            <w:pPr>
              <w:keepNext/>
              <w:keepLines/>
              <w:spacing w:after="0"/>
              <w:rPr>
                <w:rFonts w:ascii="Arial" w:eastAsia="Times New Roman" w:hAnsi="Arial"/>
                <w:color w:val="auto"/>
                <w:sz w:val="18"/>
                <w:lang w:eastAsia="en-GB"/>
              </w:rPr>
            </w:pPr>
          </w:p>
        </w:tc>
        <w:tc>
          <w:tcPr>
            <w:tcW w:w="1627" w:type="dxa"/>
          </w:tcPr>
          <w:p w14:paraId="3C43F36E" w14:textId="77777777" w:rsidR="00E46192" w:rsidRPr="00E46192" w:rsidRDefault="00E46192" w:rsidP="00E46192">
            <w:pPr>
              <w:keepNext/>
              <w:keepLines/>
              <w:spacing w:after="0"/>
              <w:rPr>
                <w:rFonts w:ascii="Arial" w:eastAsia="Times New Roman" w:hAnsi="Arial"/>
                <w:color w:val="auto"/>
                <w:sz w:val="18"/>
                <w:lang w:eastAsia="en-GB"/>
              </w:rPr>
            </w:pPr>
          </w:p>
        </w:tc>
      </w:tr>
      <w:tr w:rsidR="00E46192" w:rsidRPr="00E46192" w14:paraId="678D1CFD" w14:textId="77777777" w:rsidTr="0081433D">
        <w:trPr>
          <w:cantSplit/>
        </w:trPr>
        <w:tc>
          <w:tcPr>
            <w:tcW w:w="1980" w:type="dxa"/>
          </w:tcPr>
          <w:p w14:paraId="17605F97"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Precedence</w:t>
            </w:r>
          </w:p>
        </w:tc>
        <w:tc>
          <w:tcPr>
            <w:tcW w:w="2912" w:type="dxa"/>
          </w:tcPr>
          <w:p w14:paraId="673FD0CF"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Determines the order, in which the service data flow templates are applied at service data flow detection, enforcement and charging. (NOTE 1).</w:t>
            </w:r>
          </w:p>
        </w:tc>
        <w:tc>
          <w:tcPr>
            <w:tcW w:w="1364" w:type="dxa"/>
          </w:tcPr>
          <w:p w14:paraId="163A94CE"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w:t>
            </w:r>
          </w:p>
        </w:tc>
        <w:tc>
          <w:tcPr>
            <w:tcW w:w="1748" w:type="dxa"/>
          </w:tcPr>
          <w:p w14:paraId="606B631F"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2C6969F"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79D92F35" w14:textId="77777777" w:rsidTr="0081433D">
        <w:trPr>
          <w:cantSplit/>
        </w:trPr>
        <w:tc>
          <w:tcPr>
            <w:tcW w:w="1980" w:type="dxa"/>
          </w:tcPr>
          <w:p w14:paraId="2B9DFDD6"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Service data flow template</w:t>
            </w:r>
          </w:p>
        </w:tc>
        <w:tc>
          <w:tcPr>
            <w:tcW w:w="2912" w:type="dxa"/>
          </w:tcPr>
          <w:p w14:paraId="671FD21B"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For IP PDU traffic: Either a list of service data flow filters or an application identifier that references the corresponding application detection filter for the detection of the service data flow.</w:t>
            </w:r>
          </w:p>
          <w:p w14:paraId="4ACC4E11"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For Ethernet PDU traffic: Combination of traffic patterns of the Ethernet PDU traffic.</w:t>
            </w:r>
          </w:p>
          <w:p w14:paraId="1ADBD079"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It is defined in clause 5.7.6.3 of TS 23.501 [2].</w:t>
            </w:r>
          </w:p>
        </w:tc>
        <w:tc>
          <w:tcPr>
            <w:tcW w:w="1364" w:type="dxa"/>
          </w:tcPr>
          <w:p w14:paraId="7DD973D1"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Mandatory (NOTE 3)</w:t>
            </w:r>
          </w:p>
        </w:tc>
        <w:tc>
          <w:tcPr>
            <w:tcW w:w="1748" w:type="dxa"/>
          </w:tcPr>
          <w:p w14:paraId="1A3D0C2B"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33088F2F"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4)</w:t>
            </w:r>
          </w:p>
        </w:tc>
        <w:tc>
          <w:tcPr>
            <w:tcW w:w="1627" w:type="dxa"/>
          </w:tcPr>
          <w:p w14:paraId="6A69D570"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Modified</w:t>
            </w:r>
          </w:p>
          <w:p w14:paraId="792E21F2"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(packet filters for Ethernet PDU traffic added)</w:t>
            </w:r>
          </w:p>
        </w:tc>
      </w:tr>
      <w:tr w:rsidR="00E46192" w:rsidRPr="00E46192" w14:paraId="71CD167F" w14:textId="77777777" w:rsidTr="0081433D">
        <w:trPr>
          <w:cantSplit/>
        </w:trPr>
        <w:tc>
          <w:tcPr>
            <w:tcW w:w="1980" w:type="dxa"/>
          </w:tcPr>
          <w:p w14:paraId="1BF4EC7B"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Mute for notification</w:t>
            </w:r>
          </w:p>
        </w:tc>
        <w:tc>
          <w:tcPr>
            <w:tcW w:w="2912" w:type="dxa"/>
          </w:tcPr>
          <w:p w14:paraId="1E20F7A3"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Defines whether application's start or stop notification is to be muted.</w:t>
            </w:r>
          </w:p>
        </w:tc>
        <w:tc>
          <w:tcPr>
            <w:tcW w:w="1364" w:type="dxa"/>
          </w:tcPr>
          <w:p w14:paraId="71C8F098"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5)</w:t>
            </w:r>
          </w:p>
        </w:tc>
        <w:tc>
          <w:tcPr>
            <w:tcW w:w="1748" w:type="dxa"/>
          </w:tcPr>
          <w:p w14:paraId="44C2E2E4"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03871F6C"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43A0F0A" w14:textId="77777777" w:rsidTr="0081433D">
        <w:trPr>
          <w:cantSplit/>
        </w:trPr>
        <w:tc>
          <w:tcPr>
            <w:tcW w:w="1980" w:type="dxa"/>
          </w:tcPr>
          <w:p w14:paraId="63E5030A"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Charging</w:t>
            </w:r>
          </w:p>
        </w:tc>
        <w:tc>
          <w:tcPr>
            <w:tcW w:w="2912" w:type="dxa"/>
          </w:tcPr>
          <w:p w14:paraId="63B28F0A"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 xml:space="preserve">This part defines identities and instructions for charging and accounting that is required for an access point where </w:t>
            </w:r>
            <w:proofErr w:type="gramStart"/>
            <w:r w:rsidRPr="00E46192">
              <w:rPr>
                <w:rFonts w:ascii="Arial" w:eastAsia="Times New Roman" w:hAnsi="Arial"/>
                <w:i/>
                <w:color w:val="auto"/>
                <w:sz w:val="18"/>
                <w:szCs w:val="18"/>
                <w:lang w:eastAsia="en-GB"/>
              </w:rPr>
              <w:t>flow based</w:t>
            </w:r>
            <w:proofErr w:type="gramEnd"/>
            <w:r w:rsidRPr="00E46192">
              <w:rPr>
                <w:rFonts w:ascii="Arial" w:eastAsia="Times New Roman" w:hAnsi="Arial"/>
                <w:i/>
                <w:color w:val="auto"/>
                <w:sz w:val="18"/>
                <w:szCs w:val="18"/>
                <w:lang w:eastAsia="en-GB"/>
              </w:rPr>
              <w:t xml:space="preserve"> charging is configured</w:t>
            </w:r>
          </w:p>
        </w:tc>
        <w:tc>
          <w:tcPr>
            <w:tcW w:w="1364" w:type="dxa"/>
          </w:tcPr>
          <w:p w14:paraId="54266ED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177F444"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51E2C8B1"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6AD81948" w14:textId="77777777" w:rsidTr="0081433D">
        <w:trPr>
          <w:cantSplit/>
        </w:trPr>
        <w:tc>
          <w:tcPr>
            <w:tcW w:w="1980" w:type="dxa"/>
          </w:tcPr>
          <w:p w14:paraId="425F92D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Charging key</w:t>
            </w:r>
          </w:p>
          <w:p w14:paraId="6791931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22)</w:t>
            </w:r>
          </w:p>
        </w:tc>
        <w:tc>
          <w:tcPr>
            <w:tcW w:w="2912" w:type="dxa"/>
          </w:tcPr>
          <w:p w14:paraId="56C456F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charging system (CHF) uses the charging key to determine the tariff to apply to the service data flow.</w:t>
            </w:r>
          </w:p>
        </w:tc>
        <w:tc>
          <w:tcPr>
            <w:tcW w:w="1364" w:type="dxa"/>
          </w:tcPr>
          <w:p w14:paraId="4548D609"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647F9B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24421F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571D695B" w14:textId="77777777" w:rsidTr="0081433D">
        <w:trPr>
          <w:cantSplit/>
        </w:trPr>
        <w:tc>
          <w:tcPr>
            <w:tcW w:w="1980" w:type="dxa"/>
          </w:tcPr>
          <w:p w14:paraId="7F4ED87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Service identifier</w:t>
            </w:r>
          </w:p>
        </w:tc>
        <w:tc>
          <w:tcPr>
            <w:tcW w:w="2912" w:type="dxa"/>
          </w:tcPr>
          <w:p w14:paraId="0ED32A1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identity of the service or service component the service data flow in a rule relates to.</w:t>
            </w:r>
          </w:p>
        </w:tc>
        <w:tc>
          <w:tcPr>
            <w:tcW w:w="1364" w:type="dxa"/>
          </w:tcPr>
          <w:p w14:paraId="5601AA1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8E7EF8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4DC00F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1DCABCCD" w14:textId="77777777" w:rsidTr="0081433D">
        <w:trPr>
          <w:cantSplit/>
        </w:trPr>
        <w:tc>
          <w:tcPr>
            <w:tcW w:w="1980" w:type="dxa"/>
          </w:tcPr>
          <w:p w14:paraId="1E5FA44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Sponsor Identifier</w:t>
            </w:r>
          </w:p>
        </w:tc>
        <w:tc>
          <w:tcPr>
            <w:tcW w:w="2912" w:type="dxa"/>
          </w:tcPr>
          <w:p w14:paraId="562EC21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An identifier, provided from the AF which identifies the Sponsor, used for sponsored flows to correlate measurements from different users for accounting purposes.</w:t>
            </w:r>
          </w:p>
        </w:tc>
        <w:tc>
          <w:tcPr>
            <w:tcW w:w="1364" w:type="dxa"/>
          </w:tcPr>
          <w:p w14:paraId="5AD8B4F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46A31B9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6)</w:t>
            </w:r>
          </w:p>
        </w:tc>
        <w:tc>
          <w:tcPr>
            <w:tcW w:w="1748" w:type="dxa"/>
          </w:tcPr>
          <w:p w14:paraId="7A65F14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33E61BF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CF4D975" w14:textId="77777777" w:rsidTr="0081433D">
        <w:trPr>
          <w:cantSplit/>
        </w:trPr>
        <w:tc>
          <w:tcPr>
            <w:tcW w:w="1980" w:type="dxa"/>
          </w:tcPr>
          <w:p w14:paraId="05B9CC8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lastRenderedPageBreak/>
              <w:t>Application Service Provider Identifier</w:t>
            </w:r>
          </w:p>
        </w:tc>
        <w:tc>
          <w:tcPr>
            <w:tcW w:w="2912" w:type="dxa"/>
          </w:tcPr>
          <w:p w14:paraId="43E9336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6465219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16C6D31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6)</w:t>
            </w:r>
          </w:p>
        </w:tc>
        <w:tc>
          <w:tcPr>
            <w:tcW w:w="1748" w:type="dxa"/>
          </w:tcPr>
          <w:p w14:paraId="649D9B8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D65943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53437CE3" w14:textId="77777777" w:rsidTr="0081433D">
        <w:trPr>
          <w:cantSplit/>
        </w:trPr>
        <w:tc>
          <w:tcPr>
            <w:tcW w:w="1980" w:type="dxa"/>
          </w:tcPr>
          <w:p w14:paraId="2847033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Charging method</w:t>
            </w:r>
          </w:p>
        </w:tc>
        <w:tc>
          <w:tcPr>
            <w:tcW w:w="2912" w:type="dxa"/>
          </w:tcPr>
          <w:p w14:paraId="475256A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the required charging method for the PCC rule.</w:t>
            </w:r>
          </w:p>
          <w:p w14:paraId="3CD3151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Values: online or offline or neither.</w:t>
            </w:r>
          </w:p>
        </w:tc>
        <w:tc>
          <w:tcPr>
            <w:tcW w:w="1364" w:type="dxa"/>
          </w:tcPr>
          <w:p w14:paraId="08DC033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w:t>
            </w:r>
            <w:r w:rsidRPr="00E46192">
              <w:rPr>
                <w:rFonts w:ascii="Arial" w:eastAsia="Times New Roman" w:hAnsi="Arial"/>
                <w:color w:val="auto"/>
                <w:sz w:val="18"/>
                <w:lang w:eastAsia="en-GB"/>
              </w:rPr>
              <w:t> </w:t>
            </w:r>
            <w:r w:rsidRPr="00E46192">
              <w:rPr>
                <w:rFonts w:ascii="Arial" w:eastAsia="Times New Roman" w:hAnsi="Arial"/>
                <w:color w:val="auto"/>
                <w:sz w:val="18"/>
                <w:szCs w:val="18"/>
                <w:lang w:eastAsia="en-GB"/>
              </w:rPr>
              <w:t>7)</w:t>
            </w:r>
          </w:p>
          <w:p w14:paraId="7B735CB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3B8EA9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380C847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AB1F909" w14:textId="77777777" w:rsidTr="0081433D">
        <w:trPr>
          <w:cantSplit/>
        </w:trPr>
        <w:tc>
          <w:tcPr>
            <w:tcW w:w="1980" w:type="dxa"/>
          </w:tcPr>
          <w:p w14:paraId="5F1AE34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noProof/>
                <w:color w:val="auto"/>
                <w:sz w:val="18"/>
                <w:lang w:eastAsia="en-GB"/>
              </w:rPr>
              <w:t>Service Data flow handling while requesting credit</w:t>
            </w:r>
          </w:p>
        </w:tc>
        <w:tc>
          <w:tcPr>
            <w:tcW w:w="2912" w:type="dxa"/>
          </w:tcPr>
          <w:p w14:paraId="258D502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whether the service data flow is allowed to start while the SMF is waiting for the response to the credit request.</w:t>
            </w:r>
          </w:p>
          <w:p w14:paraId="3949386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Only applicable for charging method online.</w:t>
            </w:r>
          </w:p>
          <w:p w14:paraId="49054C1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Values: blocking or non-blocking</w:t>
            </w:r>
          </w:p>
        </w:tc>
        <w:tc>
          <w:tcPr>
            <w:tcW w:w="1364" w:type="dxa"/>
          </w:tcPr>
          <w:p w14:paraId="6B43E5B1"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6CF960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04BABB5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1A3DE1D7" w14:textId="77777777" w:rsidTr="0081433D">
        <w:trPr>
          <w:cantSplit/>
        </w:trPr>
        <w:tc>
          <w:tcPr>
            <w:tcW w:w="1980" w:type="dxa"/>
          </w:tcPr>
          <w:p w14:paraId="68AB8E7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Measurement method</w:t>
            </w:r>
          </w:p>
        </w:tc>
        <w:tc>
          <w:tcPr>
            <w:tcW w:w="2912" w:type="dxa"/>
          </w:tcPr>
          <w:p w14:paraId="1885F813"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whether the service data flow data volume, duration, combined volume/duration or event shall be measured.</w:t>
            </w:r>
          </w:p>
          <w:p w14:paraId="668AC04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This is applicable to reporting, if the charging method is online or offline.</w:t>
            </w:r>
          </w:p>
          <w:p w14:paraId="73FE3EC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Event based charging is only applicable to predefined PCC rules and PCC rules used for application detection filter (i.e. with an application identifier).</w:t>
            </w:r>
          </w:p>
        </w:tc>
        <w:tc>
          <w:tcPr>
            <w:tcW w:w="1364" w:type="dxa"/>
          </w:tcPr>
          <w:p w14:paraId="7BBC195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A25C4F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6035E1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335C3545" w14:textId="77777777" w:rsidTr="0081433D">
        <w:trPr>
          <w:cantSplit/>
        </w:trPr>
        <w:tc>
          <w:tcPr>
            <w:tcW w:w="1980" w:type="dxa"/>
          </w:tcPr>
          <w:p w14:paraId="530DB92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Application Function Record Information</w:t>
            </w:r>
          </w:p>
        </w:tc>
        <w:tc>
          <w:tcPr>
            <w:tcW w:w="2912" w:type="dxa"/>
          </w:tcPr>
          <w:p w14:paraId="5084713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An identifier, provided from the AF, correlating the measurement for the Charging key/Service identifier values in this PCC rule with </w:t>
            </w:r>
            <w:proofErr w:type="gramStart"/>
            <w:r w:rsidRPr="00E46192">
              <w:rPr>
                <w:rFonts w:ascii="Arial" w:eastAsia="Times New Roman" w:hAnsi="Arial"/>
                <w:color w:val="auto"/>
                <w:sz w:val="18"/>
                <w:szCs w:val="18"/>
                <w:lang w:eastAsia="en-GB"/>
              </w:rPr>
              <w:t>application level</w:t>
            </w:r>
            <w:proofErr w:type="gramEnd"/>
            <w:r w:rsidRPr="00E46192">
              <w:rPr>
                <w:rFonts w:ascii="Arial" w:eastAsia="Times New Roman" w:hAnsi="Arial"/>
                <w:color w:val="auto"/>
                <w:sz w:val="18"/>
                <w:szCs w:val="18"/>
                <w:lang w:eastAsia="en-GB"/>
              </w:rPr>
              <w:t xml:space="preserve"> reports.</w:t>
            </w:r>
          </w:p>
        </w:tc>
        <w:tc>
          <w:tcPr>
            <w:tcW w:w="1364" w:type="dxa"/>
          </w:tcPr>
          <w:p w14:paraId="03F854B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8D62B5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7B48CFE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648F54C9" w14:textId="77777777" w:rsidTr="0081433D">
        <w:trPr>
          <w:cantSplit/>
        </w:trPr>
        <w:tc>
          <w:tcPr>
            <w:tcW w:w="1980" w:type="dxa"/>
          </w:tcPr>
          <w:p w14:paraId="7374710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Service Identifier Level Reporting</w:t>
            </w:r>
          </w:p>
        </w:tc>
        <w:tc>
          <w:tcPr>
            <w:tcW w:w="2912" w:type="dxa"/>
          </w:tcPr>
          <w:p w14:paraId="5520248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Indicates that separate usage reports shall be generated </w:t>
            </w:r>
            <w:r w:rsidRPr="00E46192">
              <w:rPr>
                <w:rFonts w:ascii="Arial" w:eastAsia="Times New Roman" w:hAnsi="Arial"/>
                <w:color w:val="auto"/>
                <w:sz w:val="18"/>
                <w:szCs w:val="18"/>
                <w:lang w:eastAsia="ko-KR"/>
              </w:rPr>
              <w:t xml:space="preserve">for this Service </w:t>
            </w:r>
            <w:r w:rsidRPr="00E46192">
              <w:rPr>
                <w:rFonts w:ascii="Arial" w:eastAsia="Times New Roman" w:hAnsi="Arial"/>
                <w:color w:val="auto"/>
                <w:sz w:val="18"/>
                <w:szCs w:val="18"/>
                <w:lang w:eastAsia="en-GB"/>
              </w:rPr>
              <w:t>Identifier.</w:t>
            </w:r>
          </w:p>
          <w:p w14:paraId="4D254D7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Values: mandated or not required</w:t>
            </w:r>
          </w:p>
        </w:tc>
        <w:tc>
          <w:tcPr>
            <w:tcW w:w="1364" w:type="dxa"/>
          </w:tcPr>
          <w:p w14:paraId="2B1AB271"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A3C607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394D465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32FE938D" w14:textId="77777777" w:rsidTr="0081433D">
        <w:trPr>
          <w:cantSplit/>
        </w:trPr>
        <w:tc>
          <w:tcPr>
            <w:tcW w:w="1980" w:type="dxa"/>
          </w:tcPr>
          <w:p w14:paraId="69B4882C"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Policy control</w:t>
            </w:r>
          </w:p>
        </w:tc>
        <w:tc>
          <w:tcPr>
            <w:tcW w:w="2912" w:type="dxa"/>
          </w:tcPr>
          <w:p w14:paraId="4DD8E211"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defines how to apply policy control for the service data flow.</w:t>
            </w:r>
          </w:p>
        </w:tc>
        <w:tc>
          <w:tcPr>
            <w:tcW w:w="1364" w:type="dxa"/>
          </w:tcPr>
          <w:p w14:paraId="1465771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396DA85"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1D49CB07"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26FC7A42" w14:textId="77777777" w:rsidTr="0081433D">
        <w:trPr>
          <w:cantSplit/>
        </w:trPr>
        <w:tc>
          <w:tcPr>
            <w:tcW w:w="1980" w:type="dxa"/>
          </w:tcPr>
          <w:p w14:paraId="6B6F510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Gate status</w:t>
            </w:r>
          </w:p>
        </w:tc>
        <w:tc>
          <w:tcPr>
            <w:tcW w:w="2912" w:type="dxa"/>
          </w:tcPr>
          <w:p w14:paraId="28854ED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gate status indicates whether the service data flow, detected by the service data flow template, may pass (Gate is open) or shall be discarded (Gate is closed).</w:t>
            </w:r>
          </w:p>
        </w:tc>
        <w:tc>
          <w:tcPr>
            <w:tcW w:w="1364" w:type="dxa"/>
          </w:tcPr>
          <w:p w14:paraId="1D2E7655"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A7E67C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E5F3EE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1AD8AC3F" w14:textId="77777777" w:rsidTr="0081433D">
        <w:trPr>
          <w:cantSplit/>
        </w:trPr>
        <w:tc>
          <w:tcPr>
            <w:tcW w:w="1980" w:type="dxa"/>
          </w:tcPr>
          <w:p w14:paraId="3EEB101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5G QoS Identifier (5QI)</w:t>
            </w:r>
          </w:p>
        </w:tc>
        <w:tc>
          <w:tcPr>
            <w:tcW w:w="2912" w:type="dxa"/>
          </w:tcPr>
          <w:p w14:paraId="5AD6161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5QI authorized for the service data flow.</w:t>
            </w:r>
          </w:p>
        </w:tc>
        <w:tc>
          <w:tcPr>
            <w:tcW w:w="1364" w:type="dxa"/>
          </w:tcPr>
          <w:p w14:paraId="6219EC8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 10)</w:t>
            </w:r>
          </w:p>
          <w:p w14:paraId="1794137F"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6BCACC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F3E211F" w14:textId="77777777" w:rsidR="00E46192" w:rsidRPr="00E46192" w:rsidRDefault="00E46192" w:rsidP="00E46192">
            <w:pPr>
              <w:keepLines/>
              <w:tabs>
                <w:tab w:val="left" w:pos="6062"/>
              </w:tabs>
              <w:spacing w:after="0"/>
              <w:rPr>
                <w:rFonts w:eastAsia="Times New Roman"/>
                <w:color w:val="auto"/>
                <w:lang w:eastAsia="en-GB"/>
              </w:rPr>
            </w:pPr>
            <w:r w:rsidRPr="00E46192">
              <w:rPr>
                <w:rFonts w:eastAsia="Times New Roman"/>
                <w:color w:val="auto"/>
                <w:lang w:eastAsia="en-GB"/>
              </w:rPr>
              <w:t>Modified</w:t>
            </w:r>
          </w:p>
          <w:p w14:paraId="7D89644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(corresponds to QCI in TS 23.203 [4])</w:t>
            </w:r>
          </w:p>
        </w:tc>
      </w:tr>
      <w:tr w:rsidR="00E46192" w:rsidRPr="00E46192" w14:paraId="69DC4D37" w14:textId="77777777" w:rsidTr="0081433D">
        <w:trPr>
          <w:cantSplit/>
        </w:trPr>
        <w:tc>
          <w:tcPr>
            <w:tcW w:w="1980" w:type="dxa"/>
          </w:tcPr>
          <w:p w14:paraId="0554A61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QoS Notification Control (QNC)</w:t>
            </w:r>
          </w:p>
        </w:tc>
        <w:tc>
          <w:tcPr>
            <w:tcW w:w="2912" w:type="dxa"/>
          </w:tcPr>
          <w:p w14:paraId="1B7357A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32F58E9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 15)</w:t>
            </w:r>
          </w:p>
          <w:p w14:paraId="116BD4D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0D095A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D0A93F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4187C0C" w14:textId="77777777" w:rsidTr="0081433D">
        <w:trPr>
          <w:cantSplit/>
        </w:trPr>
        <w:tc>
          <w:tcPr>
            <w:tcW w:w="1980" w:type="dxa"/>
          </w:tcPr>
          <w:p w14:paraId="438B1DE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Reflective QoS Control </w:t>
            </w:r>
          </w:p>
        </w:tc>
        <w:tc>
          <w:tcPr>
            <w:tcW w:w="2912" w:type="dxa"/>
          </w:tcPr>
          <w:p w14:paraId="4B08235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Indicates to apply reflective QoS for the SDF.</w:t>
            </w:r>
          </w:p>
        </w:tc>
        <w:tc>
          <w:tcPr>
            <w:tcW w:w="1364" w:type="dxa"/>
          </w:tcPr>
          <w:p w14:paraId="12402EA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349733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3D4C1B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05A75122" w14:textId="77777777" w:rsidTr="0081433D">
        <w:trPr>
          <w:cantSplit/>
        </w:trPr>
        <w:tc>
          <w:tcPr>
            <w:tcW w:w="1980" w:type="dxa"/>
          </w:tcPr>
          <w:p w14:paraId="7A5BA7D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UL-maximum bitrate</w:t>
            </w:r>
          </w:p>
        </w:tc>
        <w:tc>
          <w:tcPr>
            <w:tcW w:w="2912" w:type="dxa"/>
          </w:tcPr>
          <w:p w14:paraId="2943720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The uplink maximum bitrate authorized for the service data flow</w:t>
            </w:r>
          </w:p>
        </w:tc>
        <w:tc>
          <w:tcPr>
            <w:tcW w:w="1364" w:type="dxa"/>
          </w:tcPr>
          <w:p w14:paraId="1B7B090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A15529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F0F366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60B6E23C" w14:textId="77777777" w:rsidTr="0081433D">
        <w:trPr>
          <w:cantSplit/>
        </w:trPr>
        <w:tc>
          <w:tcPr>
            <w:tcW w:w="1980" w:type="dxa"/>
          </w:tcPr>
          <w:p w14:paraId="7EE049E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DL-maximum bitrate</w:t>
            </w:r>
          </w:p>
        </w:tc>
        <w:tc>
          <w:tcPr>
            <w:tcW w:w="2912" w:type="dxa"/>
          </w:tcPr>
          <w:p w14:paraId="7D80513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The downlink maximum bitrate authorized for the service data flow</w:t>
            </w:r>
          </w:p>
        </w:tc>
        <w:tc>
          <w:tcPr>
            <w:tcW w:w="1364" w:type="dxa"/>
          </w:tcPr>
          <w:p w14:paraId="3EB7FE8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3AD25C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48F839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75F7115" w14:textId="77777777" w:rsidTr="0081433D">
        <w:trPr>
          <w:cantSplit/>
        </w:trPr>
        <w:tc>
          <w:tcPr>
            <w:tcW w:w="1980" w:type="dxa"/>
          </w:tcPr>
          <w:p w14:paraId="6311F71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lastRenderedPageBreak/>
              <w:t>UL-guaranteed bitrate</w:t>
            </w:r>
          </w:p>
        </w:tc>
        <w:tc>
          <w:tcPr>
            <w:tcW w:w="2912" w:type="dxa"/>
          </w:tcPr>
          <w:p w14:paraId="4341A27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The uplink guaranteed bitrate authorized for the service data flow</w:t>
            </w:r>
          </w:p>
        </w:tc>
        <w:tc>
          <w:tcPr>
            <w:tcW w:w="1364" w:type="dxa"/>
          </w:tcPr>
          <w:p w14:paraId="4801CEDF"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86A2A9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BF093B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4670BC20" w14:textId="77777777" w:rsidTr="0081433D">
        <w:trPr>
          <w:cantSplit/>
        </w:trPr>
        <w:tc>
          <w:tcPr>
            <w:tcW w:w="1980" w:type="dxa"/>
          </w:tcPr>
          <w:p w14:paraId="7381DC83"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DL-guaranteed bitrate</w:t>
            </w:r>
          </w:p>
        </w:tc>
        <w:tc>
          <w:tcPr>
            <w:tcW w:w="2912" w:type="dxa"/>
          </w:tcPr>
          <w:p w14:paraId="57F57C0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The downlink guaranteed bitrate authorized for the service data flow</w:t>
            </w:r>
          </w:p>
        </w:tc>
        <w:tc>
          <w:tcPr>
            <w:tcW w:w="1364" w:type="dxa"/>
          </w:tcPr>
          <w:p w14:paraId="7FA43537"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99A77E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5F72C7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66C7B070" w14:textId="77777777" w:rsidTr="0081433D">
        <w:trPr>
          <w:cantSplit/>
        </w:trPr>
        <w:tc>
          <w:tcPr>
            <w:tcW w:w="1980" w:type="dxa"/>
          </w:tcPr>
          <w:p w14:paraId="6DEDDFA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UL sharing indication</w:t>
            </w:r>
          </w:p>
        </w:tc>
        <w:tc>
          <w:tcPr>
            <w:tcW w:w="2912" w:type="dxa"/>
          </w:tcPr>
          <w:p w14:paraId="59A912A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resource sharing in uplink direction with service data flows having the same value in their PCC rule</w:t>
            </w:r>
          </w:p>
        </w:tc>
        <w:tc>
          <w:tcPr>
            <w:tcW w:w="1364" w:type="dxa"/>
          </w:tcPr>
          <w:p w14:paraId="463E8C5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89A5AA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0495180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2574050B" w14:textId="77777777" w:rsidTr="0081433D">
        <w:trPr>
          <w:cantSplit/>
        </w:trPr>
        <w:tc>
          <w:tcPr>
            <w:tcW w:w="1980" w:type="dxa"/>
          </w:tcPr>
          <w:p w14:paraId="15C8A81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DL sharing indication</w:t>
            </w:r>
          </w:p>
        </w:tc>
        <w:tc>
          <w:tcPr>
            <w:tcW w:w="2912" w:type="dxa"/>
          </w:tcPr>
          <w:p w14:paraId="4DE5F17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resource sharing in downlink direction with service data flows having the same value in their PCC rule</w:t>
            </w:r>
          </w:p>
        </w:tc>
        <w:tc>
          <w:tcPr>
            <w:tcW w:w="1364" w:type="dxa"/>
          </w:tcPr>
          <w:p w14:paraId="096D646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4B0CAA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4D5A8A2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24511150" w14:textId="77777777" w:rsidTr="0081433D">
        <w:trPr>
          <w:cantSplit/>
        </w:trPr>
        <w:tc>
          <w:tcPr>
            <w:tcW w:w="1980" w:type="dxa"/>
          </w:tcPr>
          <w:p w14:paraId="6EF233E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Redirect</w:t>
            </w:r>
          </w:p>
        </w:tc>
        <w:tc>
          <w:tcPr>
            <w:tcW w:w="2912" w:type="dxa"/>
          </w:tcPr>
          <w:p w14:paraId="5CBE655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Redirect state of the service data flow (enabled/disabled)</w:t>
            </w:r>
          </w:p>
        </w:tc>
        <w:tc>
          <w:tcPr>
            <w:tcW w:w="1364" w:type="dxa"/>
          </w:tcPr>
          <w:p w14:paraId="0F42591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8)</w:t>
            </w:r>
          </w:p>
        </w:tc>
        <w:tc>
          <w:tcPr>
            <w:tcW w:w="1748" w:type="dxa"/>
          </w:tcPr>
          <w:p w14:paraId="7F61118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9E9AAF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6607FD6A" w14:textId="77777777" w:rsidTr="0081433D">
        <w:trPr>
          <w:cantSplit/>
        </w:trPr>
        <w:tc>
          <w:tcPr>
            <w:tcW w:w="1980" w:type="dxa"/>
          </w:tcPr>
          <w:p w14:paraId="5511F16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Redirect Destination</w:t>
            </w:r>
          </w:p>
        </w:tc>
        <w:tc>
          <w:tcPr>
            <w:tcW w:w="2912" w:type="dxa"/>
          </w:tcPr>
          <w:p w14:paraId="2C66868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Controlled Address to which the service data flow is redirected when redirect is enabled</w:t>
            </w:r>
          </w:p>
        </w:tc>
        <w:tc>
          <w:tcPr>
            <w:tcW w:w="1364" w:type="dxa"/>
          </w:tcPr>
          <w:p w14:paraId="7443FD4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6F57650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9)</w:t>
            </w:r>
          </w:p>
        </w:tc>
        <w:tc>
          <w:tcPr>
            <w:tcW w:w="1748" w:type="dxa"/>
          </w:tcPr>
          <w:p w14:paraId="06CBA33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D4187E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3D8D93EE" w14:textId="77777777" w:rsidTr="0081433D">
        <w:trPr>
          <w:cantSplit/>
        </w:trPr>
        <w:tc>
          <w:tcPr>
            <w:tcW w:w="1980" w:type="dxa"/>
          </w:tcPr>
          <w:p w14:paraId="5B91AA7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ARP</w:t>
            </w:r>
          </w:p>
        </w:tc>
        <w:tc>
          <w:tcPr>
            <w:tcW w:w="2912" w:type="dxa"/>
          </w:tcPr>
          <w:p w14:paraId="7E44903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Allocation and Retention Priority for the service data flow consisting of the priority level, the pre-emption capability and the pre-emption vulnerability</w:t>
            </w:r>
          </w:p>
        </w:tc>
        <w:tc>
          <w:tcPr>
            <w:tcW w:w="1364" w:type="dxa"/>
          </w:tcPr>
          <w:p w14:paraId="275D355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 10)</w:t>
            </w:r>
          </w:p>
        </w:tc>
        <w:tc>
          <w:tcPr>
            <w:tcW w:w="1748" w:type="dxa"/>
          </w:tcPr>
          <w:p w14:paraId="3DD34C3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E1F305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709026E5" w14:textId="77777777" w:rsidTr="0081433D">
        <w:trPr>
          <w:cantSplit/>
        </w:trPr>
        <w:tc>
          <w:tcPr>
            <w:tcW w:w="1980" w:type="dxa"/>
          </w:tcPr>
          <w:p w14:paraId="7B70D8B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Bind to QoS Flow associated with the default QoS rule</w:t>
            </w:r>
          </w:p>
        </w:tc>
        <w:tc>
          <w:tcPr>
            <w:tcW w:w="2912" w:type="dxa"/>
          </w:tcPr>
          <w:p w14:paraId="3336DAB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 xml:space="preserve">Indicates that the dynamic PCC rule shall always have its binding with the QoS Flow associated with the default QoS rule </w:t>
            </w:r>
            <w:r w:rsidRPr="00E46192">
              <w:rPr>
                <w:rFonts w:ascii="Arial" w:eastAsia="Times New Roman" w:hAnsi="Arial"/>
                <w:color w:val="auto"/>
                <w:sz w:val="18"/>
                <w:szCs w:val="18"/>
                <w:lang w:eastAsia="en-GB"/>
              </w:rPr>
              <w:t>(NOTE 11)</w:t>
            </w:r>
            <w:r w:rsidRPr="00E46192">
              <w:rPr>
                <w:rFonts w:ascii="Arial" w:eastAsia="Times New Roman" w:hAnsi="Arial"/>
                <w:color w:val="auto"/>
                <w:sz w:val="18"/>
                <w:lang w:eastAsia="en-GB"/>
              </w:rPr>
              <w:t>.</w:t>
            </w:r>
          </w:p>
        </w:tc>
        <w:tc>
          <w:tcPr>
            <w:tcW w:w="1364" w:type="dxa"/>
          </w:tcPr>
          <w:p w14:paraId="5A71909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1C5098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F0C93D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Modified (corresponds to bind to the default bearer in TS 23.203 [4]) </w:t>
            </w:r>
          </w:p>
        </w:tc>
      </w:tr>
      <w:tr w:rsidR="00E46192" w:rsidRPr="00E46192" w14:paraId="1E767A5F" w14:textId="77777777" w:rsidTr="0081433D">
        <w:trPr>
          <w:cantSplit/>
        </w:trPr>
        <w:tc>
          <w:tcPr>
            <w:tcW w:w="1980" w:type="dxa"/>
          </w:tcPr>
          <w:p w14:paraId="65311B3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Bind to QoS Flow associated with the default QoS rule and apply PCC rule parameters</w:t>
            </w:r>
          </w:p>
        </w:tc>
        <w:tc>
          <w:tcPr>
            <w:tcW w:w="2912" w:type="dxa"/>
          </w:tcPr>
          <w:p w14:paraId="27ED3EA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Indicates that the dynamic PCC rule shall always have its binding with the QoS Flow associated with the default QoS rule.</w:t>
            </w:r>
          </w:p>
          <w:p w14:paraId="538A7A2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27D9F1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 17)</w:t>
            </w:r>
          </w:p>
        </w:tc>
        <w:tc>
          <w:tcPr>
            <w:tcW w:w="1748" w:type="dxa"/>
          </w:tcPr>
          <w:p w14:paraId="284DC6B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ACC661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C4A492C" w14:textId="77777777" w:rsidTr="0081433D">
        <w:trPr>
          <w:cantSplit/>
        </w:trPr>
        <w:tc>
          <w:tcPr>
            <w:tcW w:w="1980" w:type="dxa"/>
          </w:tcPr>
          <w:p w14:paraId="42415073"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color w:val="auto"/>
                <w:sz w:val="18"/>
                <w:szCs w:val="18"/>
                <w:lang w:eastAsia="en-GB"/>
              </w:rPr>
              <w:t>PS to CS session continuity</w:t>
            </w:r>
          </w:p>
        </w:tc>
        <w:tc>
          <w:tcPr>
            <w:tcW w:w="2912" w:type="dxa"/>
          </w:tcPr>
          <w:p w14:paraId="5EB81F9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Indicates whether the service data flow is a candidate for </w:t>
            </w:r>
            <w:proofErr w:type="spellStart"/>
            <w:r w:rsidRPr="00E46192">
              <w:rPr>
                <w:rFonts w:ascii="Arial" w:eastAsia="Times New Roman" w:hAnsi="Arial"/>
                <w:color w:val="auto"/>
                <w:sz w:val="18"/>
                <w:lang w:eastAsia="en-GB"/>
              </w:rPr>
              <w:t>vSRVCC</w:t>
            </w:r>
            <w:proofErr w:type="spellEnd"/>
            <w:r w:rsidRPr="00E46192">
              <w:rPr>
                <w:rFonts w:ascii="Arial" w:eastAsia="Times New Roman" w:hAnsi="Arial"/>
                <w:color w:val="auto"/>
                <w:sz w:val="18"/>
                <w:lang w:eastAsia="en-GB"/>
              </w:rPr>
              <w:t>.</w:t>
            </w:r>
          </w:p>
        </w:tc>
        <w:tc>
          <w:tcPr>
            <w:tcW w:w="1364" w:type="dxa"/>
          </w:tcPr>
          <w:p w14:paraId="58A1FA6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910A4AD"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6E8A577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Removed</w:t>
            </w:r>
          </w:p>
        </w:tc>
      </w:tr>
      <w:tr w:rsidR="00E46192" w:rsidRPr="00E46192" w14:paraId="520A2521" w14:textId="77777777" w:rsidTr="0081433D">
        <w:trPr>
          <w:cantSplit/>
        </w:trPr>
        <w:tc>
          <w:tcPr>
            <w:tcW w:w="1980" w:type="dxa"/>
          </w:tcPr>
          <w:p w14:paraId="58E5E7D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szCs w:val="18"/>
                <w:lang w:eastAsia="zh-CN"/>
              </w:rPr>
              <w:t>Priority Level</w:t>
            </w:r>
          </w:p>
        </w:tc>
        <w:tc>
          <w:tcPr>
            <w:tcW w:w="2912" w:type="dxa"/>
          </w:tcPr>
          <w:p w14:paraId="06FBE83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 xml:space="preserve">Indicates a priority in scheduling resources among QoS Flows </w:t>
            </w:r>
            <w:r w:rsidRPr="00E46192">
              <w:rPr>
                <w:rFonts w:ascii="Arial" w:eastAsia="Times New Roman" w:hAnsi="Arial"/>
                <w:color w:val="auto"/>
                <w:sz w:val="18"/>
                <w:szCs w:val="18"/>
                <w:lang w:eastAsia="en-GB"/>
              </w:rPr>
              <w:t>(NOTE 14)</w:t>
            </w:r>
            <w:r w:rsidRPr="00E46192">
              <w:rPr>
                <w:rFonts w:ascii="Arial" w:eastAsia="Times New Roman" w:hAnsi="Arial"/>
                <w:color w:val="auto"/>
                <w:sz w:val="18"/>
                <w:lang w:eastAsia="en-GB"/>
              </w:rPr>
              <w:t>.</w:t>
            </w:r>
          </w:p>
        </w:tc>
        <w:tc>
          <w:tcPr>
            <w:tcW w:w="1364" w:type="dxa"/>
          </w:tcPr>
          <w:p w14:paraId="0907656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BCA3D2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1899742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294D318D" w14:textId="77777777" w:rsidTr="0081433D">
        <w:trPr>
          <w:cantSplit/>
        </w:trPr>
        <w:tc>
          <w:tcPr>
            <w:tcW w:w="1980" w:type="dxa"/>
          </w:tcPr>
          <w:p w14:paraId="6A3F53D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szCs w:val="18"/>
                <w:lang w:eastAsia="zh-CN"/>
              </w:rPr>
              <w:t xml:space="preserve">Averaging Window </w:t>
            </w:r>
          </w:p>
        </w:tc>
        <w:tc>
          <w:tcPr>
            <w:tcW w:w="2912" w:type="dxa"/>
          </w:tcPr>
          <w:p w14:paraId="1A7FDAF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lang w:eastAsia="zh-CN"/>
              </w:rPr>
              <w:t>Represents the duration over which the guaranteed and maximum bitrate shall be calculated</w:t>
            </w:r>
            <w:r w:rsidRPr="00E46192">
              <w:rPr>
                <w:rFonts w:ascii="Arial" w:eastAsia="Times New Roman" w:hAnsi="Arial"/>
                <w:color w:val="auto"/>
                <w:sz w:val="18"/>
                <w:lang w:eastAsia="en-GB"/>
              </w:rPr>
              <w:t xml:space="preserve"> </w:t>
            </w:r>
            <w:r w:rsidRPr="00E46192">
              <w:rPr>
                <w:rFonts w:ascii="Arial" w:eastAsia="Times New Roman" w:hAnsi="Arial"/>
                <w:color w:val="auto"/>
                <w:sz w:val="18"/>
                <w:szCs w:val="18"/>
                <w:lang w:eastAsia="en-GB"/>
              </w:rPr>
              <w:t>(NOTE 14)</w:t>
            </w:r>
            <w:r w:rsidRPr="00E46192">
              <w:rPr>
                <w:rFonts w:ascii="Arial" w:eastAsia="SimSun" w:hAnsi="Arial"/>
                <w:color w:val="auto"/>
                <w:sz w:val="18"/>
                <w:lang w:eastAsia="zh-CN"/>
              </w:rPr>
              <w:t xml:space="preserve">. </w:t>
            </w:r>
          </w:p>
        </w:tc>
        <w:tc>
          <w:tcPr>
            <w:tcW w:w="1364" w:type="dxa"/>
          </w:tcPr>
          <w:p w14:paraId="3600CFC3"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82F39F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26D08A0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15FF322D" w14:textId="77777777" w:rsidTr="0081433D">
        <w:trPr>
          <w:cantSplit/>
        </w:trPr>
        <w:tc>
          <w:tcPr>
            <w:tcW w:w="1980" w:type="dxa"/>
          </w:tcPr>
          <w:p w14:paraId="1172A85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szCs w:val="18"/>
                <w:lang w:eastAsia="zh-CN"/>
              </w:rPr>
              <w:t>Maximum Data Burst Volume (MDBV)</w:t>
            </w:r>
          </w:p>
        </w:tc>
        <w:tc>
          <w:tcPr>
            <w:tcW w:w="2912" w:type="dxa"/>
          </w:tcPr>
          <w:p w14:paraId="76B1F63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lang w:eastAsia="zh-CN"/>
              </w:rPr>
              <w:t>Denotes the largest amount of data that is required to be transferred within a period of 5G-AN PDB</w:t>
            </w:r>
            <w:r w:rsidRPr="00E46192">
              <w:rPr>
                <w:rFonts w:ascii="Arial" w:eastAsia="Times New Roman" w:hAnsi="Arial"/>
                <w:color w:val="auto"/>
                <w:sz w:val="18"/>
                <w:lang w:eastAsia="en-GB"/>
              </w:rPr>
              <w:t xml:space="preserve"> </w:t>
            </w:r>
            <w:r w:rsidRPr="00E46192">
              <w:rPr>
                <w:rFonts w:ascii="Arial" w:eastAsia="Times New Roman" w:hAnsi="Arial"/>
                <w:color w:val="auto"/>
                <w:sz w:val="18"/>
                <w:szCs w:val="18"/>
                <w:lang w:eastAsia="en-GB"/>
              </w:rPr>
              <w:t>(NOTE 14)</w:t>
            </w:r>
            <w:r w:rsidRPr="00E46192">
              <w:rPr>
                <w:rFonts w:ascii="Arial" w:eastAsia="SimSun" w:hAnsi="Arial"/>
                <w:color w:val="auto"/>
                <w:sz w:val="18"/>
                <w:lang w:eastAsia="zh-CN"/>
              </w:rPr>
              <w:t xml:space="preserve">. </w:t>
            </w:r>
          </w:p>
        </w:tc>
        <w:tc>
          <w:tcPr>
            <w:tcW w:w="1364" w:type="dxa"/>
          </w:tcPr>
          <w:p w14:paraId="243E79B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BCF1E4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23C9F66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129872A0" w14:textId="77777777" w:rsidTr="0081433D">
        <w:trPr>
          <w:cantSplit/>
        </w:trPr>
        <w:tc>
          <w:tcPr>
            <w:tcW w:w="1980" w:type="dxa"/>
          </w:tcPr>
          <w:p w14:paraId="7A34B0E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Disable UE notifications at changes related to Alternative QoS Profiles</w:t>
            </w:r>
          </w:p>
        </w:tc>
        <w:tc>
          <w:tcPr>
            <w:tcW w:w="2912" w:type="dxa"/>
          </w:tcPr>
          <w:p w14:paraId="52727AF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CE4E7E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44A1079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25)</w:t>
            </w:r>
          </w:p>
        </w:tc>
        <w:tc>
          <w:tcPr>
            <w:tcW w:w="1748" w:type="dxa"/>
          </w:tcPr>
          <w:p w14:paraId="70AC3B8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1A74EC4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10C9FF09" w14:textId="77777777" w:rsidTr="0081433D">
        <w:trPr>
          <w:cantSplit/>
        </w:trPr>
        <w:tc>
          <w:tcPr>
            <w:tcW w:w="1980" w:type="dxa"/>
          </w:tcPr>
          <w:p w14:paraId="7D72250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lastRenderedPageBreak/>
              <w:t>Precedence for TFT packet filter allocation</w:t>
            </w:r>
          </w:p>
        </w:tc>
        <w:tc>
          <w:tcPr>
            <w:tcW w:w="2912" w:type="dxa"/>
          </w:tcPr>
          <w:p w14:paraId="1F02C97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Determines the order of TFT packet filter allocation for PCC rules</w:t>
            </w:r>
          </w:p>
        </w:tc>
        <w:tc>
          <w:tcPr>
            <w:tcW w:w="1364" w:type="dxa"/>
          </w:tcPr>
          <w:p w14:paraId="48F7D14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28)</w:t>
            </w:r>
          </w:p>
        </w:tc>
        <w:tc>
          <w:tcPr>
            <w:tcW w:w="1748" w:type="dxa"/>
          </w:tcPr>
          <w:p w14:paraId="6624F5C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32F58A5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479FA865" w14:textId="77777777" w:rsidTr="0081433D">
        <w:trPr>
          <w:cantSplit/>
        </w:trPr>
        <w:tc>
          <w:tcPr>
            <w:tcW w:w="1980" w:type="dxa"/>
          </w:tcPr>
          <w:p w14:paraId="3049A94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ECN marking for L4S</w:t>
            </w:r>
          </w:p>
          <w:p w14:paraId="14F0CF2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32)</w:t>
            </w:r>
          </w:p>
        </w:tc>
        <w:tc>
          <w:tcPr>
            <w:tcW w:w="2912" w:type="dxa"/>
          </w:tcPr>
          <w:p w14:paraId="7548FA3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0BB4F0E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tc>
        <w:tc>
          <w:tcPr>
            <w:tcW w:w="1748" w:type="dxa"/>
          </w:tcPr>
          <w:p w14:paraId="378A490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4F21329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5F9034D9" w14:textId="77777777" w:rsidTr="0081433D">
        <w:trPr>
          <w:cantSplit/>
        </w:trPr>
        <w:tc>
          <w:tcPr>
            <w:tcW w:w="1980" w:type="dxa"/>
          </w:tcPr>
          <w:p w14:paraId="530C1217"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Access Network Information Reporting</w:t>
            </w:r>
          </w:p>
        </w:tc>
        <w:tc>
          <w:tcPr>
            <w:tcW w:w="2912" w:type="dxa"/>
          </w:tcPr>
          <w:p w14:paraId="111EEFAC"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describes access network information to be reported for the PCC rule when the corresponding QoS Flow is established, modified or terminated.</w:t>
            </w:r>
          </w:p>
        </w:tc>
        <w:tc>
          <w:tcPr>
            <w:tcW w:w="1364" w:type="dxa"/>
          </w:tcPr>
          <w:p w14:paraId="6ADD61D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A0046F5"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07AEFF99"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7045BA8A" w14:textId="77777777" w:rsidTr="0081433D">
        <w:trPr>
          <w:cantSplit/>
        </w:trPr>
        <w:tc>
          <w:tcPr>
            <w:tcW w:w="1980" w:type="dxa"/>
          </w:tcPr>
          <w:p w14:paraId="3A483F6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User Location Report</w:t>
            </w:r>
          </w:p>
        </w:tc>
        <w:tc>
          <w:tcPr>
            <w:tcW w:w="2912" w:type="dxa"/>
          </w:tcPr>
          <w:p w14:paraId="00B417D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1803AEB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053200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000F86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49184D27" w14:textId="77777777" w:rsidTr="0081433D">
        <w:trPr>
          <w:cantSplit/>
        </w:trPr>
        <w:tc>
          <w:tcPr>
            <w:tcW w:w="1980" w:type="dxa"/>
          </w:tcPr>
          <w:p w14:paraId="3E12328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UE </w:t>
            </w:r>
            <w:r w:rsidRPr="00E46192">
              <w:rPr>
                <w:rFonts w:ascii="Arial" w:eastAsia="Times New Roman" w:hAnsi="Arial"/>
                <w:noProof/>
                <w:color w:val="auto"/>
                <w:sz w:val="18"/>
                <w:szCs w:val="18"/>
                <w:lang w:eastAsia="en-GB"/>
              </w:rPr>
              <w:t>Timezone</w:t>
            </w:r>
            <w:r w:rsidRPr="00E46192">
              <w:rPr>
                <w:rFonts w:ascii="Arial" w:eastAsia="Times New Roman" w:hAnsi="Arial"/>
                <w:color w:val="auto"/>
                <w:sz w:val="18"/>
                <w:szCs w:val="18"/>
                <w:lang w:eastAsia="en-GB"/>
              </w:rPr>
              <w:t xml:space="preserve"> Report</w:t>
            </w:r>
          </w:p>
        </w:tc>
        <w:tc>
          <w:tcPr>
            <w:tcW w:w="2912" w:type="dxa"/>
          </w:tcPr>
          <w:p w14:paraId="5B2A0CC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time zone of the UE is to be reported.</w:t>
            </w:r>
          </w:p>
        </w:tc>
        <w:tc>
          <w:tcPr>
            <w:tcW w:w="1364" w:type="dxa"/>
          </w:tcPr>
          <w:p w14:paraId="7739526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D1A71D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A8EF34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39522924" w14:textId="77777777" w:rsidTr="0081433D">
        <w:trPr>
          <w:cantSplit/>
        </w:trPr>
        <w:tc>
          <w:tcPr>
            <w:tcW w:w="1980" w:type="dxa"/>
          </w:tcPr>
          <w:p w14:paraId="4454A0E4"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Usage Monitoring Control</w:t>
            </w:r>
          </w:p>
        </w:tc>
        <w:tc>
          <w:tcPr>
            <w:tcW w:w="2912" w:type="dxa"/>
          </w:tcPr>
          <w:p w14:paraId="7DAD2EDB"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describes identities required for Usage Monitoring Control.</w:t>
            </w:r>
          </w:p>
        </w:tc>
        <w:tc>
          <w:tcPr>
            <w:tcW w:w="1364" w:type="dxa"/>
          </w:tcPr>
          <w:p w14:paraId="77EB743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ED5D76B"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0CB5E65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79ED2F7" w14:textId="77777777" w:rsidTr="0081433D">
        <w:trPr>
          <w:cantSplit/>
        </w:trPr>
        <w:tc>
          <w:tcPr>
            <w:tcW w:w="1980" w:type="dxa"/>
          </w:tcPr>
          <w:p w14:paraId="200110E3"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Monitoring key</w:t>
            </w:r>
          </w:p>
          <w:p w14:paraId="63F1A0E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23)</w:t>
            </w:r>
          </w:p>
        </w:tc>
        <w:tc>
          <w:tcPr>
            <w:tcW w:w="2912" w:type="dxa"/>
          </w:tcPr>
          <w:p w14:paraId="47B62F2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PCF uses the monitoring key to group services that share a common allowed usage.</w:t>
            </w:r>
          </w:p>
        </w:tc>
        <w:tc>
          <w:tcPr>
            <w:tcW w:w="1364" w:type="dxa"/>
          </w:tcPr>
          <w:p w14:paraId="333BF3B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E007ED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40E675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210FA31D" w14:textId="77777777" w:rsidTr="0081433D">
        <w:trPr>
          <w:cantSplit/>
        </w:trPr>
        <w:tc>
          <w:tcPr>
            <w:tcW w:w="1980" w:type="dxa"/>
          </w:tcPr>
          <w:p w14:paraId="7310123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Indication of exclusion from session level monitoring</w:t>
            </w:r>
          </w:p>
        </w:tc>
        <w:tc>
          <w:tcPr>
            <w:tcW w:w="2912" w:type="dxa"/>
          </w:tcPr>
          <w:p w14:paraId="4A97A29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Indicates that the service data flow shall be excluded from PDU Session usage monitoring</w:t>
            </w:r>
          </w:p>
        </w:tc>
        <w:tc>
          <w:tcPr>
            <w:tcW w:w="1364" w:type="dxa"/>
          </w:tcPr>
          <w:p w14:paraId="364485B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DCBA78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8E700A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405D56DD" w14:textId="77777777" w:rsidTr="0081433D">
        <w:trPr>
          <w:cantSplit/>
        </w:trPr>
        <w:tc>
          <w:tcPr>
            <w:tcW w:w="1980" w:type="dxa"/>
          </w:tcPr>
          <w:p w14:paraId="6FF150B8"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N6-LAN Traffic Steering Enforcement Control (NOTE 18)</w:t>
            </w:r>
          </w:p>
        </w:tc>
        <w:tc>
          <w:tcPr>
            <w:tcW w:w="2912" w:type="dxa"/>
          </w:tcPr>
          <w:p w14:paraId="17B2A419"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describes information required for N6-LAN Traffic Steering.</w:t>
            </w:r>
          </w:p>
        </w:tc>
        <w:tc>
          <w:tcPr>
            <w:tcW w:w="1364" w:type="dxa"/>
          </w:tcPr>
          <w:p w14:paraId="3B4E134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D4717A3"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6B629790"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5C0853D7" w14:textId="77777777" w:rsidTr="0081433D">
        <w:trPr>
          <w:cantSplit/>
        </w:trPr>
        <w:tc>
          <w:tcPr>
            <w:tcW w:w="1980" w:type="dxa"/>
          </w:tcPr>
          <w:p w14:paraId="57DA375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Traffic steering policy identifier(s)</w:t>
            </w:r>
          </w:p>
        </w:tc>
        <w:tc>
          <w:tcPr>
            <w:tcW w:w="2912" w:type="dxa"/>
          </w:tcPr>
          <w:p w14:paraId="6989393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Reference to a pre-configured traffic steering policy at the SMF</w:t>
            </w:r>
          </w:p>
          <w:p w14:paraId="50654A4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12).</w:t>
            </w:r>
          </w:p>
        </w:tc>
        <w:tc>
          <w:tcPr>
            <w:tcW w:w="1364" w:type="dxa"/>
          </w:tcPr>
          <w:p w14:paraId="58DE4D7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34ED4B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243BF2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184D1FA0" w14:textId="77777777" w:rsidTr="0081433D">
        <w:trPr>
          <w:cantSplit/>
        </w:trPr>
        <w:tc>
          <w:tcPr>
            <w:tcW w:w="1980" w:type="dxa"/>
          </w:tcPr>
          <w:p w14:paraId="46854CC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Metadata</w:t>
            </w:r>
          </w:p>
        </w:tc>
        <w:tc>
          <w:tcPr>
            <w:tcW w:w="2912" w:type="dxa"/>
          </w:tcPr>
          <w:p w14:paraId="02E02B5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Data provided by AF and included by UPF when forwarding traffic to N6-LAN.</w:t>
            </w:r>
          </w:p>
        </w:tc>
        <w:tc>
          <w:tcPr>
            <w:tcW w:w="1364" w:type="dxa"/>
          </w:tcPr>
          <w:p w14:paraId="6CEA89E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CB96E0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0C0320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D4DB3DC" w14:textId="77777777" w:rsidTr="0081433D">
        <w:trPr>
          <w:cantSplit/>
        </w:trPr>
        <w:tc>
          <w:tcPr>
            <w:tcW w:w="1980" w:type="dxa"/>
          </w:tcPr>
          <w:p w14:paraId="61C2FD30"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Application Function influence on traffic routing Enforcement Control (NOTE 18)</w:t>
            </w:r>
          </w:p>
        </w:tc>
        <w:tc>
          <w:tcPr>
            <w:tcW w:w="2912" w:type="dxa"/>
          </w:tcPr>
          <w:p w14:paraId="1077FFE5"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describes information required for Application Function influence on traffic routing.</w:t>
            </w:r>
          </w:p>
        </w:tc>
        <w:tc>
          <w:tcPr>
            <w:tcW w:w="1364" w:type="dxa"/>
          </w:tcPr>
          <w:p w14:paraId="66A0A56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BF6E0AC"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0916086B"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01F4C4EA" w14:textId="77777777" w:rsidTr="0081433D">
        <w:trPr>
          <w:cantSplit/>
        </w:trPr>
        <w:tc>
          <w:tcPr>
            <w:tcW w:w="1980" w:type="dxa"/>
          </w:tcPr>
          <w:p w14:paraId="18F9C13C"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color w:val="auto"/>
                <w:sz w:val="18"/>
                <w:lang w:eastAsia="en-GB"/>
              </w:rPr>
              <w:t>Data Network Access Identifier</w:t>
            </w:r>
          </w:p>
        </w:tc>
        <w:tc>
          <w:tcPr>
            <w:tcW w:w="2912" w:type="dxa"/>
          </w:tcPr>
          <w:p w14:paraId="4076EB1F"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color w:val="auto"/>
                <w:sz w:val="18"/>
                <w:lang w:eastAsia="en-GB"/>
              </w:rPr>
              <w:t>Identifier(s) of the target Data Network Access (DNAI). It is defined in clause 5.6.7 of TS 23.501 [2].</w:t>
            </w:r>
          </w:p>
        </w:tc>
        <w:tc>
          <w:tcPr>
            <w:tcW w:w="1364" w:type="dxa"/>
          </w:tcPr>
          <w:p w14:paraId="2D26D35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5856FB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B1C910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1D746E6" w14:textId="77777777" w:rsidTr="0081433D">
        <w:trPr>
          <w:cantSplit/>
        </w:trPr>
        <w:tc>
          <w:tcPr>
            <w:tcW w:w="1980" w:type="dxa"/>
          </w:tcPr>
          <w:p w14:paraId="2632F2C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Per DNAI: Traffic steering policy identifier</w:t>
            </w:r>
          </w:p>
        </w:tc>
        <w:tc>
          <w:tcPr>
            <w:tcW w:w="2912" w:type="dxa"/>
          </w:tcPr>
          <w:p w14:paraId="0B99088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Reference to a pre-configured traffic steering policy at the SMF</w:t>
            </w:r>
          </w:p>
          <w:p w14:paraId="08E9D98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19).</w:t>
            </w:r>
          </w:p>
        </w:tc>
        <w:tc>
          <w:tcPr>
            <w:tcW w:w="1364" w:type="dxa"/>
          </w:tcPr>
          <w:p w14:paraId="0E4B9EE9"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61C1C5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F77612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620749E" w14:textId="77777777" w:rsidTr="0081433D">
        <w:trPr>
          <w:cantSplit/>
        </w:trPr>
        <w:tc>
          <w:tcPr>
            <w:tcW w:w="1980" w:type="dxa"/>
          </w:tcPr>
          <w:p w14:paraId="5AC7B9B3"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color w:val="auto"/>
                <w:sz w:val="18"/>
                <w:lang w:eastAsia="en-GB"/>
              </w:rPr>
              <w:t>Per DNAI: N6 traffic routing information</w:t>
            </w:r>
          </w:p>
        </w:tc>
        <w:tc>
          <w:tcPr>
            <w:tcW w:w="2912" w:type="dxa"/>
          </w:tcPr>
          <w:p w14:paraId="3B2BE131"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color w:val="auto"/>
                <w:sz w:val="18"/>
                <w:lang w:eastAsia="en-GB"/>
              </w:rPr>
              <w:t>Describes the information necessary for traffic steering to the DNAI. It is described in clause 5.6.7 of TS 23.501 [2] (NOTE 19).</w:t>
            </w:r>
          </w:p>
        </w:tc>
        <w:tc>
          <w:tcPr>
            <w:tcW w:w="1364" w:type="dxa"/>
          </w:tcPr>
          <w:p w14:paraId="1D6AF47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B32112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3AC9431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360A87D6" w14:textId="77777777" w:rsidTr="0081433D">
        <w:trPr>
          <w:cantSplit/>
        </w:trPr>
        <w:tc>
          <w:tcPr>
            <w:tcW w:w="1980" w:type="dxa"/>
          </w:tcPr>
          <w:p w14:paraId="3626BD5F"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color w:val="auto"/>
                <w:sz w:val="18"/>
                <w:lang w:eastAsia="en-GB"/>
              </w:rPr>
              <w:lastRenderedPageBreak/>
              <w:t>Information on AF subscription to UP change events</w:t>
            </w:r>
          </w:p>
        </w:tc>
        <w:tc>
          <w:tcPr>
            <w:tcW w:w="2912" w:type="dxa"/>
          </w:tcPr>
          <w:p w14:paraId="073BB58A"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color w:val="auto"/>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18B0225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8210CD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6F73DC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EF0A8F2" w14:textId="77777777" w:rsidTr="0081433D">
        <w:trPr>
          <w:cantSplit/>
        </w:trPr>
        <w:tc>
          <w:tcPr>
            <w:tcW w:w="1980" w:type="dxa"/>
          </w:tcPr>
          <w:p w14:paraId="4D09F69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Indication of UE IP address preservation</w:t>
            </w:r>
          </w:p>
        </w:tc>
        <w:tc>
          <w:tcPr>
            <w:tcW w:w="2912" w:type="dxa"/>
          </w:tcPr>
          <w:p w14:paraId="124583C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UE IP address should be preserved. It is defined in clause 5.6.7 of TS 23.501 [2].</w:t>
            </w:r>
          </w:p>
        </w:tc>
        <w:tc>
          <w:tcPr>
            <w:tcW w:w="1364" w:type="dxa"/>
          </w:tcPr>
          <w:p w14:paraId="0FDE28D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8D2748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CCC915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4AB5985" w14:textId="77777777" w:rsidTr="0081433D">
        <w:trPr>
          <w:cantSplit/>
        </w:trPr>
        <w:tc>
          <w:tcPr>
            <w:tcW w:w="1980" w:type="dxa"/>
          </w:tcPr>
          <w:p w14:paraId="218E2CC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Indication of traffic correlation</w:t>
            </w:r>
          </w:p>
          <w:p w14:paraId="665962B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29)</w:t>
            </w:r>
          </w:p>
        </w:tc>
        <w:tc>
          <w:tcPr>
            <w:tcW w:w="2912" w:type="dxa"/>
          </w:tcPr>
          <w:p w14:paraId="0E2C700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that the target PDU Sessions should be correlated via a common DNAI in the user plane. It is described in clause 5.6.7 of TS 23.501 [2].</w:t>
            </w:r>
          </w:p>
        </w:tc>
        <w:tc>
          <w:tcPr>
            <w:tcW w:w="1364" w:type="dxa"/>
          </w:tcPr>
          <w:p w14:paraId="59D19D5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98D2D2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80A0D4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0AFEF657" w14:textId="77777777" w:rsidTr="0081433D">
        <w:trPr>
          <w:cantSplit/>
        </w:trPr>
        <w:tc>
          <w:tcPr>
            <w:tcW w:w="1980" w:type="dxa"/>
          </w:tcPr>
          <w:p w14:paraId="4C96142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Information on User Plane Latency requirements</w:t>
            </w:r>
          </w:p>
        </w:tc>
        <w:tc>
          <w:tcPr>
            <w:tcW w:w="2912" w:type="dxa"/>
          </w:tcPr>
          <w:p w14:paraId="349068B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the user plane latency requirements. It is defined in clause 6.3.6 of TS 23.548 [33].</w:t>
            </w:r>
          </w:p>
        </w:tc>
        <w:tc>
          <w:tcPr>
            <w:tcW w:w="1364" w:type="dxa"/>
          </w:tcPr>
          <w:p w14:paraId="230E5667"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815750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A38401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7FD9747D" w14:textId="77777777" w:rsidTr="0081433D">
        <w:trPr>
          <w:cantSplit/>
        </w:trPr>
        <w:tc>
          <w:tcPr>
            <w:tcW w:w="1980" w:type="dxa"/>
          </w:tcPr>
          <w:p w14:paraId="723D2E7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Indication for Simultaneous Connectivity at Edge Relocation</w:t>
            </w:r>
          </w:p>
        </w:tc>
        <w:tc>
          <w:tcPr>
            <w:tcW w:w="2912" w:type="dxa"/>
          </w:tcPr>
          <w:p w14:paraId="302D44C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request for simultaneous connectivity over source and target PSA from the AF (see clause 5.6.7 of TS 23.501 [2]).</w:t>
            </w:r>
          </w:p>
        </w:tc>
        <w:tc>
          <w:tcPr>
            <w:tcW w:w="1364" w:type="dxa"/>
          </w:tcPr>
          <w:p w14:paraId="53B5731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30E2F6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23D2C4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78DB8BB5" w14:textId="77777777" w:rsidTr="0081433D">
        <w:trPr>
          <w:cantSplit/>
        </w:trPr>
        <w:tc>
          <w:tcPr>
            <w:tcW w:w="1980" w:type="dxa"/>
          </w:tcPr>
          <w:p w14:paraId="5456DC8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Information for EAS IP Replacement in 5GC</w:t>
            </w:r>
          </w:p>
        </w:tc>
        <w:tc>
          <w:tcPr>
            <w:tcW w:w="2912" w:type="dxa"/>
          </w:tcPr>
          <w:p w14:paraId="2357981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the Source EAS identifier and Target EAS identifier, (i.e. IP addresses and port numbers of the source and target EAS). (see clause 5.6.7 of TS 23.501 [2]).</w:t>
            </w:r>
          </w:p>
        </w:tc>
        <w:tc>
          <w:tcPr>
            <w:tcW w:w="1364" w:type="dxa"/>
          </w:tcPr>
          <w:p w14:paraId="72726AC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A77CFA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167094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9D03017" w14:textId="77777777" w:rsidTr="0081433D">
        <w:trPr>
          <w:cantSplit/>
        </w:trPr>
        <w:tc>
          <w:tcPr>
            <w:tcW w:w="1980" w:type="dxa"/>
          </w:tcPr>
          <w:p w14:paraId="198B915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EAS Correlation indication</w:t>
            </w:r>
          </w:p>
        </w:tc>
        <w:tc>
          <w:tcPr>
            <w:tcW w:w="2912" w:type="dxa"/>
          </w:tcPr>
          <w:p w14:paraId="1A52C64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selecting a common EAS for the application identified by Service data flow template accessed by the UEs with the same Traffic Correlation ID.</w:t>
            </w:r>
          </w:p>
        </w:tc>
        <w:tc>
          <w:tcPr>
            <w:tcW w:w="1364" w:type="dxa"/>
          </w:tcPr>
          <w:p w14:paraId="748DD401"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00B236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658DAD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D50F2EB" w14:textId="77777777" w:rsidTr="0081433D">
        <w:trPr>
          <w:cantSplit/>
        </w:trPr>
        <w:tc>
          <w:tcPr>
            <w:tcW w:w="1980" w:type="dxa"/>
          </w:tcPr>
          <w:p w14:paraId="22D1BC7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Traffic Correlation ID</w:t>
            </w:r>
          </w:p>
        </w:tc>
        <w:tc>
          <w:tcPr>
            <w:tcW w:w="2912" w:type="dxa"/>
          </w:tcPr>
          <w:p w14:paraId="63391B5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Identification of a set of UEs accessing the application identified by the Service data flow template (see clause 5.6.7 of TS 23.501 [2]).</w:t>
            </w:r>
          </w:p>
        </w:tc>
        <w:tc>
          <w:tcPr>
            <w:tcW w:w="1364" w:type="dxa"/>
          </w:tcPr>
          <w:p w14:paraId="20D9E1B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1B4396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A0A6EF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3739E1D9" w14:textId="77777777" w:rsidTr="0081433D">
        <w:trPr>
          <w:cantSplit/>
        </w:trPr>
        <w:tc>
          <w:tcPr>
            <w:tcW w:w="1980" w:type="dxa"/>
          </w:tcPr>
          <w:p w14:paraId="058409C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Common EAS IP address</w:t>
            </w:r>
          </w:p>
        </w:tc>
        <w:tc>
          <w:tcPr>
            <w:tcW w:w="2912" w:type="dxa"/>
          </w:tcPr>
          <w:p w14:paraId="3576BF33"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IP address of the common EAS for the application identified by the Traffic Description for the UEs the AF request aims at (as defined in clause 5.6.7 of TS 23.501 [2]).</w:t>
            </w:r>
          </w:p>
        </w:tc>
        <w:tc>
          <w:tcPr>
            <w:tcW w:w="1364" w:type="dxa"/>
          </w:tcPr>
          <w:p w14:paraId="2791E71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35A1AF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2CA555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6F3E3B4" w14:textId="77777777" w:rsidTr="0081433D">
        <w:trPr>
          <w:cantSplit/>
        </w:trPr>
        <w:tc>
          <w:tcPr>
            <w:tcW w:w="1980" w:type="dxa"/>
          </w:tcPr>
          <w:p w14:paraId="429A0E7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Common DNAI</w:t>
            </w:r>
          </w:p>
        </w:tc>
        <w:tc>
          <w:tcPr>
            <w:tcW w:w="2912" w:type="dxa"/>
          </w:tcPr>
          <w:p w14:paraId="2B2A7DE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Common DNAI applicable to the set of UEs identified by a traffic correlation ID.</w:t>
            </w:r>
          </w:p>
        </w:tc>
        <w:tc>
          <w:tcPr>
            <w:tcW w:w="1364" w:type="dxa"/>
          </w:tcPr>
          <w:p w14:paraId="182D762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31B024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E33092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B57EF5F" w14:textId="77777777" w:rsidTr="0081433D">
        <w:trPr>
          <w:cantSplit/>
        </w:trPr>
        <w:tc>
          <w:tcPr>
            <w:tcW w:w="1980" w:type="dxa"/>
          </w:tcPr>
          <w:p w14:paraId="357360D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FQDN(s)</w:t>
            </w:r>
          </w:p>
        </w:tc>
        <w:tc>
          <w:tcPr>
            <w:tcW w:w="2912" w:type="dxa"/>
          </w:tcPr>
          <w:p w14:paraId="2657A40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FQDN(s) for the application indicated in the PCC rule (see clause 5.6.7 of TS 23.501 [2]).</w:t>
            </w:r>
          </w:p>
        </w:tc>
        <w:tc>
          <w:tcPr>
            <w:tcW w:w="1364" w:type="dxa"/>
          </w:tcPr>
          <w:p w14:paraId="0B3D4F2F"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A1363F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4EFB74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DB12D94" w14:textId="77777777" w:rsidTr="0081433D">
        <w:trPr>
          <w:cantSplit/>
        </w:trPr>
        <w:tc>
          <w:tcPr>
            <w:tcW w:w="1980" w:type="dxa"/>
          </w:tcPr>
          <w:p w14:paraId="5786E6A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NEF information</w:t>
            </w:r>
          </w:p>
        </w:tc>
        <w:tc>
          <w:tcPr>
            <w:tcW w:w="2912" w:type="dxa"/>
          </w:tcPr>
          <w:p w14:paraId="6D4B780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Notification Endpoint of NEF subscription to be notified with information related to UE members of the set of UEs identified by traffic correlation ID.</w:t>
            </w:r>
          </w:p>
        </w:tc>
        <w:tc>
          <w:tcPr>
            <w:tcW w:w="1364" w:type="dxa"/>
          </w:tcPr>
          <w:p w14:paraId="0348527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890D32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37009DC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17EDD951" w14:textId="77777777" w:rsidTr="0081433D">
        <w:trPr>
          <w:cantSplit/>
        </w:trPr>
        <w:tc>
          <w:tcPr>
            <w:tcW w:w="1980" w:type="dxa"/>
          </w:tcPr>
          <w:p w14:paraId="012E58F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b/>
                <w:color w:val="auto"/>
                <w:sz w:val="18"/>
                <w:szCs w:val="18"/>
                <w:lang w:eastAsia="en-GB"/>
              </w:rPr>
              <w:t>NBIFOM related control Information</w:t>
            </w:r>
          </w:p>
        </w:tc>
        <w:tc>
          <w:tcPr>
            <w:tcW w:w="2912" w:type="dxa"/>
          </w:tcPr>
          <w:p w14:paraId="6A17B92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i/>
                <w:color w:val="auto"/>
                <w:sz w:val="18"/>
                <w:szCs w:val="18"/>
                <w:lang w:eastAsia="en-GB"/>
              </w:rPr>
              <w:t>This part describes PCC rule information related with NBIFOM.</w:t>
            </w:r>
          </w:p>
        </w:tc>
        <w:tc>
          <w:tcPr>
            <w:tcW w:w="1364" w:type="dxa"/>
          </w:tcPr>
          <w:p w14:paraId="2B27A4B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AE74D69"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069186D2"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0FE0DF3E" w14:textId="77777777" w:rsidTr="0081433D">
        <w:trPr>
          <w:cantSplit/>
        </w:trPr>
        <w:tc>
          <w:tcPr>
            <w:tcW w:w="1980" w:type="dxa"/>
          </w:tcPr>
          <w:p w14:paraId="1AB6C6A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szCs w:val="18"/>
                <w:lang w:eastAsia="en-GB"/>
              </w:rPr>
              <w:t>Allowed Access Type</w:t>
            </w:r>
          </w:p>
        </w:tc>
        <w:tc>
          <w:tcPr>
            <w:tcW w:w="2912" w:type="dxa"/>
          </w:tcPr>
          <w:p w14:paraId="70EFC06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szCs w:val="18"/>
                <w:lang w:eastAsia="en-GB"/>
              </w:rPr>
              <w:t>The access to be used for traffic identified by the PCC rule.</w:t>
            </w:r>
          </w:p>
        </w:tc>
        <w:tc>
          <w:tcPr>
            <w:tcW w:w="1364" w:type="dxa"/>
          </w:tcPr>
          <w:p w14:paraId="38B5BB36"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EDBE7A7"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4552ADC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Removed</w:t>
            </w:r>
          </w:p>
        </w:tc>
      </w:tr>
      <w:tr w:rsidR="00E46192" w:rsidRPr="00E46192" w14:paraId="4238D299" w14:textId="77777777" w:rsidTr="0081433D">
        <w:trPr>
          <w:cantSplit/>
        </w:trPr>
        <w:tc>
          <w:tcPr>
            <w:tcW w:w="1980" w:type="dxa"/>
          </w:tcPr>
          <w:p w14:paraId="40E1195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b/>
                <w:color w:val="auto"/>
                <w:sz w:val="18"/>
                <w:szCs w:val="18"/>
                <w:lang w:eastAsia="en-GB"/>
              </w:rPr>
              <w:t>RAN support information</w:t>
            </w:r>
          </w:p>
        </w:tc>
        <w:tc>
          <w:tcPr>
            <w:tcW w:w="2912" w:type="dxa"/>
          </w:tcPr>
          <w:p w14:paraId="169664A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i/>
                <w:color w:val="auto"/>
                <w:sz w:val="18"/>
                <w:szCs w:val="18"/>
                <w:lang w:eastAsia="en-GB"/>
              </w:rPr>
              <w:t>This part defines</w:t>
            </w:r>
            <w:r w:rsidRPr="00E46192">
              <w:rPr>
                <w:rFonts w:ascii="Arial" w:eastAsia="Times New Roman" w:hAnsi="Arial"/>
                <w:i/>
                <w:color w:val="auto"/>
                <w:sz w:val="18"/>
                <w:szCs w:val="18"/>
                <w:lang w:eastAsia="zh-CN"/>
              </w:rPr>
              <w:t xml:space="preserve"> information supporting </w:t>
            </w:r>
            <w:r w:rsidRPr="00E46192">
              <w:rPr>
                <w:rFonts w:ascii="Arial" w:eastAsia="Times New Roman" w:hAnsi="Arial"/>
                <w:i/>
                <w:color w:val="auto"/>
                <w:sz w:val="18"/>
                <w:szCs w:val="18"/>
                <w:lang w:eastAsia="en-GB"/>
              </w:rPr>
              <w:t>the RAN for</w:t>
            </w:r>
            <w:r w:rsidRPr="00E46192">
              <w:rPr>
                <w:rFonts w:ascii="Arial" w:eastAsia="Times New Roman" w:hAnsi="Arial"/>
                <w:i/>
                <w:color w:val="auto"/>
                <w:sz w:val="18"/>
                <w:szCs w:val="18"/>
                <w:lang w:eastAsia="zh-CN"/>
              </w:rPr>
              <w:t xml:space="preserve"> e.g.</w:t>
            </w:r>
            <w:r w:rsidRPr="00E46192">
              <w:rPr>
                <w:rFonts w:ascii="Arial" w:eastAsia="Times New Roman" w:hAnsi="Arial"/>
                <w:i/>
                <w:color w:val="auto"/>
                <w:sz w:val="18"/>
                <w:szCs w:val="18"/>
                <w:lang w:eastAsia="en-GB"/>
              </w:rPr>
              <w:t xml:space="preserve"> handover threshold decision</w:t>
            </w:r>
            <w:r w:rsidRPr="00E46192">
              <w:rPr>
                <w:rFonts w:ascii="Arial" w:eastAsia="Times New Roman" w:hAnsi="Arial"/>
                <w:i/>
                <w:color w:val="auto"/>
                <w:sz w:val="18"/>
                <w:szCs w:val="18"/>
                <w:lang w:eastAsia="zh-CN"/>
              </w:rPr>
              <w:t>.</w:t>
            </w:r>
          </w:p>
        </w:tc>
        <w:tc>
          <w:tcPr>
            <w:tcW w:w="1364" w:type="dxa"/>
          </w:tcPr>
          <w:p w14:paraId="229FC457"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63C127F"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299E8AA0"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1A4C7477" w14:textId="77777777" w:rsidTr="0081433D">
        <w:trPr>
          <w:cantSplit/>
        </w:trPr>
        <w:tc>
          <w:tcPr>
            <w:tcW w:w="1980" w:type="dxa"/>
          </w:tcPr>
          <w:p w14:paraId="18F4137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UL Maximum Packet Loss Rate</w:t>
            </w:r>
          </w:p>
        </w:tc>
        <w:tc>
          <w:tcPr>
            <w:tcW w:w="2912" w:type="dxa"/>
          </w:tcPr>
          <w:p w14:paraId="669ACA6A"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w:t>
            </w:r>
            <w:r w:rsidRPr="00E46192">
              <w:rPr>
                <w:rFonts w:ascii="Arial" w:eastAsia="Times New Roman" w:hAnsi="Arial"/>
                <w:color w:val="auto"/>
                <w:sz w:val="18"/>
                <w:lang w:eastAsia="en-GB"/>
              </w:rPr>
              <w:t>he maximum rate for lost packets that can be tolerated in the uplink direction</w:t>
            </w:r>
            <w:r w:rsidRPr="00E46192">
              <w:rPr>
                <w:rFonts w:ascii="Arial" w:eastAsia="Times New Roman" w:hAnsi="Arial"/>
                <w:color w:val="auto"/>
                <w:sz w:val="18"/>
              </w:rPr>
              <w:t xml:space="preserve"> </w:t>
            </w:r>
            <w:r w:rsidRPr="00E46192">
              <w:rPr>
                <w:rFonts w:ascii="Arial" w:eastAsia="Times New Roman" w:hAnsi="Arial"/>
                <w:color w:val="auto"/>
                <w:sz w:val="18"/>
                <w:lang w:eastAsia="en-GB"/>
              </w:rPr>
              <w:t xml:space="preserve">for </w:t>
            </w:r>
            <w:r w:rsidRPr="00E46192">
              <w:rPr>
                <w:rFonts w:ascii="Arial" w:eastAsia="Times New Roman" w:hAnsi="Arial"/>
                <w:color w:val="auto"/>
                <w:sz w:val="18"/>
              </w:rPr>
              <w:t xml:space="preserve">the </w:t>
            </w:r>
            <w:r w:rsidRPr="00E46192">
              <w:rPr>
                <w:rFonts w:ascii="Arial" w:eastAsia="Times New Roman" w:hAnsi="Arial"/>
                <w:color w:val="auto"/>
                <w:sz w:val="18"/>
                <w:lang w:eastAsia="en-GB"/>
              </w:rPr>
              <w:t>service data flow</w:t>
            </w:r>
            <w:r w:rsidRPr="00E46192">
              <w:rPr>
                <w:rFonts w:ascii="Arial" w:eastAsia="Times New Roman" w:hAnsi="Arial"/>
                <w:color w:val="auto"/>
                <w:sz w:val="18"/>
              </w:rPr>
              <w:t>.</w:t>
            </w:r>
            <w:r w:rsidRPr="00E46192">
              <w:rPr>
                <w:rFonts w:ascii="Arial" w:eastAsia="Times New Roman" w:hAnsi="Arial"/>
                <w:color w:val="auto"/>
                <w:sz w:val="18"/>
                <w:szCs w:val="18"/>
                <w:lang w:eastAsia="zh-CN"/>
              </w:rPr>
              <w:t xml:space="preserve"> It is defined in</w:t>
            </w:r>
            <w:r w:rsidRPr="00E46192">
              <w:rPr>
                <w:rFonts w:ascii="Arial" w:eastAsia="Times New Roman" w:hAnsi="Arial"/>
                <w:color w:val="auto"/>
                <w:sz w:val="18"/>
                <w:lang w:eastAsia="en-GB"/>
              </w:rPr>
              <w:t xml:space="preserve"> clause 5.7.2.8</w:t>
            </w:r>
            <w:r w:rsidRPr="00E46192">
              <w:rPr>
                <w:rFonts w:ascii="Arial" w:eastAsia="Times New Roman" w:hAnsi="Arial"/>
                <w:color w:val="auto"/>
                <w:sz w:val="18"/>
                <w:szCs w:val="18"/>
                <w:lang w:eastAsia="zh-CN"/>
              </w:rPr>
              <w:t xml:space="preserve"> of </w:t>
            </w:r>
            <w:r w:rsidRPr="00E46192">
              <w:rPr>
                <w:rFonts w:ascii="Arial" w:eastAsia="Times New Roman" w:hAnsi="Arial"/>
                <w:color w:val="auto"/>
                <w:sz w:val="18"/>
                <w:lang w:eastAsia="en-GB"/>
              </w:rPr>
              <w:t>TS 23.501 [2]</w:t>
            </w:r>
            <w:r w:rsidRPr="00E46192">
              <w:rPr>
                <w:rFonts w:ascii="Arial" w:eastAsia="Times New Roman" w:hAnsi="Arial"/>
                <w:color w:val="auto"/>
                <w:sz w:val="18"/>
                <w:lang w:eastAsia="zh-CN"/>
              </w:rPr>
              <w:t>.</w:t>
            </w:r>
          </w:p>
        </w:tc>
        <w:tc>
          <w:tcPr>
            <w:tcW w:w="1364" w:type="dxa"/>
          </w:tcPr>
          <w:p w14:paraId="5B5421B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Conditional </w:t>
            </w:r>
            <w:r w:rsidRPr="00E46192">
              <w:rPr>
                <w:rFonts w:ascii="Arial" w:eastAsia="Times New Roman" w:hAnsi="Arial"/>
                <w:color w:val="auto"/>
                <w:sz w:val="18"/>
                <w:szCs w:val="18"/>
                <w:lang w:eastAsia="zh-CN"/>
              </w:rPr>
              <w:t>(NOTE 13)</w:t>
            </w:r>
          </w:p>
        </w:tc>
        <w:tc>
          <w:tcPr>
            <w:tcW w:w="1748" w:type="dxa"/>
          </w:tcPr>
          <w:p w14:paraId="459E682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90FB2D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25DCEC09" w14:textId="77777777" w:rsidTr="0081433D">
        <w:trPr>
          <w:cantSplit/>
        </w:trPr>
        <w:tc>
          <w:tcPr>
            <w:tcW w:w="1980" w:type="dxa"/>
          </w:tcPr>
          <w:p w14:paraId="021CBFF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DL Maximum Packet Loss Rate</w:t>
            </w:r>
          </w:p>
        </w:tc>
        <w:tc>
          <w:tcPr>
            <w:tcW w:w="2912" w:type="dxa"/>
          </w:tcPr>
          <w:p w14:paraId="23FD2C31"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w:t>
            </w:r>
            <w:r w:rsidRPr="00E46192">
              <w:rPr>
                <w:rFonts w:ascii="Arial" w:eastAsia="Times New Roman" w:hAnsi="Arial"/>
                <w:color w:val="auto"/>
                <w:sz w:val="18"/>
                <w:lang w:eastAsia="en-GB"/>
              </w:rPr>
              <w:t>he maximum rate for lost packets that can be tolerated in the downlink direction</w:t>
            </w:r>
            <w:r w:rsidRPr="00E46192">
              <w:rPr>
                <w:rFonts w:ascii="Arial" w:eastAsia="Times New Roman" w:hAnsi="Arial"/>
                <w:color w:val="auto"/>
                <w:sz w:val="18"/>
              </w:rPr>
              <w:t xml:space="preserve"> </w:t>
            </w:r>
            <w:r w:rsidRPr="00E46192">
              <w:rPr>
                <w:rFonts w:ascii="Arial" w:eastAsia="Times New Roman" w:hAnsi="Arial"/>
                <w:color w:val="auto"/>
                <w:sz w:val="18"/>
                <w:lang w:eastAsia="en-GB"/>
              </w:rPr>
              <w:t xml:space="preserve">for </w:t>
            </w:r>
            <w:r w:rsidRPr="00E46192">
              <w:rPr>
                <w:rFonts w:ascii="Arial" w:eastAsia="Times New Roman" w:hAnsi="Arial"/>
                <w:color w:val="auto"/>
                <w:sz w:val="18"/>
              </w:rPr>
              <w:t>the</w:t>
            </w:r>
            <w:r w:rsidRPr="00E46192">
              <w:rPr>
                <w:rFonts w:ascii="Arial" w:eastAsia="Times New Roman" w:hAnsi="Arial"/>
                <w:color w:val="auto"/>
                <w:sz w:val="18"/>
                <w:lang w:eastAsia="en-GB"/>
              </w:rPr>
              <w:t xml:space="preserve"> service data flow</w:t>
            </w:r>
            <w:r w:rsidRPr="00E46192">
              <w:rPr>
                <w:rFonts w:ascii="Arial" w:eastAsia="Times New Roman" w:hAnsi="Arial"/>
                <w:color w:val="auto"/>
                <w:sz w:val="18"/>
              </w:rPr>
              <w:t>.</w:t>
            </w:r>
            <w:r w:rsidRPr="00E46192">
              <w:rPr>
                <w:rFonts w:ascii="Arial" w:eastAsia="Times New Roman" w:hAnsi="Arial"/>
                <w:color w:val="auto"/>
                <w:sz w:val="18"/>
                <w:szCs w:val="18"/>
                <w:lang w:eastAsia="zh-CN"/>
              </w:rPr>
              <w:t xml:space="preserve"> It is defined in</w:t>
            </w:r>
            <w:r w:rsidRPr="00E46192">
              <w:rPr>
                <w:rFonts w:ascii="Arial" w:eastAsia="Times New Roman" w:hAnsi="Arial"/>
                <w:color w:val="auto"/>
                <w:sz w:val="18"/>
                <w:lang w:eastAsia="en-GB"/>
              </w:rPr>
              <w:t xml:space="preserve"> clause 5.7.2.8</w:t>
            </w:r>
            <w:r w:rsidRPr="00E46192">
              <w:rPr>
                <w:rFonts w:ascii="Arial" w:eastAsia="Times New Roman" w:hAnsi="Arial"/>
                <w:color w:val="auto"/>
                <w:sz w:val="18"/>
                <w:szCs w:val="18"/>
                <w:lang w:eastAsia="zh-CN"/>
              </w:rPr>
              <w:t xml:space="preserve"> of </w:t>
            </w:r>
            <w:r w:rsidRPr="00E46192">
              <w:rPr>
                <w:rFonts w:ascii="Arial" w:eastAsia="Times New Roman" w:hAnsi="Arial"/>
                <w:color w:val="auto"/>
                <w:sz w:val="18"/>
                <w:lang w:eastAsia="en-GB"/>
              </w:rPr>
              <w:t>TS 23.501 [2]</w:t>
            </w:r>
            <w:r w:rsidRPr="00E46192">
              <w:rPr>
                <w:rFonts w:ascii="Arial" w:eastAsia="Times New Roman" w:hAnsi="Arial"/>
                <w:color w:val="auto"/>
                <w:sz w:val="18"/>
                <w:lang w:eastAsia="zh-CN"/>
              </w:rPr>
              <w:t>.</w:t>
            </w:r>
          </w:p>
        </w:tc>
        <w:tc>
          <w:tcPr>
            <w:tcW w:w="1364" w:type="dxa"/>
          </w:tcPr>
          <w:p w14:paraId="429515E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Conditional </w:t>
            </w:r>
            <w:r w:rsidRPr="00E46192">
              <w:rPr>
                <w:rFonts w:ascii="Arial" w:eastAsia="Times New Roman" w:hAnsi="Arial"/>
                <w:color w:val="auto"/>
                <w:sz w:val="18"/>
                <w:szCs w:val="18"/>
                <w:lang w:eastAsia="zh-CN"/>
              </w:rPr>
              <w:t>(NOTE 13)</w:t>
            </w:r>
          </w:p>
        </w:tc>
        <w:tc>
          <w:tcPr>
            <w:tcW w:w="1748" w:type="dxa"/>
          </w:tcPr>
          <w:p w14:paraId="6C759E3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744CF9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5AF76B63" w14:textId="77777777" w:rsidTr="0081433D">
        <w:trPr>
          <w:cantSplit/>
        </w:trPr>
        <w:tc>
          <w:tcPr>
            <w:tcW w:w="1980" w:type="dxa"/>
          </w:tcPr>
          <w:p w14:paraId="2757EBD0" w14:textId="77777777" w:rsidR="00E46192" w:rsidRPr="00E46192" w:rsidRDefault="00E46192" w:rsidP="00E46192">
            <w:pPr>
              <w:keepLines/>
              <w:spacing w:after="0"/>
              <w:rPr>
                <w:rFonts w:ascii="Arial" w:eastAsia="Times New Roman" w:hAnsi="Arial"/>
                <w:b/>
                <w:color w:val="auto"/>
                <w:sz w:val="18"/>
                <w:lang w:val="fr-FR" w:eastAsia="en-GB"/>
              </w:rPr>
            </w:pPr>
            <w:r w:rsidRPr="00E46192">
              <w:rPr>
                <w:rFonts w:ascii="Arial" w:eastAsia="Times New Roman" w:hAnsi="Arial"/>
                <w:b/>
                <w:color w:val="auto"/>
                <w:sz w:val="18"/>
                <w:lang w:val="fr-FR" w:eastAsia="en-GB"/>
              </w:rPr>
              <w:t>MA PDU Session Control</w:t>
            </w:r>
          </w:p>
          <w:p w14:paraId="72FE5C88" w14:textId="77777777" w:rsidR="00E46192" w:rsidRPr="00E46192" w:rsidRDefault="00E46192" w:rsidP="00E46192">
            <w:pPr>
              <w:keepLines/>
              <w:spacing w:after="0"/>
              <w:rPr>
                <w:rFonts w:ascii="Arial" w:eastAsia="Times New Roman" w:hAnsi="Arial"/>
                <w:b/>
                <w:color w:val="auto"/>
                <w:sz w:val="18"/>
                <w:lang w:val="fr-FR" w:eastAsia="en-GB"/>
              </w:rPr>
            </w:pPr>
            <w:r w:rsidRPr="00E46192">
              <w:rPr>
                <w:rFonts w:ascii="Arial" w:eastAsia="Times New Roman" w:hAnsi="Arial"/>
                <w:b/>
                <w:color w:val="auto"/>
                <w:sz w:val="18"/>
                <w:lang w:val="fr-FR" w:eastAsia="en-GB"/>
              </w:rPr>
              <w:t>(NOTE 20)</w:t>
            </w:r>
          </w:p>
        </w:tc>
        <w:tc>
          <w:tcPr>
            <w:tcW w:w="2912" w:type="dxa"/>
          </w:tcPr>
          <w:p w14:paraId="2330C2AC"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defines information supporting control of MA PDU Sessions</w:t>
            </w:r>
          </w:p>
        </w:tc>
        <w:tc>
          <w:tcPr>
            <w:tcW w:w="1364" w:type="dxa"/>
          </w:tcPr>
          <w:p w14:paraId="20A8FE4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E30A43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B17CBE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7F18AD1A" w14:textId="77777777" w:rsidTr="0081433D">
        <w:trPr>
          <w:cantSplit/>
        </w:trPr>
        <w:tc>
          <w:tcPr>
            <w:tcW w:w="1980" w:type="dxa"/>
          </w:tcPr>
          <w:p w14:paraId="60DF8D9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Application descriptors</w:t>
            </w:r>
          </w:p>
        </w:tc>
        <w:tc>
          <w:tcPr>
            <w:tcW w:w="2912" w:type="dxa"/>
          </w:tcPr>
          <w:p w14:paraId="7B484893"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F15245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27)</w:t>
            </w:r>
          </w:p>
        </w:tc>
        <w:tc>
          <w:tcPr>
            <w:tcW w:w="1748" w:type="dxa"/>
          </w:tcPr>
          <w:p w14:paraId="0920F27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00230D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58C4B0DC" w14:textId="77777777" w:rsidTr="0081433D">
        <w:trPr>
          <w:cantSplit/>
        </w:trPr>
        <w:tc>
          <w:tcPr>
            <w:tcW w:w="1980" w:type="dxa"/>
          </w:tcPr>
          <w:p w14:paraId="70B5A81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Steering Functionality</w:t>
            </w:r>
          </w:p>
        </w:tc>
        <w:tc>
          <w:tcPr>
            <w:tcW w:w="2912" w:type="dxa"/>
          </w:tcPr>
          <w:p w14:paraId="03FE7F0F"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the applicable traffic steering functionality.</w:t>
            </w:r>
          </w:p>
        </w:tc>
        <w:tc>
          <w:tcPr>
            <w:tcW w:w="1364" w:type="dxa"/>
          </w:tcPr>
          <w:p w14:paraId="555D09E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21, NOTE 31)</w:t>
            </w:r>
          </w:p>
        </w:tc>
        <w:tc>
          <w:tcPr>
            <w:tcW w:w="1748" w:type="dxa"/>
          </w:tcPr>
          <w:p w14:paraId="6D530B7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5EB8E7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5EAD2DC8" w14:textId="77777777" w:rsidTr="0081433D">
        <w:trPr>
          <w:cantSplit/>
        </w:trPr>
        <w:tc>
          <w:tcPr>
            <w:tcW w:w="1980" w:type="dxa"/>
          </w:tcPr>
          <w:p w14:paraId="0CC1D50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Steering Mode</w:t>
            </w:r>
          </w:p>
        </w:tc>
        <w:tc>
          <w:tcPr>
            <w:tcW w:w="2912" w:type="dxa"/>
          </w:tcPr>
          <w:p w14:paraId="0315E647"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the rule for distributing traffic between accesses together with associated steering parameters (if any).</w:t>
            </w:r>
          </w:p>
        </w:tc>
        <w:tc>
          <w:tcPr>
            <w:tcW w:w="1364" w:type="dxa"/>
          </w:tcPr>
          <w:p w14:paraId="7A2FF3E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21, NOTE 31)</w:t>
            </w:r>
          </w:p>
        </w:tc>
        <w:tc>
          <w:tcPr>
            <w:tcW w:w="1748" w:type="dxa"/>
          </w:tcPr>
          <w:p w14:paraId="1CABE08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8D140B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46925F77" w14:textId="77777777" w:rsidTr="0081433D">
        <w:trPr>
          <w:cantSplit/>
        </w:trPr>
        <w:tc>
          <w:tcPr>
            <w:tcW w:w="1980" w:type="dxa"/>
          </w:tcPr>
          <w:p w14:paraId="34C2486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Steering Mode Indicator</w:t>
            </w:r>
          </w:p>
        </w:tc>
        <w:tc>
          <w:tcPr>
            <w:tcW w:w="2912" w:type="dxa"/>
          </w:tcPr>
          <w:p w14:paraId="1C6106E4"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either autonomous load-balance operation or UE-assistance operation, if the Steering Mode is set to "Load Balancing", as defined in TS 23.501 [2].</w:t>
            </w:r>
          </w:p>
        </w:tc>
        <w:tc>
          <w:tcPr>
            <w:tcW w:w="1364" w:type="dxa"/>
          </w:tcPr>
          <w:p w14:paraId="5152206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6B13B5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83EA6D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404B3D37" w14:textId="77777777" w:rsidTr="0081433D">
        <w:trPr>
          <w:cantSplit/>
        </w:trPr>
        <w:tc>
          <w:tcPr>
            <w:tcW w:w="1980" w:type="dxa"/>
          </w:tcPr>
          <w:p w14:paraId="7865334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Threshold Values</w:t>
            </w:r>
          </w:p>
          <w:p w14:paraId="5D6CAC2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szCs w:val="18"/>
                <w:lang w:eastAsia="en-GB"/>
              </w:rPr>
              <w:t>(NOTE 30)</w:t>
            </w:r>
          </w:p>
        </w:tc>
        <w:tc>
          <w:tcPr>
            <w:tcW w:w="2912" w:type="dxa"/>
          </w:tcPr>
          <w:p w14:paraId="2D14C569"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A Maximum RTT or a Maximum Packet Loss Rate or both.</w:t>
            </w:r>
          </w:p>
        </w:tc>
        <w:tc>
          <w:tcPr>
            <w:tcW w:w="1364" w:type="dxa"/>
          </w:tcPr>
          <w:p w14:paraId="10E608F1"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3F1B71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B09569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243C10BC" w14:textId="77777777" w:rsidTr="0081433D">
        <w:trPr>
          <w:cantSplit/>
        </w:trPr>
        <w:tc>
          <w:tcPr>
            <w:tcW w:w="1980" w:type="dxa"/>
          </w:tcPr>
          <w:p w14:paraId="21782B7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Transport Mode</w:t>
            </w:r>
          </w:p>
          <w:p w14:paraId="1A284ED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(NOTE 33)</w:t>
            </w:r>
          </w:p>
        </w:tc>
        <w:tc>
          <w:tcPr>
            <w:tcW w:w="2912" w:type="dxa"/>
          </w:tcPr>
          <w:p w14:paraId="176498EC"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the transport mode that should be used for the matching traffic, as defined in TS 23.501 [2].</w:t>
            </w:r>
          </w:p>
        </w:tc>
        <w:tc>
          <w:tcPr>
            <w:tcW w:w="1364" w:type="dxa"/>
          </w:tcPr>
          <w:p w14:paraId="094B45E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7C5F3F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02DB31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783F47B6" w14:textId="77777777" w:rsidTr="0081433D">
        <w:trPr>
          <w:cantSplit/>
        </w:trPr>
        <w:tc>
          <w:tcPr>
            <w:tcW w:w="1980" w:type="dxa"/>
          </w:tcPr>
          <w:p w14:paraId="2F5AC98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Charging key for </w:t>
            </w:r>
            <w:proofErr w:type="gramStart"/>
            <w:r w:rsidRPr="00E46192">
              <w:rPr>
                <w:rFonts w:ascii="Arial" w:eastAsia="Times New Roman" w:hAnsi="Arial"/>
                <w:color w:val="auto"/>
                <w:sz w:val="18"/>
                <w:lang w:eastAsia="en-GB"/>
              </w:rPr>
              <w:t>Non-3GPP</w:t>
            </w:r>
            <w:proofErr w:type="gramEnd"/>
            <w:r w:rsidRPr="00E46192">
              <w:rPr>
                <w:rFonts w:ascii="Arial" w:eastAsia="Times New Roman" w:hAnsi="Arial"/>
                <w:color w:val="auto"/>
                <w:sz w:val="18"/>
                <w:lang w:eastAsia="en-GB"/>
              </w:rPr>
              <w:t xml:space="preserve"> access</w:t>
            </w:r>
          </w:p>
          <w:p w14:paraId="48F2E41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(NOTE 22)</w:t>
            </w:r>
          </w:p>
        </w:tc>
        <w:tc>
          <w:tcPr>
            <w:tcW w:w="2912" w:type="dxa"/>
          </w:tcPr>
          <w:p w14:paraId="292607B9"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 xml:space="preserve">Indicates the Charging key used for charging packets carried via </w:t>
            </w:r>
            <w:proofErr w:type="gramStart"/>
            <w:r w:rsidRPr="00E46192">
              <w:rPr>
                <w:rFonts w:ascii="Arial" w:eastAsia="Times New Roman" w:hAnsi="Arial"/>
                <w:color w:val="auto"/>
                <w:sz w:val="18"/>
              </w:rPr>
              <w:t>Non-3GPP</w:t>
            </w:r>
            <w:proofErr w:type="gramEnd"/>
            <w:r w:rsidRPr="00E46192">
              <w:rPr>
                <w:rFonts w:ascii="Arial" w:eastAsia="Times New Roman" w:hAnsi="Arial"/>
                <w:color w:val="auto"/>
                <w:sz w:val="18"/>
              </w:rPr>
              <w:t xml:space="preserve"> access for a MA PDU Session.</w:t>
            </w:r>
          </w:p>
        </w:tc>
        <w:tc>
          <w:tcPr>
            <w:tcW w:w="1364" w:type="dxa"/>
          </w:tcPr>
          <w:p w14:paraId="3303203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9F7E04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563FF2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1A6116F0" w14:textId="77777777" w:rsidTr="0081433D">
        <w:trPr>
          <w:cantSplit/>
        </w:trPr>
        <w:tc>
          <w:tcPr>
            <w:tcW w:w="1980" w:type="dxa"/>
          </w:tcPr>
          <w:p w14:paraId="2EAF103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Monitoring key for </w:t>
            </w:r>
            <w:proofErr w:type="gramStart"/>
            <w:r w:rsidRPr="00E46192">
              <w:rPr>
                <w:rFonts w:ascii="Arial" w:eastAsia="Times New Roman" w:hAnsi="Arial"/>
                <w:color w:val="auto"/>
                <w:sz w:val="18"/>
                <w:lang w:eastAsia="en-GB"/>
              </w:rPr>
              <w:t>Non-3GPP</w:t>
            </w:r>
            <w:proofErr w:type="gramEnd"/>
            <w:r w:rsidRPr="00E46192">
              <w:rPr>
                <w:rFonts w:ascii="Arial" w:eastAsia="Times New Roman" w:hAnsi="Arial"/>
                <w:color w:val="auto"/>
                <w:sz w:val="18"/>
                <w:lang w:eastAsia="en-GB"/>
              </w:rPr>
              <w:t xml:space="preserve"> access</w:t>
            </w:r>
          </w:p>
          <w:p w14:paraId="0D0D2A6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(NOTE 23)</w:t>
            </w:r>
          </w:p>
        </w:tc>
        <w:tc>
          <w:tcPr>
            <w:tcW w:w="2912" w:type="dxa"/>
          </w:tcPr>
          <w:p w14:paraId="4D207BE5"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 xml:space="preserve">Indicates the Monitoring key used to monitor usage of the packets carried via </w:t>
            </w:r>
            <w:proofErr w:type="gramStart"/>
            <w:r w:rsidRPr="00E46192">
              <w:rPr>
                <w:rFonts w:ascii="Arial" w:eastAsia="Times New Roman" w:hAnsi="Arial"/>
                <w:color w:val="auto"/>
                <w:sz w:val="18"/>
              </w:rPr>
              <w:t>Non-3GPP</w:t>
            </w:r>
            <w:proofErr w:type="gramEnd"/>
            <w:r w:rsidRPr="00E46192">
              <w:rPr>
                <w:rFonts w:ascii="Arial" w:eastAsia="Times New Roman" w:hAnsi="Arial"/>
                <w:color w:val="auto"/>
                <w:sz w:val="18"/>
              </w:rPr>
              <w:t xml:space="preserve"> access for a MA PDU Session.</w:t>
            </w:r>
          </w:p>
        </w:tc>
        <w:tc>
          <w:tcPr>
            <w:tcW w:w="1364" w:type="dxa"/>
          </w:tcPr>
          <w:p w14:paraId="723DEF2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D0CD21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FE54A5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6D0A4E75" w14:textId="77777777" w:rsidTr="0081433D">
        <w:trPr>
          <w:cantSplit/>
        </w:trPr>
        <w:tc>
          <w:tcPr>
            <w:tcW w:w="1980" w:type="dxa"/>
          </w:tcPr>
          <w:p w14:paraId="19B9C570"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QoS Monitoring</w:t>
            </w:r>
          </w:p>
        </w:tc>
        <w:tc>
          <w:tcPr>
            <w:tcW w:w="2912" w:type="dxa"/>
          </w:tcPr>
          <w:p w14:paraId="06D821C6"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PCC rule information related with QoS Monitoring.</w:t>
            </w:r>
          </w:p>
        </w:tc>
        <w:tc>
          <w:tcPr>
            <w:tcW w:w="1364" w:type="dxa"/>
          </w:tcPr>
          <w:p w14:paraId="2C94525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128A4C8"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1F46752F"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3979031F" w14:textId="77777777" w:rsidTr="0081433D">
        <w:trPr>
          <w:cantSplit/>
        </w:trPr>
        <w:tc>
          <w:tcPr>
            <w:tcW w:w="1980" w:type="dxa"/>
          </w:tcPr>
          <w:p w14:paraId="3F70DC2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QoS Monitoring parameter(s)</w:t>
            </w:r>
          </w:p>
        </w:tc>
        <w:tc>
          <w:tcPr>
            <w:tcW w:w="2912" w:type="dxa"/>
          </w:tcPr>
          <w:p w14:paraId="67BADBE5"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the QoS Monitoring parameter(s) for which QoS Monitoring can be enabled as defined in clause 5.45 of TS 23.501 [2].</w:t>
            </w:r>
          </w:p>
        </w:tc>
        <w:tc>
          <w:tcPr>
            <w:tcW w:w="1364" w:type="dxa"/>
          </w:tcPr>
          <w:p w14:paraId="0692D99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AB1C02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024A92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A593EAC" w14:textId="77777777" w:rsidTr="0081433D">
        <w:trPr>
          <w:cantSplit/>
        </w:trPr>
        <w:tc>
          <w:tcPr>
            <w:tcW w:w="1980" w:type="dxa"/>
          </w:tcPr>
          <w:p w14:paraId="7279959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Reporting frequency</w:t>
            </w:r>
          </w:p>
        </w:tc>
        <w:tc>
          <w:tcPr>
            <w:tcW w:w="2912" w:type="dxa"/>
          </w:tcPr>
          <w:p w14:paraId="3D6C1606"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Defines the frequency for the reporting, such as event triggered, periodic.</w:t>
            </w:r>
          </w:p>
        </w:tc>
        <w:tc>
          <w:tcPr>
            <w:tcW w:w="1364" w:type="dxa"/>
          </w:tcPr>
          <w:p w14:paraId="7695B42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82C288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11CD66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7F0B7AA" w14:textId="77777777" w:rsidTr="0081433D">
        <w:trPr>
          <w:cantSplit/>
        </w:trPr>
        <w:tc>
          <w:tcPr>
            <w:tcW w:w="1980" w:type="dxa"/>
          </w:tcPr>
          <w:p w14:paraId="5CC63AD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Target of reporting</w:t>
            </w:r>
          </w:p>
        </w:tc>
        <w:tc>
          <w:tcPr>
            <w:tcW w:w="2912" w:type="dxa"/>
          </w:tcPr>
          <w:p w14:paraId="3BCCB7DA"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Defines the target of the QoS Monitoring reports, it can be the NEF, the AF or the Local NEF.</w:t>
            </w:r>
          </w:p>
        </w:tc>
        <w:tc>
          <w:tcPr>
            <w:tcW w:w="1364" w:type="dxa"/>
          </w:tcPr>
          <w:p w14:paraId="37B60D4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E28F40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4276F9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1A9E527" w14:textId="77777777" w:rsidTr="0081433D">
        <w:trPr>
          <w:cantSplit/>
        </w:trPr>
        <w:tc>
          <w:tcPr>
            <w:tcW w:w="1980" w:type="dxa"/>
          </w:tcPr>
          <w:p w14:paraId="48C2DD5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Indication of direct event notification</w:t>
            </w:r>
          </w:p>
        </w:tc>
        <w:tc>
          <w:tcPr>
            <w:tcW w:w="2912" w:type="dxa"/>
          </w:tcPr>
          <w:p w14:paraId="76B2DBC6"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that the QoS Monitoring event shall be reported by the UPF directly to the NF indicated by the Target of reporting.</w:t>
            </w:r>
          </w:p>
        </w:tc>
        <w:tc>
          <w:tcPr>
            <w:tcW w:w="1364" w:type="dxa"/>
          </w:tcPr>
          <w:p w14:paraId="46A63477"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13784A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9EA040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E3ADCC7" w14:textId="77777777" w:rsidTr="0081433D">
        <w:trPr>
          <w:cantSplit/>
        </w:trPr>
        <w:tc>
          <w:tcPr>
            <w:tcW w:w="1980" w:type="dxa"/>
          </w:tcPr>
          <w:p w14:paraId="0DC8C3D7" w14:textId="77777777" w:rsidR="00E46192" w:rsidRPr="00E46192" w:rsidRDefault="00E46192" w:rsidP="00E46192">
            <w:pPr>
              <w:keepLines/>
              <w:spacing w:after="0"/>
              <w:rPr>
                <w:rFonts w:ascii="Arial" w:eastAsia="Times New Roman" w:hAnsi="Arial"/>
                <w:b/>
                <w:color w:val="auto"/>
                <w:sz w:val="18"/>
                <w:lang w:eastAsia="en-GB"/>
              </w:rPr>
            </w:pPr>
            <w:proofErr w:type="spellStart"/>
            <w:r w:rsidRPr="00E46192">
              <w:rPr>
                <w:rFonts w:ascii="Arial" w:eastAsia="Times New Roman" w:hAnsi="Arial"/>
                <w:b/>
                <w:color w:val="auto"/>
                <w:sz w:val="18"/>
                <w:lang w:eastAsia="en-GB"/>
              </w:rPr>
              <w:t>DataCollection_ApplicationIdentifier</w:t>
            </w:r>
            <w:proofErr w:type="spellEnd"/>
          </w:p>
        </w:tc>
        <w:tc>
          <w:tcPr>
            <w:tcW w:w="2912" w:type="dxa"/>
          </w:tcPr>
          <w:p w14:paraId="6A0DCB3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Identifier used in SMF to decide whether this PCC Rule corresponds to an event exposure subscription (see clause 4.15.4.5.1 of TS 23.502 [3]).</w:t>
            </w:r>
          </w:p>
        </w:tc>
        <w:tc>
          <w:tcPr>
            <w:tcW w:w="1364" w:type="dxa"/>
          </w:tcPr>
          <w:p w14:paraId="2E3930E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316E64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008D77D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08F68E7" w14:textId="77777777" w:rsidTr="0081433D">
        <w:trPr>
          <w:cantSplit/>
        </w:trPr>
        <w:tc>
          <w:tcPr>
            <w:tcW w:w="1980" w:type="dxa"/>
          </w:tcPr>
          <w:p w14:paraId="43349330"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Alternative QoS Parameter Sets</w:t>
            </w:r>
          </w:p>
          <w:p w14:paraId="52FF7606"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(NOTE 24)</w:t>
            </w:r>
          </w:p>
          <w:p w14:paraId="2D5F9900"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(NOTE 26)</w:t>
            </w:r>
          </w:p>
        </w:tc>
        <w:tc>
          <w:tcPr>
            <w:tcW w:w="2912" w:type="dxa"/>
          </w:tcPr>
          <w:p w14:paraId="477D6027"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defines Alternative QoS Parameter Sets for the service data flow.</w:t>
            </w:r>
          </w:p>
        </w:tc>
        <w:tc>
          <w:tcPr>
            <w:tcW w:w="1364" w:type="dxa"/>
          </w:tcPr>
          <w:p w14:paraId="2FDE992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9A53C1E"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22FFF60F"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3CA3B0D1" w14:textId="77777777" w:rsidTr="0081433D">
        <w:trPr>
          <w:cantSplit/>
        </w:trPr>
        <w:tc>
          <w:tcPr>
            <w:tcW w:w="1980" w:type="dxa"/>
          </w:tcPr>
          <w:p w14:paraId="28B83C6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Packet Delay Budget</w:t>
            </w:r>
          </w:p>
        </w:tc>
        <w:tc>
          <w:tcPr>
            <w:tcW w:w="2912" w:type="dxa"/>
          </w:tcPr>
          <w:p w14:paraId="3EF16CF8"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Packet Delay Budget in this Alternative QoS Parameter Set.</w:t>
            </w:r>
          </w:p>
        </w:tc>
        <w:tc>
          <w:tcPr>
            <w:tcW w:w="1364" w:type="dxa"/>
          </w:tcPr>
          <w:p w14:paraId="4EEE391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411F14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F618E7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C191550" w14:textId="77777777" w:rsidTr="0081433D">
        <w:trPr>
          <w:cantSplit/>
        </w:trPr>
        <w:tc>
          <w:tcPr>
            <w:tcW w:w="1980" w:type="dxa"/>
          </w:tcPr>
          <w:p w14:paraId="6EC31B3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Packet Error Rate</w:t>
            </w:r>
          </w:p>
        </w:tc>
        <w:tc>
          <w:tcPr>
            <w:tcW w:w="2912" w:type="dxa"/>
          </w:tcPr>
          <w:p w14:paraId="4DF8E0C8"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Packet Error Rate in this Alternative QoS Parameter Set.</w:t>
            </w:r>
          </w:p>
        </w:tc>
        <w:tc>
          <w:tcPr>
            <w:tcW w:w="1364" w:type="dxa"/>
          </w:tcPr>
          <w:p w14:paraId="5FD4289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92694E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82A5C0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B15F5EF" w14:textId="77777777" w:rsidTr="0081433D">
        <w:trPr>
          <w:cantSplit/>
        </w:trPr>
        <w:tc>
          <w:tcPr>
            <w:tcW w:w="1980" w:type="dxa"/>
          </w:tcPr>
          <w:p w14:paraId="495394A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UL-guaranteed bitrate</w:t>
            </w:r>
          </w:p>
        </w:tc>
        <w:tc>
          <w:tcPr>
            <w:tcW w:w="2912" w:type="dxa"/>
          </w:tcPr>
          <w:p w14:paraId="267B78EE"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uplink guaranteed bitrate in this Alternative QoS Parameter Set.</w:t>
            </w:r>
          </w:p>
        </w:tc>
        <w:tc>
          <w:tcPr>
            <w:tcW w:w="1364" w:type="dxa"/>
          </w:tcPr>
          <w:p w14:paraId="69DB124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45858F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C5A30F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7EAD691" w14:textId="77777777" w:rsidTr="0081433D">
        <w:trPr>
          <w:cantSplit/>
        </w:trPr>
        <w:tc>
          <w:tcPr>
            <w:tcW w:w="1980" w:type="dxa"/>
          </w:tcPr>
          <w:p w14:paraId="2488A91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DL-guaranteed bitrate</w:t>
            </w:r>
          </w:p>
        </w:tc>
        <w:tc>
          <w:tcPr>
            <w:tcW w:w="2912" w:type="dxa"/>
          </w:tcPr>
          <w:p w14:paraId="29CCAED4"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downlink guaranteed bitrate in this Alternative QoS Parameter Set.</w:t>
            </w:r>
          </w:p>
        </w:tc>
        <w:tc>
          <w:tcPr>
            <w:tcW w:w="1364" w:type="dxa"/>
          </w:tcPr>
          <w:p w14:paraId="2C5BC71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7F0BF0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9DD3FF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4055423" w14:textId="77777777" w:rsidTr="0081433D">
        <w:trPr>
          <w:cantSplit/>
        </w:trPr>
        <w:tc>
          <w:tcPr>
            <w:tcW w:w="1980" w:type="dxa"/>
          </w:tcPr>
          <w:p w14:paraId="1736669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Maximum Data Burst Volume (MDBV)</w:t>
            </w:r>
          </w:p>
        </w:tc>
        <w:tc>
          <w:tcPr>
            <w:tcW w:w="2912" w:type="dxa"/>
          </w:tcPr>
          <w:p w14:paraId="1D0AC0F8"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Maximum Data Burst Volume (MDBV) in this Alternative QoS Parameter Set.</w:t>
            </w:r>
          </w:p>
        </w:tc>
        <w:tc>
          <w:tcPr>
            <w:tcW w:w="1364" w:type="dxa"/>
          </w:tcPr>
          <w:p w14:paraId="4099A536"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163EE8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1C23F5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1B4ED75A" w14:textId="77777777" w:rsidTr="0081433D">
        <w:trPr>
          <w:cantSplit/>
        </w:trPr>
        <w:tc>
          <w:tcPr>
            <w:tcW w:w="1980" w:type="dxa"/>
          </w:tcPr>
          <w:p w14:paraId="7B798087"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TSC Assistance Container</w:t>
            </w:r>
          </w:p>
        </w:tc>
        <w:tc>
          <w:tcPr>
            <w:tcW w:w="2912" w:type="dxa"/>
          </w:tcPr>
          <w:p w14:paraId="7F44B59F"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defines parameters provided by TSN AF or TSCTSF. The parameters are defined in clause 5.27.2 of TS 23.501 [2].</w:t>
            </w:r>
          </w:p>
        </w:tc>
        <w:tc>
          <w:tcPr>
            <w:tcW w:w="1364" w:type="dxa"/>
          </w:tcPr>
          <w:p w14:paraId="09F89B43"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1690E9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56627C7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04ACE02" w14:textId="77777777" w:rsidTr="0081433D">
        <w:trPr>
          <w:cantSplit/>
        </w:trPr>
        <w:tc>
          <w:tcPr>
            <w:tcW w:w="1980" w:type="dxa"/>
          </w:tcPr>
          <w:p w14:paraId="3AA8488D"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Traffic Parameter Information</w:t>
            </w:r>
          </w:p>
        </w:tc>
        <w:tc>
          <w:tcPr>
            <w:tcW w:w="2912" w:type="dxa"/>
          </w:tcPr>
          <w:p w14:paraId="64F40D2E"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PCC rule information related with Traffic Parameter Information</w:t>
            </w:r>
            <w:r w:rsidRPr="00E46192">
              <w:rPr>
                <w:rFonts w:ascii="Arial" w:eastAsia="Times New Roman" w:hAnsi="Arial"/>
                <w:color w:val="auto"/>
                <w:sz w:val="18"/>
                <w:lang w:eastAsia="en-GB"/>
              </w:rPr>
              <w:t xml:space="preserve"> </w:t>
            </w:r>
            <w:r w:rsidRPr="00E46192">
              <w:rPr>
                <w:rFonts w:ascii="Arial" w:eastAsia="Times New Roman" w:hAnsi="Arial"/>
                <w:i/>
                <w:color w:val="auto"/>
                <w:sz w:val="18"/>
              </w:rPr>
              <w:t>for power saving as specified in clause 5.37.8 of TS 23.501 [2].</w:t>
            </w:r>
          </w:p>
        </w:tc>
        <w:tc>
          <w:tcPr>
            <w:tcW w:w="1364" w:type="dxa"/>
          </w:tcPr>
          <w:p w14:paraId="01AA944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8061C5E"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6D7AEFB4"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73BAFB21" w14:textId="77777777" w:rsidTr="0081433D">
        <w:trPr>
          <w:cantSplit/>
        </w:trPr>
        <w:tc>
          <w:tcPr>
            <w:tcW w:w="1980" w:type="dxa"/>
          </w:tcPr>
          <w:p w14:paraId="70CDF69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Periodicity</w:t>
            </w:r>
          </w:p>
        </w:tc>
        <w:tc>
          <w:tcPr>
            <w:tcW w:w="2912" w:type="dxa"/>
          </w:tcPr>
          <w:p w14:paraId="287922B2"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 xml:space="preserve">Indicates the </w:t>
            </w:r>
            <w:proofErr w:type="gramStart"/>
            <w:r w:rsidRPr="00E46192">
              <w:rPr>
                <w:rFonts w:ascii="Arial" w:eastAsia="Times New Roman" w:hAnsi="Arial"/>
                <w:color w:val="auto"/>
                <w:sz w:val="18"/>
              </w:rPr>
              <w:t>time period</w:t>
            </w:r>
            <w:proofErr w:type="gramEnd"/>
            <w:r w:rsidRPr="00E46192">
              <w:rPr>
                <w:rFonts w:ascii="Arial" w:eastAsia="Times New Roman" w:hAnsi="Arial"/>
                <w:color w:val="auto"/>
                <w:sz w:val="18"/>
              </w:rPr>
              <w:t xml:space="preserve"> between start of two data bursts in UL and/or DL direction.</w:t>
            </w:r>
          </w:p>
        </w:tc>
        <w:tc>
          <w:tcPr>
            <w:tcW w:w="1364" w:type="dxa"/>
          </w:tcPr>
          <w:p w14:paraId="4A34D09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73421F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6075E5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3230E3F" w14:textId="77777777" w:rsidTr="0081433D">
        <w:trPr>
          <w:cantSplit/>
        </w:trPr>
        <w:tc>
          <w:tcPr>
            <w:tcW w:w="1980" w:type="dxa"/>
          </w:tcPr>
          <w:p w14:paraId="674124C9"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Traffic Parameter Measurement</w:t>
            </w:r>
          </w:p>
        </w:tc>
        <w:tc>
          <w:tcPr>
            <w:tcW w:w="2912" w:type="dxa"/>
          </w:tcPr>
          <w:p w14:paraId="492D2057"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PCC rule information related with Traffic Parameter Measurement for power saving as specified in clause 5.37.8 of TS 23.501 [2].</w:t>
            </w:r>
          </w:p>
        </w:tc>
        <w:tc>
          <w:tcPr>
            <w:tcW w:w="1364" w:type="dxa"/>
          </w:tcPr>
          <w:p w14:paraId="633E83F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0599D2E"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38EFD09E"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5A18CAAB" w14:textId="77777777" w:rsidTr="0081433D">
        <w:trPr>
          <w:cantSplit/>
        </w:trPr>
        <w:tc>
          <w:tcPr>
            <w:tcW w:w="1980" w:type="dxa"/>
          </w:tcPr>
          <w:p w14:paraId="52E6605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Traffic Parameter to be measured</w:t>
            </w:r>
          </w:p>
        </w:tc>
        <w:tc>
          <w:tcPr>
            <w:tcW w:w="2912" w:type="dxa"/>
          </w:tcPr>
          <w:p w14:paraId="6B0B31E3"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to measure the N6 jitter range associated with DL Periodicity and optionally, the UL/DL periodicity.</w:t>
            </w:r>
          </w:p>
        </w:tc>
        <w:tc>
          <w:tcPr>
            <w:tcW w:w="1364" w:type="dxa"/>
          </w:tcPr>
          <w:p w14:paraId="2785BF76"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10EDE3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26FE7B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1775F96E" w14:textId="77777777" w:rsidTr="0081433D">
        <w:trPr>
          <w:cantSplit/>
        </w:trPr>
        <w:tc>
          <w:tcPr>
            <w:tcW w:w="1980" w:type="dxa"/>
          </w:tcPr>
          <w:p w14:paraId="0423D9A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Reporting condition</w:t>
            </w:r>
          </w:p>
        </w:tc>
        <w:tc>
          <w:tcPr>
            <w:tcW w:w="2912" w:type="dxa"/>
          </w:tcPr>
          <w:p w14:paraId="6E61220C"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Defines the condition for the reporting, such as event triggered or periodic, frequency.</w:t>
            </w:r>
          </w:p>
        </w:tc>
        <w:tc>
          <w:tcPr>
            <w:tcW w:w="1364" w:type="dxa"/>
          </w:tcPr>
          <w:p w14:paraId="1F640C6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C3D014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B6687D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B2EB2AA" w14:textId="77777777" w:rsidTr="0081433D">
        <w:trPr>
          <w:cantSplit/>
        </w:trPr>
        <w:tc>
          <w:tcPr>
            <w:tcW w:w="1980" w:type="dxa"/>
          </w:tcPr>
          <w:p w14:paraId="23EEBEE3"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Downlink Data Notification Control</w:t>
            </w:r>
          </w:p>
        </w:tc>
        <w:tc>
          <w:tcPr>
            <w:tcW w:w="2912" w:type="dxa"/>
          </w:tcPr>
          <w:p w14:paraId="191DE0B6"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information required for controlling the sending of Downlink data delivery status event and DDN Failure event notifications as specified in clause 4.15.3 of TS 23.502 [3].</w:t>
            </w:r>
          </w:p>
        </w:tc>
        <w:tc>
          <w:tcPr>
            <w:tcW w:w="1364" w:type="dxa"/>
          </w:tcPr>
          <w:p w14:paraId="2A425C3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ED8895D"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641A9764"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10D9477A" w14:textId="77777777" w:rsidTr="0081433D">
        <w:trPr>
          <w:cantSplit/>
        </w:trPr>
        <w:tc>
          <w:tcPr>
            <w:tcW w:w="1980" w:type="dxa"/>
          </w:tcPr>
          <w:p w14:paraId="79890DB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Notification control for DDD status</w:t>
            </w:r>
          </w:p>
        </w:tc>
        <w:tc>
          <w:tcPr>
            <w:tcW w:w="2912" w:type="dxa"/>
          </w:tcPr>
          <w:p w14:paraId="19DFAC9A"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that notifications of downlink data delivery status are required and the requested type of such notifications.</w:t>
            </w:r>
          </w:p>
        </w:tc>
        <w:tc>
          <w:tcPr>
            <w:tcW w:w="1364" w:type="dxa"/>
          </w:tcPr>
          <w:p w14:paraId="34ED4D5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EBBC6D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4C7D23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C926F91" w14:textId="77777777" w:rsidTr="0081433D">
        <w:trPr>
          <w:cantSplit/>
        </w:trPr>
        <w:tc>
          <w:tcPr>
            <w:tcW w:w="1980" w:type="dxa"/>
          </w:tcPr>
          <w:p w14:paraId="7A97DA9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Notification Control for DDN Failure</w:t>
            </w:r>
          </w:p>
        </w:tc>
        <w:tc>
          <w:tcPr>
            <w:tcW w:w="2912" w:type="dxa"/>
          </w:tcPr>
          <w:p w14:paraId="2EA92FA4"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that notifications of DDN Failure are required.</w:t>
            </w:r>
          </w:p>
        </w:tc>
        <w:tc>
          <w:tcPr>
            <w:tcW w:w="1364" w:type="dxa"/>
          </w:tcPr>
          <w:p w14:paraId="2B957255"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F4FF2D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9249C7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13701ECA" w14:textId="77777777" w:rsidTr="0081433D">
        <w:trPr>
          <w:cantSplit/>
        </w:trPr>
        <w:tc>
          <w:tcPr>
            <w:tcW w:w="1980" w:type="dxa"/>
          </w:tcPr>
          <w:p w14:paraId="48CF09AF" w14:textId="77777777" w:rsidR="00E46192" w:rsidRPr="00E46192" w:rsidRDefault="00E46192" w:rsidP="00E46192">
            <w:pPr>
              <w:keepNext/>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PDU Set Control Information</w:t>
            </w:r>
          </w:p>
        </w:tc>
        <w:tc>
          <w:tcPr>
            <w:tcW w:w="2912" w:type="dxa"/>
          </w:tcPr>
          <w:p w14:paraId="49B349BA"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Information needed to support the delivery of PDU Sets of a service data flow.</w:t>
            </w:r>
          </w:p>
        </w:tc>
        <w:tc>
          <w:tcPr>
            <w:tcW w:w="1364" w:type="dxa"/>
          </w:tcPr>
          <w:p w14:paraId="7E204586" w14:textId="77777777" w:rsidR="00E46192" w:rsidRPr="00E46192" w:rsidRDefault="00E46192" w:rsidP="00E46192">
            <w:pPr>
              <w:keepNext/>
              <w:keepLines/>
              <w:spacing w:after="0"/>
              <w:rPr>
                <w:rFonts w:ascii="Arial" w:eastAsia="Times New Roman" w:hAnsi="Arial"/>
                <w:color w:val="auto"/>
                <w:sz w:val="18"/>
                <w:szCs w:val="18"/>
                <w:lang w:eastAsia="en-GB"/>
              </w:rPr>
            </w:pPr>
          </w:p>
        </w:tc>
        <w:tc>
          <w:tcPr>
            <w:tcW w:w="1748" w:type="dxa"/>
          </w:tcPr>
          <w:p w14:paraId="37182788" w14:textId="77777777" w:rsidR="00E46192" w:rsidRPr="00E46192" w:rsidRDefault="00E46192" w:rsidP="00E46192">
            <w:pPr>
              <w:keepNext/>
              <w:keepLines/>
              <w:spacing w:after="0"/>
              <w:rPr>
                <w:rFonts w:ascii="Arial" w:eastAsia="Times New Roman" w:hAnsi="Arial"/>
                <w:color w:val="auto"/>
                <w:sz w:val="18"/>
                <w:lang w:eastAsia="en-GB"/>
              </w:rPr>
            </w:pPr>
          </w:p>
        </w:tc>
        <w:tc>
          <w:tcPr>
            <w:tcW w:w="1627" w:type="dxa"/>
          </w:tcPr>
          <w:p w14:paraId="34B15E01" w14:textId="77777777" w:rsidR="00E46192" w:rsidRPr="00E46192" w:rsidRDefault="00E46192" w:rsidP="00E46192">
            <w:pPr>
              <w:keepNext/>
              <w:keepLines/>
              <w:spacing w:after="0"/>
              <w:rPr>
                <w:rFonts w:ascii="Arial" w:eastAsia="Times New Roman" w:hAnsi="Arial"/>
                <w:color w:val="auto"/>
                <w:sz w:val="18"/>
                <w:lang w:eastAsia="en-GB"/>
              </w:rPr>
            </w:pPr>
          </w:p>
        </w:tc>
      </w:tr>
      <w:tr w:rsidR="00E46192" w:rsidRPr="00E46192" w14:paraId="60CEB408" w14:textId="77777777" w:rsidTr="0081433D">
        <w:trPr>
          <w:cantSplit/>
        </w:trPr>
        <w:tc>
          <w:tcPr>
            <w:tcW w:w="1980" w:type="dxa"/>
          </w:tcPr>
          <w:p w14:paraId="4F59D75D"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PDU Set QoS Parameters (UL/DL)</w:t>
            </w:r>
          </w:p>
        </w:tc>
        <w:tc>
          <w:tcPr>
            <w:tcW w:w="2912" w:type="dxa"/>
          </w:tcPr>
          <w:p w14:paraId="44A7FC87" w14:textId="77777777" w:rsidR="00E46192" w:rsidRPr="00E46192" w:rsidRDefault="00E46192" w:rsidP="00E46192">
            <w:pPr>
              <w:keepNext/>
              <w:keepLines/>
              <w:spacing w:after="0"/>
              <w:rPr>
                <w:rFonts w:ascii="Arial" w:eastAsia="Times New Roman" w:hAnsi="Arial"/>
                <w:color w:val="auto"/>
                <w:sz w:val="18"/>
              </w:rPr>
            </w:pPr>
            <w:r w:rsidRPr="00E46192">
              <w:rPr>
                <w:rFonts w:ascii="Arial" w:eastAsia="Times New Roman" w:hAnsi="Arial"/>
                <w:color w:val="auto"/>
                <w:sz w:val="18"/>
              </w:rPr>
              <w:t>See clause 5.7.7 of TS 23.501 [2].</w:t>
            </w:r>
          </w:p>
        </w:tc>
        <w:tc>
          <w:tcPr>
            <w:tcW w:w="1364" w:type="dxa"/>
          </w:tcPr>
          <w:p w14:paraId="7B8F968A" w14:textId="77777777" w:rsidR="00E46192" w:rsidRPr="00E46192" w:rsidRDefault="00E46192" w:rsidP="00E46192">
            <w:pPr>
              <w:keepNext/>
              <w:keepLines/>
              <w:spacing w:after="0"/>
              <w:rPr>
                <w:rFonts w:ascii="Arial" w:eastAsia="Times New Roman" w:hAnsi="Arial"/>
                <w:color w:val="auto"/>
                <w:sz w:val="18"/>
                <w:szCs w:val="18"/>
                <w:lang w:eastAsia="en-GB"/>
              </w:rPr>
            </w:pPr>
          </w:p>
        </w:tc>
        <w:tc>
          <w:tcPr>
            <w:tcW w:w="1748" w:type="dxa"/>
          </w:tcPr>
          <w:p w14:paraId="4E8F219F"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409A368"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9C64376" w14:textId="77777777" w:rsidTr="0081433D">
        <w:trPr>
          <w:cantSplit/>
        </w:trPr>
        <w:tc>
          <w:tcPr>
            <w:tcW w:w="1980" w:type="dxa"/>
          </w:tcPr>
          <w:p w14:paraId="74DD7C48"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Data Burst Handling Information</w:t>
            </w:r>
          </w:p>
        </w:tc>
        <w:tc>
          <w:tcPr>
            <w:tcW w:w="2912" w:type="dxa"/>
          </w:tcPr>
          <w:p w14:paraId="6FF5CD24"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Data Burst Handling Information</w:t>
            </w:r>
          </w:p>
        </w:tc>
        <w:tc>
          <w:tcPr>
            <w:tcW w:w="1364" w:type="dxa"/>
          </w:tcPr>
          <w:p w14:paraId="43CBC90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BEAE6A1"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7D9EA253"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2ED26FD4" w14:textId="77777777" w:rsidTr="0081433D">
        <w:trPr>
          <w:cantSplit/>
        </w:trPr>
        <w:tc>
          <w:tcPr>
            <w:tcW w:w="1980" w:type="dxa"/>
          </w:tcPr>
          <w:p w14:paraId="5616E2B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End of Data Burst Marking Indication</w:t>
            </w:r>
          </w:p>
        </w:tc>
        <w:tc>
          <w:tcPr>
            <w:tcW w:w="2912" w:type="dxa"/>
          </w:tcPr>
          <w:p w14:paraId="4703EF41"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to detect last PDU of the data burst and to mark End of Data Burst Indication (See clause 5.37.8 of TS 23.501 [2]) on the last PDU.</w:t>
            </w:r>
          </w:p>
        </w:tc>
        <w:tc>
          <w:tcPr>
            <w:tcW w:w="1364" w:type="dxa"/>
          </w:tcPr>
          <w:p w14:paraId="7CFE5E9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5808A3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F446B3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72AD8203" w14:textId="77777777" w:rsidTr="0081433D">
        <w:trPr>
          <w:cantSplit/>
        </w:trPr>
        <w:tc>
          <w:tcPr>
            <w:tcW w:w="1980" w:type="dxa"/>
          </w:tcPr>
          <w:p w14:paraId="5A18F740"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Protocol Description Information</w:t>
            </w:r>
          </w:p>
        </w:tc>
        <w:tc>
          <w:tcPr>
            <w:tcW w:w="2912" w:type="dxa"/>
          </w:tcPr>
          <w:p w14:paraId="0AD226E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Information needed to support identifying PDU Set Information for packets and/or last packet of a Data Burst.</w:t>
            </w:r>
          </w:p>
        </w:tc>
        <w:tc>
          <w:tcPr>
            <w:tcW w:w="1364" w:type="dxa"/>
          </w:tcPr>
          <w:p w14:paraId="3B2BE8F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E949B7B"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461D720F"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190B8FB1" w14:textId="77777777" w:rsidTr="0081433D">
        <w:trPr>
          <w:cantSplit/>
        </w:trPr>
        <w:tc>
          <w:tcPr>
            <w:tcW w:w="1980" w:type="dxa"/>
          </w:tcPr>
          <w:p w14:paraId="0561A1C2"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Protocol Description (UL/DL)</w:t>
            </w:r>
          </w:p>
        </w:tc>
        <w:tc>
          <w:tcPr>
            <w:tcW w:w="2912" w:type="dxa"/>
          </w:tcPr>
          <w:p w14:paraId="0D873BEA" w14:textId="77777777" w:rsidR="00E46192" w:rsidRPr="00E46192" w:rsidRDefault="00E46192" w:rsidP="00E46192">
            <w:pPr>
              <w:keepNext/>
              <w:keepLines/>
              <w:spacing w:after="0"/>
              <w:rPr>
                <w:rFonts w:ascii="Arial" w:eastAsia="Times New Roman" w:hAnsi="Arial"/>
                <w:color w:val="auto"/>
                <w:sz w:val="18"/>
              </w:rPr>
            </w:pPr>
            <w:r w:rsidRPr="00E46192">
              <w:rPr>
                <w:rFonts w:ascii="Arial" w:eastAsia="Times New Roman" w:hAnsi="Arial"/>
                <w:color w:val="auto"/>
                <w:sz w:val="18"/>
              </w:rPr>
              <w:t>Indicates the protocol, e.g. which is used to detect PDU Set Information of packets and/or last packet of the Data Burst.</w:t>
            </w:r>
          </w:p>
          <w:p w14:paraId="18122879" w14:textId="77777777" w:rsidR="00E46192" w:rsidRPr="00E46192" w:rsidRDefault="00E46192" w:rsidP="00E46192">
            <w:pPr>
              <w:keepNext/>
              <w:keepLines/>
              <w:spacing w:after="0"/>
              <w:rPr>
                <w:rFonts w:ascii="Arial" w:eastAsia="Times New Roman" w:hAnsi="Arial"/>
                <w:color w:val="auto"/>
                <w:sz w:val="18"/>
              </w:rPr>
            </w:pPr>
            <w:r w:rsidRPr="00E46192">
              <w:rPr>
                <w:rFonts w:ascii="Arial" w:eastAsia="Times New Roman" w:hAnsi="Arial"/>
                <w:color w:val="auto"/>
                <w:sz w:val="18"/>
              </w:rPr>
              <w:t>(See TS 23.501 [2] clause 5.37.5, clause 5.37.8 and TS 26.522 [40]).</w:t>
            </w:r>
          </w:p>
        </w:tc>
        <w:tc>
          <w:tcPr>
            <w:tcW w:w="1364" w:type="dxa"/>
          </w:tcPr>
          <w:p w14:paraId="0BA760BC" w14:textId="77777777" w:rsidR="00E46192" w:rsidRPr="00E46192" w:rsidRDefault="00E46192" w:rsidP="00E46192">
            <w:pPr>
              <w:keepNext/>
              <w:keepLines/>
              <w:spacing w:after="0"/>
              <w:rPr>
                <w:rFonts w:ascii="Arial" w:eastAsia="Times New Roman" w:hAnsi="Arial"/>
                <w:color w:val="auto"/>
                <w:sz w:val="18"/>
                <w:szCs w:val="18"/>
                <w:lang w:eastAsia="en-GB"/>
              </w:rPr>
            </w:pPr>
          </w:p>
        </w:tc>
        <w:tc>
          <w:tcPr>
            <w:tcW w:w="1748" w:type="dxa"/>
          </w:tcPr>
          <w:p w14:paraId="2F36B74F"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61230F37"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1929A7" w:rsidRPr="00E46192" w14:paraId="62880D2D" w14:textId="77777777" w:rsidTr="0081433D">
        <w:trPr>
          <w:cantSplit/>
          <w:ins w:id="86" w:author="Ericsson 2" w:date="2024-11-04T16:06:00Z"/>
        </w:trPr>
        <w:tc>
          <w:tcPr>
            <w:tcW w:w="1980" w:type="dxa"/>
            <w:shd w:val="clear" w:color="auto" w:fill="auto"/>
          </w:tcPr>
          <w:p w14:paraId="21D2012E" w14:textId="3A9CFDFA" w:rsidR="001929A7" w:rsidRPr="00170889" w:rsidRDefault="00F007CD" w:rsidP="00E46192">
            <w:pPr>
              <w:keepNext/>
              <w:keepLines/>
              <w:spacing w:after="0"/>
              <w:rPr>
                <w:ins w:id="87" w:author="Ericsson 2" w:date="2024-11-04T16:06:00Z"/>
                <w:rFonts w:ascii="Arial" w:eastAsia="Times New Roman" w:hAnsi="Arial"/>
                <w:color w:val="auto"/>
                <w:sz w:val="18"/>
                <w:lang w:eastAsia="en-GB"/>
              </w:rPr>
            </w:pPr>
            <w:ins w:id="88" w:author="Ericsson 2" w:date="2024-11-04T16:08:00Z">
              <w:del w:id="89" w:author="Ericsson r2" w:date="2024-11-20T15:12:00Z">
                <w:r w:rsidRPr="0077341D" w:rsidDel="00DC20ED">
                  <w:rPr>
                    <w:rFonts w:ascii="Arial" w:eastAsia="Times New Roman" w:hAnsi="Arial"/>
                    <w:color w:val="auto"/>
                    <w:sz w:val="18"/>
                    <w:highlight w:val="yellow"/>
                    <w:lang w:eastAsia="en-GB"/>
                    <w:rPrChange w:id="90" w:author="Ericsson r2" w:date="2024-11-20T15:49:00Z">
                      <w:rPr>
                        <w:rFonts w:ascii="Arial" w:eastAsia="Times New Roman" w:hAnsi="Arial"/>
                        <w:color w:val="auto"/>
                        <w:sz w:val="18"/>
                        <w:lang w:eastAsia="en-GB"/>
                      </w:rPr>
                    </w:rPrChange>
                  </w:rPr>
                  <w:delText>Connect-UDP</w:delText>
                </w:r>
              </w:del>
            </w:ins>
            <w:ins w:id="91" w:author="Ericsson r2" w:date="2024-11-20T15:12:00Z">
              <w:r w:rsidR="00DC20ED" w:rsidRPr="0077341D">
                <w:rPr>
                  <w:rFonts w:ascii="Arial" w:eastAsia="Times New Roman" w:hAnsi="Arial"/>
                  <w:color w:val="auto"/>
                  <w:sz w:val="18"/>
                  <w:highlight w:val="yellow"/>
                  <w:lang w:eastAsia="en-GB"/>
                  <w:rPrChange w:id="92" w:author="Ericsson r2" w:date="2024-11-20T15:49:00Z">
                    <w:rPr>
                      <w:rFonts w:ascii="Arial" w:eastAsia="Times New Roman" w:hAnsi="Arial"/>
                      <w:color w:val="auto"/>
                      <w:sz w:val="18"/>
                      <w:lang w:eastAsia="en-GB"/>
                    </w:rPr>
                  </w:rPrChange>
                </w:rPr>
                <w:t>In-band Connection</w:t>
              </w:r>
            </w:ins>
            <w:ins w:id="93" w:author="Ericsson 2" w:date="2024-11-04T16:08:00Z">
              <w:r w:rsidRPr="0081433D">
                <w:rPr>
                  <w:rFonts w:ascii="Arial" w:eastAsia="Times New Roman" w:hAnsi="Arial"/>
                  <w:color w:val="auto"/>
                  <w:sz w:val="18"/>
                  <w:lang w:eastAsia="en-GB"/>
                </w:rPr>
                <w:t xml:space="preserve"> information</w:t>
              </w:r>
            </w:ins>
          </w:p>
        </w:tc>
        <w:tc>
          <w:tcPr>
            <w:tcW w:w="2912" w:type="dxa"/>
            <w:shd w:val="clear" w:color="auto" w:fill="auto"/>
          </w:tcPr>
          <w:p w14:paraId="10840D9E" w14:textId="6AAF3C2E" w:rsidR="00447181" w:rsidRPr="00170889" w:rsidRDefault="00447181" w:rsidP="00E46192">
            <w:pPr>
              <w:keepNext/>
              <w:keepLines/>
              <w:spacing w:after="0"/>
              <w:rPr>
                <w:ins w:id="94" w:author="Ericsson 2" w:date="2024-11-04T16:06:00Z"/>
                <w:rFonts w:ascii="Arial" w:eastAsia="Times New Roman" w:hAnsi="Arial"/>
                <w:color w:val="auto"/>
                <w:sz w:val="18"/>
                <w:lang w:eastAsia="en-GB"/>
              </w:rPr>
            </w:pPr>
            <w:ins w:id="95" w:author="Ericsson 2" w:date="2024-11-05T16:17:00Z">
              <w:r w:rsidRPr="0081433D">
                <w:rPr>
                  <w:rFonts w:ascii="Arial" w:eastAsia="Times New Roman" w:hAnsi="Arial"/>
                  <w:color w:val="auto"/>
                  <w:sz w:val="18"/>
                  <w:lang w:eastAsia="en-GB"/>
                </w:rPr>
                <w:t>Address of a</w:t>
              </w:r>
            </w:ins>
            <w:ins w:id="96" w:author="Ericsson 2" w:date="2024-11-05T16:18:00Z">
              <w:r w:rsidR="009B2E62" w:rsidRPr="0081433D">
                <w:rPr>
                  <w:rFonts w:ascii="Arial" w:eastAsia="Times New Roman" w:hAnsi="Arial"/>
                  <w:color w:val="auto"/>
                  <w:sz w:val="18"/>
                  <w:lang w:eastAsia="en-GB"/>
                </w:rPr>
                <w:t>n AS</w:t>
              </w:r>
            </w:ins>
            <w:ins w:id="97" w:author="Ericsson 2" w:date="2024-11-05T16:17:00Z">
              <w:r w:rsidRPr="0081433D">
                <w:rPr>
                  <w:rFonts w:ascii="Arial" w:eastAsia="Times New Roman" w:hAnsi="Arial"/>
                  <w:color w:val="auto"/>
                  <w:sz w:val="18"/>
                  <w:lang w:eastAsia="en-GB"/>
                </w:rPr>
                <w:t xml:space="preserve"> proxy to which UPF can connect using Connect-UDP</w:t>
              </w:r>
              <w:r w:rsidR="0064009D" w:rsidRPr="0081433D">
                <w:rPr>
                  <w:rFonts w:ascii="Arial" w:eastAsia="Times New Roman" w:hAnsi="Arial"/>
                  <w:color w:val="auto"/>
                  <w:sz w:val="18"/>
                  <w:lang w:eastAsia="en-GB"/>
                </w:rPr>
                <w:t xml:space="preserve"> to receive </w:t>
              </w:r>
            </w:ins>
            <w:ins w:id="98" w:author="Ericsson 2" w:date="2024-11-06T11:04:00Z">
              <w:r w:rsidR="000C7371" w:rsidRPr="0081433D">
                <w:rPr>
                  <w:rFonts w:ascii="Arial" w:eastAsia="Times New Roman" w:hAnsi="Arial"/>
                  <w:color w:val="auto"/>
                  <w:sz w:val="18"/>
                  <w:lang w:eastAsia="en-GB"/>
                </w:rPr>
                <w:t>M</w:t>
              </w:r>
            </w:ins>
            <w:ins w:id="99" w:author="Ericsson 2" w:date="2024-11-05T16:17:00Z">
              <w:r w:rsidR="0064009D" w:rsidRPr="0081433D">
                <w:rPr>
                  <w:rFonts w:ascii="Arial" w:eastAsia="Times New Roman" w:hAnsi="Arial"/>
                  <w:color w:val="auto"/>
                  <w:sz w:val="18"/>
                  <w:lang w:eastAsia="en-GB"/>
                </w:rPr>
                <w:t xml:space="preserve">edia </w:t>
              </w:r>
            </w:ins>
            <w:ins w:id="100" w:author="Ericsson 2" w:date="2024-11-06T11:04:00Z">
              <w:r w:rsidR="000C7371" w:rsidRPr="0081433D">
                <w:rPr>
                  <w:rFonts w:ascii="Arial" w:eastAsia="Times New Roman" w:hAnsi="Arial"/>
                  <w:color w:val="auto"/>
                  <w:sz w:val="18"/>
                  <w:lang w:eastAsia="en-GB"/>
                </w:rPr>
                <w:t>R</w:t>
              </w:r>
            </w:ins>
            <w:ins w:id="101" w:author="Ericsson 2" w:date="2024-11-05T16:17:00Z">
              <w:r w:rsidR="0064009D" w:rsidRPr="0081433D">
                <w:rPr>
                  <w:rFonts w:ascii="Arial" w:eastAsia="Times New Roman" w:hAnsi="Arial"/>
                  <w:color w:val="auto"/>
                  <w:sz w:val="18"/>
                  <w:lang w:eastAsia="en-GB"/>
                </w:rPr>
                <w:t xml:space="preserve">elated </w:t>
              </w:r>
            </w:ins>
            <w:ins w:id="102" w:author="Ericsson 2" w:date="2024-11-06T11:04:00Z">
              <w:r w:rsidR="000C7371" w:rsidRPr="0081433D">
                <w:rPr>
                  <w:rFonts w:ascii="Arial" w:eastAsia="Times New Roman" w:hAnsi="Arial"/>
                  <w:color w:val="auto"/>
                  <w:sz w:val="18"/>
                  <w:lang w:eastAsia="en-GB"/>
                </w:rPr>
                <w:t>I</w:t>
              </w:r>
            </w:ins>
            <w:ins w:id="103" w:author="Ericsson 2" w:date="2024-11-05T16:17:00Z">
              <w:r w:rsidR="0064009D" w:rsidRPr="0081433D">
                <w:rPr>
                  <w:rFonts w:ascii="Arial" w:eastAsia="Times New Roman" w:hAnsi="Arial"/>
                  <w:color w:val="auto"/>
                  <w:sz w:val="18"/>
                  <w:lang w:eastAsia="en-GB"/>
                </w:rPr>
                <w:t>nformation</w:t>
              </w:r>
            </w:ins>
          </w:p>
        </w:tc>
        <w:tc>
          <w:tcPr>
            <w:tcW w:w="1364" w:type="dxa"/>
          </w:tcPr>
          <w:p w14:paraId="350B19F3" w14:textId="77777777" w:rsidR="001929A7" w:rsidRPr="00E46192" w:rsidRDefault="001929A7" w:rsidP="00E46192">
            <w:pPr>
              <w:keepNext/>
              <w:keepLines/>
              <w:spacing w:after="0"/>
              <w:rPr>
                <w:ins w:id="104" w:author="Ericsson 2" w:date="2024-11-04T16:06:00Z"/>
                <w:rFonts w:ascii="Arial" w:eastAsia="Times New Roman" w:hAnsi="Arial"/>
                <w:color w:val="auto"/>
                <w:sz w:val="18"/>
                <w:szCs w:val="18"/>
                <w:lang w:eastAsia="en-GB"/>
              </w:rPr>
            </w:pPr>
          </w:p>
        </w:tc>
        <w:tc>
          <w:tcPr>
            <w:tcW w:w="1748" w:type="dxa"/>
          </w:tcPr>
          <w:p w14:paraId="05EF57EC" w14:textId="77777777" w:rsidR="001929A7" w:rsidRPr="00E46192" w:rsidRDefault="001929A7" w:rsidP="00E46192">
            <w:pPr>
              <w:keepNext/>
              <w:keepLines/>
              <w:spacing w:after="0"/>
              <w:rPr>
                <w:ins w:id="105" w:author="Ericsson 2" w:date="2024-11-04T16:06:00Z"/>
                <w:rFonts w:ascii="Arial" w:eastAsia="Times New Roman" w:hAnsi="Arial"/>
                <w:color w:val="auto"/>
                <w:sz w:val="18"/>
                <w:lang w:eastAsia="en-GB"/>
              </w:rPr>
            </w:pPr>
          </w:p>
        </w:tc>
        <w:tc>
          <w:tcPr>
            <w:tcW w:w="1627" w:type="dxa"/>
          </w:tcPr>
          <w:p w14:paraId="4A0CA7A4" w14:textId="77777777" w:rsidR="001929A7" w:rsidRPr="00E46192" w:rsidRDefault="001929A7" w:rsidP="00E46192">
            <w:pPr>
              <w:keepNext/>
              <w:keepLines/>
              <w:spacing w:after="0"/>
              <w:rPr>
                <w:ins w:id="106" w:author="Ericsson 2" w:date="2024-11-04T16:06:00Z"/>
                <w:rFonts w:ascii="Arial" w:eastAsia="Times New Roman" w:hAnsi="Arial"/>
                <w:color w:val="auto"/>
                <w:sz w:val="18"/>
                <w:lang w:eastAsia="en-GB"/>
              </w:rPr>
            </w:pPr>
          </w:p>
        </w:tc>
      </w:tr>
      <w:tr w:rsidR="00E46192" w:rsidRPr="00E46192" w14:paraId="621BD94E" w14:textId="77777777" w:rsidTr="0081433D">
        <w:trPr>
          <w:cantSplit/>
        </w:trPr>
        <w:tc>
          <w:tcPr>
            <w:tcW w:w="9631" w:type="dxa"/>
            <w:gridSpan w:val="5"/>
          </w:tcPr>
          <w:p w14:paraId="6B94438D"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w:t>
            </w:r>
            <w:r w:rsidRPr="00E46192">
              <w:rPr>
                <w:rFonts w:ascii="Arial" w:eastAsia="Times New Roman" w:hAnsi="Arial"/>
                <w:color w:val="auto"/>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1F078A7"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w:t>
            </w:r>
            <w:r w:rsidRPr="00E46192">
              <w:rPr>
                <w:rFonts w:ascii="Arial" w:eastAsia="Times New Roman" w:hAnsi="Arial"/>
                <w:color w:val="auto"/>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71515F07"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w:t>
            </w:r>
            <w:r w:rsidRPr="00E46192">
              <w:rPr>
                <w:rFonts w:ascii="Arial" w:eastAsia="Times New Roman" w:hAnsi="Arial"/>
                <w:color w:val="auto"/>
                <w:sz w:val="18"/>
                <w:lang w:eastAsia="en-GB"/>
              </w:rPr>
              <w:tab/>
              <w:t>Either service data flow filter(s) or application identifier shall be defined per each rule.</w:t>
            </w:r>
          </w:p>
          <w:p w14:paraId="59B790DE"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4:</w:t>
            </w:r>
            <w:r w:rsidRPr="00E46192">
              <w:rPr>
                <w:rFonts w:ascii="Arial" w:eastAsia="Times New Roman" w:hAnsi="Arial"/>
                <w:color w:val="auto"/>
                <w:sz w:val="18"/>
                <w:lang w:eastAsia="en-GB"/>
              </w:rPr>
              <w:tab/>
              <w:t>YES, if the service data flow template consists of a set of service data flow filters. NO if the service data flow template consists of an application identifier</w:t>
            </w:r>
          </w:p>
          <w:p w14:paraId="723D8244"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5:</w:t>
            </w:r>
            <w:r w:rsidRPr="00E46192">
              <w:rPr>
                <w:rFonts w:ascii="Arial" w:eastAsia="Times New Roman" w:hAnsi="Arial"/>
                <w:color w:val="auto"/>
                <w:sz w:val="18"/>
                <w:lang w:eastAsia="en-GB"/>
              </w:rPr>
              <w:tab/>
              <w:t>Optional and applicable only if application identifier exists within the rule.</w:t>
            </w:r>
          </w:p>
          <w:p w14:paraId="3CBB60F1"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6:</w:t>
            </w:r>
            <w:r w:rsidRPr="00E46192">
              <w:rPr>
                <w:rFonts w:ascii="Arial" w:eastAsia="Times New Roman" w:hAnsi="Arial"/>
                <w:color w:val="auto"/>
                <w:sz w:val="18"/>
                <w:lang w:eastAsia="en-GB"/>
              </w:rPr>
              <w:tab/>
              <w:t>Applicable to sponsored data connectivity.</w:t>
            </w:r>
          </w:p>
          <w:p w14:paraId="7B82C94D"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7:</w:t>
            </w:r>
            <w:r w:rsidRPr="00E46192">
              <w:rPr>
                <w:rFonts w:ascii="Arial" w:eastAsia="Times New Roman" w:hAnsi="Arial"/>
                <w:color w:val="auto"/>
                <w:sz w:val="18"/>
                <w:lang w:eastAsia="en-GB"/>
              </w:rPr>
              <w:tab/>
              <w:t>Mandatory if there is no default charging method for the PDU Session.</w:t>
            </w:r>
          </w:p>
          <w:p w14:paraId="63718150"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8:</w:t>
            </w:r>
            <w:r w:rsidRPr="00E46192">
              <w:rPr>
                <w:rFonts w:ascii="Arial" w:eastAsia="Times New Roman" w:hAnsi="Arial"/>
                <w:color w:val="auto"/>
                <w:sz w:val="18"/>
                <w:lang w:eastAsia="en-GB"/>
              </w:rPr>
              <w:tab/>
              <w:t>Optional and applicable only if application identifier exists within the rule.</w:t>
            </w:r>
          </w:p>
          <w:p w14:paraId="147ABB19"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9:</w:t>
            </w:r>
            <w:r w:rsidRPr="00E46192">
              <w:rPr>
                <w:rFonts w:ascii="Arial" w:eastAsia="Times New Roman" w:hAnsi="Arial"/>
                <w:color w:val="auto"/>
                <w:sz w:val="18"/>
                <w:lang w:eastAsia="en-GB"/>
              </w:rPr>
              <w:tab/>
              <w:t>If Redirect is enabled.</w:t>
            </w:r>
          </w:p>
          <w:p w14:paraId="43686A2D"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10:</w:t>
            </w:r>
            <w:r w:rsidRPr="00E46192">
              <w:rPr>
                <w:rFonts w:ascii="Arial" w:eastAsia="Times New Roman" w:hAnsi="Arial"/>
                <w:color w:val="auto"/>
                <w:sz w:val="18"/>
                <w:lang w:eastAsia="en-GB"/>
              </w:rPr>
              <w:tab/>
              <w:t>Mandatory when Bind to QoS Flow associated with the default QoS rule is not present.</w:t>
            </w:r>
          </w:p>
          <w:p w14:paraId="17BE0DC0"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11:</w:t>
            </w:r>
            <w:r w:rsidRPr="00E46192">
              <w:rPr>
                <w:rFonts w:ascii="Arial" w:eastAsia="Times New Roman" w:hAnsi="Arial"/>
                <w:color w:val="auto"/>
                <w:sz w:val="18"/>
                <w:lang w:eastAsia="en-GB"/>
              </w:rPr>
              <w:tab/>
              <w:t>The presence of this attribute causes the 5QI/ARP/QNC/Priority Level/Averaging Window/Maximum Data Burst Volume of the rule to be ignored for the QoS Flow binding.</w:t>
            </w:r>
          </w:p>
          <w:p w14:paraId="71224A93"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12:</w:t>
            </w:r>
            <w:r w:rsidRPr="00E46192">
              <w:rPr>
                <w:rFonts w:ascii="Arial" w:eastAsia="Times New Roman" w:hAnsi="Arial"/>
                <w:color w:val="auto"/>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4B93E2B6"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13:</w:t>
            </w:r>
            <w:r w:rsidRPr="00E46192">
              <w:rPr>
                <w:rFonts w:ascii="Arial" w:eastAsia="Times New Roman" w:hAnsi="Arial"/>
                <w:color w:val="auto"/>
                <w:sz w:val="18"/>
                <w:lang w:eastAsia="en-GB"/>
              </w:rPr>
              <w:tab/>
              <w:t>Optional and applicable only for voice service data flow in this release.</w:t>
            </w:r>
          </w:p>
          <w:p w14:paraId="036D3CF5"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14:</w:t>
            </w:r>
            <w:r w:rsidRPr="00E46192">
              <w:rPr>
                <w:rFonts w:ascii="Arial" w:eastAsia="Times New Roman" w:hAnsi="Arial"/>
                <w:color w:val="auto"/>
                <w:sz w:val="18"/>
                <w:lang w:eastAsia="en-GB"/>
              </w:rPr>
              <w:tab/>
              <w:t>Optional and applicable only when a value different from the standardized value for this 5QI in Table 5.7.4-1 TS 23.501 [2] is required.</w:t>
            </w:r>
          </w:p>
          <w:p w14:paraId="10C83882"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15:</w:t>
            </w:r>
            <w:r w:rsidRPr="00E46192">
              <w:rPr>
                <w:rFonts w:ascii="Arial" w:eastAsia="Times New Roman" w:hAnsi="Arial"/>
                <w:color w:val="auto"/>
                <w:sz w:val="18"/>
                <w:lang w:eastAsia="en-GB"/>
              </w:rPr>
              <w:tab/>
              <w:t>Optional and applicable only for GBR service data flow.</w:t>
            </w:r>
          </w:p>
          <w:p w14:paraId="6C2C7ADC"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16:</w:t>
            </w:r>
            <w:r w:rsidRPr="00E46192">
              <w:rPr>
                <w:rFonts w:ascii="Arial" w:eastAsia="Times New Roman" w:hAnsi="Arial"/>
                <w:color w:val="auto"/>
                <w:sz w:val="18"/>
                <w:lang w:eastAsia="en-GB"/>
              </w:rPr>
              <w:tab/>
              <w:t>Usage of the charging information in described in TS 32.255 [21].</w:t>
            </w:r>
          </w:p>
          <w:p w14:paraId="01724D80"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17:</w:t>
            </w:r>
            <w:r w:rsidRPr="00E46192">
              <w:rPr>
                <w:rFonts w:ascii="Arial" w:eastAsia="Times New Roman" w:hAnsi="Arial"/>
                <w:color w:val="auto"/>
                <w:sz w:val="18"/>
                <w:lang w:eastAsia="en-GB"/>
              </w:rPr>
              <w:tab/>
              <w:t>Only one PCC rule can contain this attribute and this PCC rule shall not contain the attribute Bind to QoS Flow associated with the default QoS rule.</w:t>
            </w:r>
          </w:p>
          <w:p w14:paraId="1913D97B"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18:</w:t>
            </w:r>
            <w:r w:rsidRPr="00E46192">
              <w:rPr>
                <w:rFonts w:ascii="Arial" w:eastAsia="Times New Roman" w:hAnsi="Arial"/>
                <w:color w:val="auto"/>
                <w:sz w:val="18"/>
                <w:lang w:eastAsia="en-GB"/>
              </w:rPr>
              <w:tab/>
              <w:t>None, one of the two or both may be present in a PCC rule.</w:t>
            </w:r>
          </w:p>
          <w:p w14:paraId="298AFD15"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19:</w:t>
            </w:r>
            <w:r w:rsidRPr="00E46192">
              <w:rPr>
                <w:rFonts w:ascii="Arial" w:eastAsia="Times New Roman" w:hAnsi="Arial"/>
                <w:color w:val="auto"/>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41BD2DA"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20:</w:t>
            </w:r>
            <w:r w:rsidRPr="00E46192">
              <w:rPr>
                <w:rFonts w:ascii="Arial" w:eastAsia="Times New Roman" w:hAnsi="Arial"/>
                <w:color w:val="auto"/>
                <w:sz w:val="18"/>
                <w:lang w:eastAsia="en-GB"/>
              </w:rPr>
              <w:tab/>
              <w:t>Only applicable to a PCC Rules provided to a MA PDU Session.</w:t>
            </w:r>
          </w:p>
          <w:p w14:paraId="4A74CA93"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21:</w:t>
            </w:r>
            <w:r w:rsidRPr="00E46192">
              <w:rPr>
                <w:rFonts w:ascii="Arial" w:eastAsia="Times New Roman" w:hAnsi="Arial"/>
                <w:color w:val="auto"/>
                <w:sz w:val="18"/>
                <w:lang w:eastAsia="en-GB"/>
              </w:rPr>
              <w:tab/>
              <w:t>Mandatory when MA PDU Session Control information is provided.</w:t>
            </w:r>
          </w:p>
          <w:p w14:paraId="7D8C5598"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22:</w:t>
            </w:r>
            <w:r w:rsidRPr="00E46192">
              <w:rPr>
                <w:rFonts w:ascii="Arial" w:eastAsia="Times New Roman" w:hAnsi="Arial"/>
                <w:color w:val="auto"/>
                <w:sz w:val="18"/>
                <w:lang w:eastAsia="en-GB"/>
              </w:rPr>
              <w:tab/>
              <w:t xml:space="preserve">When a Charging key for </w:t>
            </w:r>
            <w:proofErr w:type="gramStart"/>
            <w:r w:rsidRPr="00E46192">
              <w:rPr>
                <w:rFonts w:ascii="Arial" w:eastAsia="Times New Roman" w:hAnsi="Arial"/>
                <w:color w:val="auto"/>
                <w:sz w:val="18"/>
                <w:lang w:eastAsia="en-GB"/>
              </w:rPr>
              <w:t>Non-3GPP</w:t>
            </w:r>
            <w:proofErr w:type="gramEnd"/>
            <w:r w:rsidRPr="00E46192">
              <w:rPr>
                <w:rFonts w:ascii="Arial" w:eastAsia="Times New Roman" w:hAnsi="Arial"/>
                <w:color w:val="auto"/>
                <w:sz w:val="18"/>
                <w:lang w:eastAsia="en-GB"/>
              </w:rPr>
              <w:t xml:space="preserve"> access is provided, the parameters in the Charging Section (other than the Charging key) apply to both accesses and the Charging key (in the Charging Section) shall be used for charging packets carried via the 3GPP access.</w:t>
            </w:r>
          </w:p>
          <w:p w14:paraId="0BBCB384"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23:</w:t>
            </w:r>
            <w:r w:rsidRPr="00E46192">
              <w:rPr>
                <w:rFonts w:ascii="Arial" w:eastAsia="Times New Roman" w:hAnsi="Arial"/>
                <w:color w:val="auto"/>
                <w:sz w:val="18"/>
                <w:lang w:eastAsia="en-GB"/>
              </w:rPr>
              <w:tab/>
              <w:t xml:space="preserve">When a Monitoring key for </w:t>
            </w:r>
            <w:proofErr w:type="gramStart"/>
            <w:r w:rsidRPr="00E46192">
              <w:rPr>
                <w:rFonts w:ascii="Arial" w:eastAsia="Times New Roman" w:hAnsi="Arial"/>
                <w:color w:val="auto"/>
                <w:sz w:val="18"/>
                <w:lang w:eastAsia="en-GB"/>
              </w:rPr>
              <w:t>Non-3GPP</w:t>
            </w:r>
            <w:proofErr w:type="gramEnd"/>
            <w:r w:rsidRPr="00E46192">
              <w:rPr>
                <w:rFonts w:ascii="Arial" w:eastAsia="Times New Roman" w:hAnsi="Arial"/>
                <w:color w:val="auto"/>
                <w:sz w:val="18"/>
                <w:lang w:eastAsia="en-GB"/>
              </w:rPr>
              <w:t xml:space="preserve"> access is provided, the Monitoring key (in the Usage Monitoring Control Section) shall be used to monitor usage of the packets carried via the 3GPP access.</w:t>
            </w:r>
          </w:p>
          <w:p w14:paraId="613F75D7"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24:</w:t>
            </w:r>
            <w:r w:rsidRPr="00E46192">
              <w:rPr>
                <w:rFonts w:ascii="Arial" w:eastAsia="Times New Roman" w:hAnsi="Arial"/>
                <w:color w:val="auto"/>
                <w:sz w:val="18"/>
                <w:lang w:eastAsia="en-GB"/>
              </w:rPr>
              <w:tab/>
              <w:t>Optional and applicable only for GBR service data flow with QoS Notification Control enabled.</w:t>
            </w:r>
          </w:p>
          <w:p w14:paraId="5A989D5C"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25:</w:t>
            </w:r>
            <w:r w:rsidRPr="00E46192">
              <w:rPr>
                <w:rFonts w:ascii="Arial" w:eastAsia="Times New Roman" w:hAnsi="Arial"/>
                <w:color w:val="auto"/>
                <w:sz w:val="18"/>
                <w:lang w:eastAsia="en-GB"/>
              </w:rPr>
              <w:tab/>
              <w:t>Optional and applicable only for GBR service data flow for which Alternative QoS Parameter Set(s) are provided.</w:t>
            </w:r>
          </w:p>
          <w:p w14:paraId="2BD9AD9C"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26:</w:t>
            </w:r>
            <w:r w:rsidRPr="00E46192">
              <w:rPr>
                <w:rFonts w:ascii="Arial" w:eastAsia="Times New Roman" w:hAnsi="Arial"/>
                <w:color w:val="auto"/>
                <w:sz w:val="18"/>
                <w:lang w:eastAsia="en-GB"/>
              </w:rPr>
              <w:tab/>
              <w:t>One or more Alternative QoS Parameter Sets can be provided in a prioritized order starting with the Alternative QoS Parameter Set that has the highest priority.</w:t>
            </w:r>
          </w:p>
          <w:p w14:paraId="58E615AF"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27:</w:t>
            </w:r>
            <w:r w:rsidRPr="00E46192">
              <w:rPr>
                <w:rFonts w:ascii="Arial" w:eastAsia="Times New Roman" w:hAnsi="Arial"/>
                <w:color w:val="auto"/>
                <w:sz w:val="18"/>
                <w:lang w:eastAsia="en-GB"/>
              </w:rPr>
              <w:tab/>
              <w:t>Mandatory in MA PDU Session Control information only when there is application identifier in the service data flow template.</w:t>
            </w:r>
          </w:p>
          <w:p w14:paraId="0DDAB684"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28:</w:t>
            </w:r>
            <w:r w:rsidRPr="00E46192">
              <w:rPr>
                <w:rFonts w:ascii="Arial" w:eastAsia="Times New Roman" w:hAnsi="Arial"/>
                <w:color w:val="auto"/>
                <w:sz w:val="18"/>
                <w:lang w:eastAsia="en-GB"/>
              </w:rPr>
              <w:tab/>
              <w:t xml:space="preserve">If this parameter is used, it </w:t>
            </w:r>
            <w:proofErr w:type="gramStart"/>
            <w:r w:rsidRPr="00E46192">
              <w:rPr>
                <w:rFonts w:ascii="Arial" w:eastAsia="Times New Roman" w:hAnsi="Arial"/>
                <w:color w:val="auto"/>
                <w:sz w:val="18"/>
                <w:lang w:eastAsia="en-GB"/>
              </w:rPr>
              <w:t>has to</w:t>
            </w:r>
            <w:proofErr w:type="gramEnd"/>
            <w:r w:rsidRPr="00E46192">
              <w:rPr>
                <w:rFonts w:ascii="Arial" w:eastAsia="Times New Roman" w:hAnsi="Arial"/>
                <w:color w:val="auto"/>
                <w:sz w:val="18"/>
                <w:lang w:eastAsia="en-GB"/>
              </w:rPr>
              <w:t xml:space="preserve"> be present in every PCC rule of the PDU Session.</w:t>
            </w:r>
          </w:p>
          <w:p w14:paraId="1A989490"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29:</w:t>
            </w:r>
            <w:r w:rsidRPr="00E46192">
              <w:rPr>
                <w:rFonts w:ascii="Arial" w:eastAsia="Times New Roman" w:hAnsi="Arial"/>
                <w:color w:val="auto"/>
                <w:sz w:val="18"/>
                <w:lang w:eastAsia="en-GB"/>
              </w:rPr>
              <w:tab/>
              <w:t>The use of traffic correlation is defined in TS 23.501 [2], clauses 5.6.7.1 and 5.29.</w:t>
            </w:r>
          </w:p>
          <w:p w14:paraId="6A880B09"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30:</w:t>
            </w:r>
            <w:r w:rsidRPr="00E46192">
              <w:rPr>
                <w:rFonts w:ascii="Arial" w:eastAsia="Times New Roman" w:hAnsi="Arial"/>
                <w:color w:val="auto"/>
                <w:sz w:val="18"/>
                <w:lang w:eastAsia="en-GB"/>
              </w:rPr>
              <w:tab/>
              <w:t>If Steering Mode is set to "Redundant", either a Maximum RTT or a Maximum Packet Loss Rate may be provided, but not both.</w:t>
            </w:r>
          </w:p>
          <w:p w14:paraId="001C575A"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31:</w:t>
            </w:r>
            <w:r w:rsidRPr="00E46192">
              <w:rPr>
                <w:rFonts w:ascii="Arial" w:eastAsia="Times New Roman" w:hAnsi="Arial"/>
                <w:color w:val="auto"/>
                <w:sz w:val="18"/>
                <w:lang w:eastAsia="en-GB"/>
              </w:rPr>
              <w:tab/>
              <w:t>The Steering functionality "ATSSS-LL" shall not be provided together with Steering Mode "Redundant".</w:t>
            </w:r>
          </w:p>
          <w:p w14:paraId="5A4FCD91"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32:</w:t>
            </w:r>
            <w:r w:rsidRPr="00E46192">
              <w:rPr>
                <w:rFonts w:ascii="Arial" w:eastAsia="Times New Roman" w:hAnsi="Arial"/>
                <w:color w:val="auto"/>
                <w:sz w:val="18"/>
                <w:lang w:eastAsia="en-GB"/>
              </w:rPr>
              <w:tab/>
              <w:t>This parameter is only provided when the PCF is configured to provide an explicit indicator to the SMF to enable ECN marking for L4S for the traffic identified by the SDF template.</w:t>
            </w:r>
          </w:p>
          <w:p w14:paraId="428E2485" w14:textId="3CA43B16" w:rsidR="00A070AA" w:rsidRPr="00E46192" w:rsidRDefault="00E46192" w:rsidP="00170889">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33:</w:t>
            </w:r>
            <w:r w:rsidRPr="00E46192">
              <w:rPr>
                <w:rFonts w:ascii="Arial" w:eastAsia="Times New Roman" w:hAnsi="Arial"/>
                <w:color w:val="auto"/>
                <w:sz w:val="18"/>
                <w:lang w:eastAsia="en-GB"/>
              </w:rPr>
              <w:tab/>
              <w:t>The Transport Mode may be included when the Steering Functionality is the MPQUIC functionality.</w:t>
            </w:r>
          </w:p>
        </w:tc>
      </w:tr>
    </w:tbl>
    <w:p w14:paraId="616C811E" w14:textId="77777777" w:rsidR="00E46192" w:rsidRPr="00E46192" w:rsidRDefault="00E46192" w:rsidP="00E46192">
      <w:pPr>
        <w:spacing w:after="0"/>
        <w:rPr>
          <w:rFonts w:eastAsia="Times New Roman"/>
          <w:color w:val="auto"/>
          <w:lang w:eastAsia="en-GB"/>
        </w:rPr>
      </w:pPr>
    </w:p>
    <w:p w14:paraId="1AA23870"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Rule identifier shall be unique for a PCC rule within a PDU Session. A dynamically provided PCC rule that has the same Rule identifier value as a predefined PCC rule shall replace the predefined rule within the same PDU Session.</w:t>
      </w:r>
    </w:p>
    <w:p w14:paraId="5C5BE0AD"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BC72B55"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2:</w:t>
      </w:r>
      <w:r w:rsidRPr="00E46192">
        <w:rPr>
          <w:rFonts w:eastAsia="Times New Roman"/>
          <w:color w:val="auto"/>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2D63798" w14:textId="77777777" w:rsidR="00E46192" w:rsidRPr="00E46192" w:rsidRDefault="00E46192" w:rsidP="00E46192">
      <w:pPr>
        <w:rPr>
          <w:rFonts w:eastAsia="Times New Roman"/>
          <w:color w:val="auto"/>
          <w:lang w:eastAsia="en-GB"/>
        </w:rPr>
      </w:pPr>
      <w:r w:rsidRPr="00E46192">
        <w:rPr>
          <w:rFonts w:eastAsia="Times New Roman"/>
          <w:color w:val="auto"/>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F1F8248" w14:textId="77777777" w:rsidR="00E46192" w:rsidRPr="00E46192" w:rsidRDefault="00E46192" w:rsidP="00E46192">
      <w:pPr>
        <w:rPr>
          <w:rFonts w:eastAsia="MS Mincho"/>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Service data flow template</w:t>
      </w:r>
      <w:r w:rsidRPr="00E46192">
        <w:rPr>
          <w:rFonts w:eastAsia="Times New Roman"/>
          <w:color w:val="auto"/>
          <w:lang w:eastAsia="en-GB"/>
        </w:rPr>
        <w:t xml:space="preserve"> may comprise any number of </w:t>
      </w:r>
      <w:r w:rsidRPr="00E46192">
        <w:rPr>
          <w:rFonts w:eastAsia="Times New Roman"/>
          <w:i/>
          <w:color w:val="auto"/>
          <w:lang w:eastAsia="en-GB"/>
        </w:rPr>
        <w:t>Service data flow filters</w:t>
      </w:r>
      <w:r w:rsidRPr="00E46192">
        <w:rPr>
          <w:rFonts w:eastAsia="Times New Roman"/>
          <w:color w:val="auto"/>
          <w:lang w:eastAsia="en-GB"/>
        </w:rPr>
        <w:t xml:space="preserve"> or an </w:t>
      </w:r>
      <w:r w:rsidRPr="00E46192">
        <w:rPr>
          <w:rFonts w:eastAsia="Times New Roman"/>
          <w:i/>
          <w:color w:val="auto"/>
          <w:lang w:eastAsia="en-GB"/>
        </w:rPr>
        <w:t xml:space="preserve">application identifier </w:t>
      </w:r>
      <w:r w:rsidRPr="00E46192">
        <w:rPr>
          <w:rFonts w:eastAsia="Times New Roman"/>
          <w:color w:val="auto"/>
          <w:lang w:eastAsia="en-GB"/>
        </w:rPr>
        <w:t>as is defined in table 6.3.1.</w:t>
      </w:r>
    </w:p>
    <w:p w14:paraId="56D5E99C"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3:</w:t>
      </w:r>
      <w:r w:rsidRPr="00E46192">
        <w:rPr>
          <w:rFonts w:eastAsia="Times New Roman"/>
          <w:color w:val="auto"/>
          <w:lang w:eastAsia="en-GB"/>
        </w:rPr>
        <w:tab/>
        <w:t>Predefined PCC rules may include service data flow templates, which support extended capabilities, including enhanced capabilities to identify events associated with application protocols.</w:t>
      </w:r>
    </w:p>
    <w:p w14:paraId="676FDD43" w14:textId="77777777" w:rsidR="00E46192" w:rsidRPr="00E46192" w:rsidRDefault="00E46192" w:rsidP="00E46192">
      <w:pPr>
        <w:rPr>
          <w:rFonts w:eastAsia="Times New Roman"/>
          <w:color w:val="auto"/>
          <w:lang w:eastAsia="en-GB"/>
        </w:rPr>
      </w:pPr>
      <w:r w:rsidRPr="00E46192">
        <w:rPr>
          <w:rFonts w:eastAsia="Times New Roman"/>
          <w:color w:val="auto"/>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9883A24" w14:textId="77777777" w:rsidR="00E46192" w:rsidRPr="00E46192" w:rsidRDefault="00E46192" w:rsidP="00E46192">
      <w:pPr>
        <w:rPr>
          <w:rFonts w:eastAsia="Times New Roman"/>
          <w:color w:val="auto"/>
          <w:lang w:eastAsia="en-GB"/>
        </w:rPr>
      </w:pPr>
      <w:r w:rsidRPr="00E46192">
        <w:rPr>
          <w:rFonts w:eastAsia="Times New Roman"/>
          <w:color w:val="auto"/>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A2B5903"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Mute for notification</w:t>
      </w:r>
      <w:r w:rsidRPr="00E46192">
        <w:rPr>
          <w:rFonts w:eastAsia="Times New Roman"/>
          <w:color w:val="auto"/>
          <w:lang w:eastAsia="en-GB"/>
        </w:rPr>
        <w:t xml:space="preserve"> defines whether notification to the PCF of application's starts or stops shall be muted. Absence of this parameter means that start/stop notifications shall be sent.</w:t>
      </w:r>
    </w:p>
    <w:p w14:paraId="3C028B1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Charging key</w:t>
      </w:r>
      <w:r w:rsidRPr="00E46192">
        <w:rPr>
          <w:rFonts w:eastAsia="Times New Roman"/>
          <w:color w:val="auto"/>
          <w:lang w:eastAsia="en-GB"/>
        </w:rPr>
        <w:t xml:space="preserve"> is the reference to the tariff for the service data flow. Any number of PCC Rules may share the same charging key value. The Charging key values for each service shall be operator configurable.</w:t>
      </w:r>
    </w:p>
    <w:p w14:paraId="489E4094"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4:</w:t>
      </w:r>
      <w:r w:rsidRPr="00E46192">
        <w:rPr>
          <w:rFonts w:eastAsia="Times New Roman"/>
          <w:color w:val="auto"/>
          <w:lang w:eastAsia="en-GB"/>
        </w:rPr>
        <w:tab/>
        <w:t>Assigning the same Charging key for several service data flows implies that the charging does not require the credit management to be handled separately.</w:t>
      </w:r>
    </w:p>
    <w:p w14:paraId="7A203E16"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Service identifier</w:t>
      </w:r>
      <w:r w:rsidRPr="00E46192">
        <w:rPr>
          <w:rFonts w:eastAsia="Times New Roman"/>
          <w:color w:val="auto"/>
          <w:lang w:eastAsia="en-GB"/>
        </w:rPr>
        <w:t xml:space="preserve"> identifies the service. PCC Rules may share the same service identifier value. The service identifier provides the most detailed identification, specified for flow-based charging, of a service data flow.</w:t>
      </w:r>
    </w:p>
    <w:p w14:paraId="41FAC768"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5:</w:t>
      </w:r>
      <w:r w:rsidRPr="00E46192">
        <w:rPr>
          <w:rFonts w:eastAsia="Times New Roman"/>
          <w:color w:val="auto"/>
          <w:lang w:eastAsia="en-GB"/>
        </w:rPr>
        <w:tab/>
        <w:t>The PCC rule service identifier need not have any relationship to service identifiers used on the AF level, i.e. is an operator policy option.</w:t>
      </w:r>
    </w:p>
    <w:p w14:paraId="4CC0AC89"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Sponsor Identifier</w:t>
      </w:r>
      <w:r w:rsidRPr="00E46192">
        <w:rPr>
          <w:rFonts w:eastAsia="Times New Roman"/>
          <w:color w:val="auto"/>
          <w:lang w:eastAsia="en-GB"/>
        </w:rPr>
        <w:t xml:space="preserve"> indicates the (3rd) party organization willing to pay for the operator's charge for connectivity required to deliver a service to the end user.</w:t>
      </w:r>
    </w:p>
    <w:p w14:paraId="16A7CFC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Application Service Provider Identifier</w:t>
      </w:r>
      <w:r w:rsidRPr="00E46192">
        <w:rPr>
          <w:rFonts w:eastAsia="Times New Roman"/>
          <w:color w:val="auto"/>
          <w:lang w:eastAsia="en-GB"/>
        </w:rPr>
        <w:t xml:space="preserve"> indicates the (3rd) party organization delivering a service to the end user.</w:t>
      </w:r>
    </w:p>
    <w:p w14:paraId="3ED9B345"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Charging method</w:t>
      </w:r>
      <w:r w:rsidRPr="00E46192">
        <w:rPr>
          <w:rFonts w:eastAsia="Times New Roman"/>
          <w:color w:val="auto"/>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0BF3296"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6:</w:t>
      </w:r>
      <w:r w:rsidRPr="00E46192">
        <w:rPr>
          <w:rFonts w:eastAsia="Times New Roman"/>
          <w:color w:val="auto"/>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047A2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noProof/>
          <w:color w:val="auto"/>
          <w:lang w:eastAsia="en-GB"/>
        </w:rPr>
        <w:t>Service Data Flow handling while requesting credit</w:t>
      </w:r>
      <w:r w:rsidRPr="00E46192">
        <w:rPr>
          <w:rFonts w:eastAsia="Times New Roman"/>
          <w:color w:val="auto"/>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00CE5BCC"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Measurement method</w:t>
      </w:r>
      <w:r w:rsidRPr="00E46192">
        <w:rPr>
          <w:rFonts w:eastAsia="Times New Roman"/>
          <w:color w:val="auto"/>
          <w:lang w:eastAsia="en-GB"/>
        </w:rPr>
        <w:t xml:space="preserve"> indicates what measurements apply to charging for a PCC rule.</w:t>
      </w:r>
    </w:p>
    <w:p w14:paraId="07A454BE"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Service Identifier Level Reporting</w:t>
      </w:r>
      <w:r w:rsidRPr="00E46192">
        <w:rPr>
          <w:rFonts w:eastAsia="Times New Roman"/>
          <w:color w:val="auto"/>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4653A6E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Application Function Record Information</w:t>
      </w:r>
      <w:r w:rsidRPr="00E46192">
        <w:rPr>
          <w:rFonts w:eastAsia="Times New Roman"/>
          <w:color w:val="auto"/>
          <w:lang w:eastAsia="en-GB"/>
        </w:rPr>
        <w:t xml:space="preserve"> identifies an instance of service usage. A subsequently generated usage report (i.e. CDR), generated </w:t>
      </w:r>
      <w:proofErr w:type="gramStart"/>
      <w:r w:rsidRPr="00E46192">
        <w:rPr>
          <w:rFonts w:eastAsia="Times New Roman"/>
          <w:color w:val="auto"/>
          <w:lang w:eastAsia="en-GB"/>
        </w:rPr>
        <w:t>as a result of</w:t>
      </w:r>
      <w:proofErr w:type="gramEnd"/>
      <w:r w:rsidRPr="00E46192">
        <w:rPr>
          <w:rFonts w:eastAsia="Times New Roman"/>
          <w:color w:val="auto"/>
          <w:lang w:eastAsia="en-GB"/>
        </w:rPr>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E46192">
        <w:rPr>
          <w:rFonts w:eastAsia="Times New Roman"/>
          <w:color w:val="auto"/>
          <w:lang w:eastAsia="en-GB"/>
        </w:rPr>
        <w:t>at this point in time</w:t>
      </w:r>
      <w:proofErr w:type="gramEnd"/>
      <w:r w:rsidRPr="00E46192">
        <w:rPr>
          <w:rFonts w:eastAsia="Times New Roman"/>
          <w:color w:val="auto"/>
          <w:lang w:eastAsia="en-GB"/>
        </w:rPr>
        <w:t>, for the AF session.</w:t>
      </w:r>
    </w:p>
    <w:p w14:paraId="1236C73D"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7:</w:t>
      </w:r>
      <w:r w:rsidRPr="00E46192">
        <w:rPr>
          <w:rFonts w:eastAsia="Times New Roman"/>
          <w:color w:val="auto"/>
          <w:lang w:eastAsia="en-GB"/>
        </w:rP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E46192">
        <w:rPr>
          <w:rFonts w:eastAsia="Times New Roman"/>
          <w:color w:val="auto"/>
          <w:lang w:eastAsia="en-GB"/>
        </w:rPr>
        <w:t>at this point in time</w:t>
      </w:r>
      <w:proofErr w:type="gramEnd"/>
      <w:r w:rsidRPr="00E46192">
        <w:rPr>
          <w:rFonts w:eastAsia="Times New Roman"/>
          <w:color w:val="auto"/>
          <w:lang w:eastAsia="en-GB"/>
        </w:rPr>
        <w:t>, within that range. The uniqueness of the service identifier in the SMF ensures a separate accounting/credit management while the AF record information identifies the instance of the service.</w:t>
      </w:r>
    </w:p>
    <w:p w14:paraId="5A863A9D"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Gate</w:t>
      </w:r>
      <w:r w:rsidRPr="00E46192">
        <w:rPr>
          <w:rFonts w:eastAsia="Times New Roman"/>
          <w:color w:val="auto"/>
          <w:lang w:eastAsia="en-GB"/>
        </w:rPr>
        <w:t xml:space="preserve"> indicates whether the SMF shall instruct the UPF to let a packet identified by the PCC rule pass through (gate is open) to discard the packet (gate is closed).</w:t>
      </w:r>
    </w:p>
    <w:p w14:paraId="6A836F80"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8:</w:t>
      </w:r>
      <w:r w:rsidRPr="00E46192">
        <w:rPr>
          <w:rFonts w:eastAsia="Times New Roman"/>
          <w:color w:val="auto"/>
          <w:lang w:eastAsia="en-GB"/>
        </w:rPr>
        <w:tab/>
        <w:t>A packet, matching a PCC Rule with an open gate, may be discarded due to credit management reasons.</w:t>
      </w:r>
    </w:p>
    <w:p w14:paraId="4F5972DE"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5G QoS Identifier</w:t>
      </w:r>
      <w:r w:rsidRPr="00E46192">
        <w:rPr>
          <w:rFonts w:eastAsia="Times New Roman"/>
          <w:color w:val="auto"/>
          <w:lang w:eastAsia="en-GB"/>
        </w:rPr>
        <w:t>, 5QI, represents the QoS parameters for the service data flow. The 5G QoS identifier is scalar and accommodates the need for differentiating QoS in both 3GPP and non-3GPP access type.</w:t>
      </w:r>
    </w:p>
    <w:p w14:paraId="359881AC"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bitrates indicate the authorized bitrates at the IP packet level of the SDF, i.e. the bitrates of the IP packets before any access specific compression or encapsulation.</w:t>
      </w:r>
    </w:p>
    <w:p w14:paraId="36B360DA"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UL maximum-bitrate</w:t>
      </w:r>
      <w:r w:rsidRPr="00E46192">
        <w:rPr>
          <w:rFonts w:eastAsia="Times New Roman"/>
          <w:color w:val="auto"/>
          <w:lang w:eastAsia="en-GB"/>
        </w:rPr>
        <w:t xml:space="preserve"> indicates the authorized maximum bitrate for the uplink component of the service data flow.</w:t>
      </w:r>
    </w:p>
    <w:p w14:paraId="1A975BF8"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DL maximum-bitrate</w:t>
      </w:r>
      <w:r w:rsidRPr="00E46192">
        <w:rPr>
          <w:rFonts w:eastAsia="Times New Roman"/>
          <w:color w:val="auto"/>
          <w:lang w:eastAsia="en-GB"/>
        </w:rPr>
        <w:t xml:space="preserve"> indicates the authorized maximum bitrate for the downlink component of the service data flow.</w:t>
      </w:r>
    </w:p>
    <w:p w14:paraId="3BB00B9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UL </w:t>
      </w:r>
      <w:proofErr w:type="gramStart"/>
      <w:r w:rsidRPr="00E46192">
        <w:rPr>
          <w:rFonts w:eastAsia="Times New Roman"/>
          <w:i/>
          <w:color w:val="auto"/>
          <w:lang w:eastAsia="en-GB"/>
        </w:rPr>
        <w:t>guaranteed-bitrate</w:t>
      </w:r>
      <w:proofErr w:type="gramEnd"/>
      <w:r w:rsidRPr="00E46192">
        <w:rPr>
          <w:rFonts w:eastAsia="Times New Roman"/>
          <w:color w:val="auto"/>
          <w:lang w:eastAsia="en-GB"/>
        </w:rPr>
        <w:t xml:space="preserve"> indicates the authorized guaranteed bitrate for the uplink component of the service data flow.</w:t>
      </w:r>
    </w:p>
    <w:p w14:paraId="6BB9792B"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DL </w:t>
      </w:r>
      <w:proofErr w:type="gramStart"/>
      <w:r w:rsidRPr="00E46192">
        <w:rPr>
          <w:rFonts w:eastAsia="Times New Roman"/>
          <w:i/>
          <w:color w:val="auto"/>
          <w:lang w:eastAsia="en-GB"/>
        </w:rPr>
        <w:t>guaranteed-bitrate</w:t>
      </w:r>
      <w:proofErr w:type="gramEnd"/>
      <w:r w:rsidRPr="00E46192">
        <w:rPr>
          <w:rFonts w:eastAsia="Times New Roman"/>
          <w:color w:val="auto"/>
          <w:lang w:eastAsia="en-GB"/>
        </w:rPr>
        <w:t xml:space="preserve"> indicates the authorized guaranteed bitrate for the downlink component of the service data flow.</w:t>
      </w:r>
    </w:p>
    <w:p w14:paraId="456A543E"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'Maximum bitrate' is used for enforcement of the maximum bit rate that the SDF may consume, while the 'Guaranteed bitrate' is used by the SMF to determine resource allocation demands.</w:t>
      </w:r>
    </w:p>
    <w:p w14:paraId="1B2E9E79"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UL sharing indication</w:t>
      </w:r>
      <w:r w:rsidRPr="00E46192">
        <w:rPr>
          <w:rFonts w:eastAsia="Times New Roman"/>
          <w:color w:val="auto"/>
          <w:lang w:eastAsia="en-GB"/>
        </w:rPr>
        <w:t xml:space="preserve"> indicates that resource sharing in uplink direction for service data flows with the same value in their PCC rule shall be applied by the SMF as described in clause 6.2.2.4.</w:t>
      </w:r>
    </w:p>
    <w:p w14:paraId="66825A8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DL sharing indication</w:t>
      </w:r>
      <w:r w:rsidRPr="00E46192">
        <w:rPr>
          <w:rFonts w:eastAsia="Times New Roman"/>
          <w:color w:val="auto"/>
          <w:lang w:eastAsia="en-GB"/>
        </w:rPr>
        <w:t xml:space="preserve"> indicates that resource sharing in downlink direction for service data flows with the same value in their PCC rule shall be applied by the SMF as described in clause 6.2.2.4.</w:t>
      </w:r>
    </w:p>
    <w:p w14:paraId="31D7CD5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Allocation and Retention Priority</w:t>
      </w:r>
      <w:r w:rsidRPr="00E46192">
        <w:rPr>
          <w:rFonts w:eastAsia="Times New Roman"/>
          <w:color w:val="auto"/>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EECD2A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Priority Level</w:t>
      </w:r>
      <w:r w:rsidRPr="00E46192">
        <w:rPr>
          <w:rFonts w:eastAsia="Times New Roman"/>
          <w:color w:val="auto"/>
          <w:lang w:eastAsia="en-GB"/>
        </w:rPr>
        <w:t xml:space="preserve"> is signalled together with the 5QI to the (R)AN and UPF, only when a value different from the standardized value in the </w:t>
      </w:r>
      <w:r w:rsidRPr="00E46192">
        <w:rPr>
          <w:rFonts w:eastAsia="Times New Roman"/>
          <w:noProof/>
          <w:color w:val="auto"/>
          <w:lang w:eastAsia="en-GB"/>
        </w:rPr>
        <w:t>QoS</w:t>
      </w:r>
      <w:r w:rsidRPr="00E46192">
        <w:rPr>
          <w:rFonts w:eastAsia="Times New Roman"/>
          <w:color w:val="auto"/>
          <w:lang w:eastAsia="en-GB"/>
        </w:rPr>
        <w:t xml:space="preserve"> characteristics Table 5.7.4-1 in TS 23.501 [2] is required.</w:t>
      </w:r>
    </w:p>
    <w:p w14:paraId="1E5A20EB"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Averaging Window</w:t>
      </w:r>
      <w:r w:rsidRPr="00E46192">
        <w:rPr>
          <w:rFonts w:eastAsia="Times New Roman"/>
          <w:color w:val="auto"/>
          <w:lang w:eastAsia="en-GB"/>
        </w:rPr>
        <w:t xml:space="preserve"> is signalled together with the 5QI to the (R)AN and UPF, only when a value different from the standardized value in the </w:t>
      </w:r>
      <w:r w:rsidRPr="00E46192">
        <w:rPr>
          <w:rFonts w:eastAsia="Times New Roman"/>
          <w:noProof/>
          <w:color w:val="auto"/>
          <w:lang w:eastAsia="en-GB"/>
        </w:rPr>
        <w:t>QoS</w:t>
      </w:r>
      <w:r w:rsidRPr="00E46192">
        <w:rPr>
          <w:rFonts w:eastAsia="Times New Roman"/>
          <w:color w:val="auto"/>
          <w:lang w:eastAsia="en-GB"/>
        </w:rPr>
        <w:t xml:space="preserve"> characteristics Table 5.7.4-1 in TS 23.501 [2] is required.</w:t>
      </w:r>
    </w:p>
    <w:p w14:paraId="02AD9F75"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Maximum Data Burst Volume</w:t>
      </w:r>
      <w:r w:rsidRPr="00E46192">
        <w:rPr>
          <w:rFonts w:eastAsia="Times New Roman"/>
          <w:color w:val="auto"/>
          <w:lang w:eastAsia="en-GB"/>
        </w:rPr>
        <w:t xml:space="preserve">, MDBV, is signalled together with the 5QI to the (R)AN, only when a value different from the standardized value in the </w:t>
      </w:r>
      <w:r w:rsidRPr="00E46192">
        <w:rPr>
          <w:rFonts w:eastAsia="Times New Roman"/>
          <w:noProof/>
          <w:color w:val="auto"/>
          <w:lang w:eastAsia="en-GB"/>
        </w:rPr>
        <w:t>QoS</w:t>
      </w:r>
      <w:r w:rsidRPr="00E46192">
        <w:rPr>
          <w:rFonts w:eastAsia="Times New Roman"/>
          <w:color w:val="auto"/>
          <w:lang w:eastAsia="en-GB"/>
        </w:rPr>
        <w:t xml:space="preserve"> characteristics Table 5.7.4-1 in TS 23.501 [2] is required.</w:t>
      </w:r>
    </w:p>
    <w:p w14:paraId="59CAF4F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Bind to QoS Flow associated with the default QoS rule</w:t>
      </w:r>
      <w:r w:rsidRPr="00E46192">
        <w:rPr>
          <w:rFonts w:eastAsia="Times New Roman"/>
          <w:color w:val="auto"/>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5A23863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Bind to QoS Flow associated with the default QoS rule and apply PCC rule parameters</w:t>
      </w:r>
      <w:r w:rsidRPr="00E46192">
        <w:rPr>
          <w:rFonts w:eastAsia="Times New Roman"/>
          <w:color w:val="auto"/>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FDFB89B"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9:</w:t>
      </w:r>
      <w:r w:rsidRPr="00E46192">
        <w:rPr>
          <w:rFonts w:eastAsia="Times New Roman"/>
          <w:color w:val="auto"/>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4B9CBA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QoS Notification Control, </w:t>
      </w:r>
      <w:r w:rsidRPr="00E46192">
        <w:rPr>
          <w:rFonts w:eastAsia="Times New Roman"/>
          <w:color w:val="auto"/>
          <w:lang w:eastAsia="en-GB"/>
        </w:rPr>
        <w:t>QNC</w:t>
      </w:r>
      <w:r w:rsidRPr="00E46192">
        <w:rPr>
          <w:rFonts w:eastAsia="Times New Roman"/>
          <w:i/>
          <w:color w:val="auto"/>
          <w:lang w:eastAsia="en-GB"/>
        </w:rPr>
        <w:t>,</w:t>
      </w:r>
      <w:r w:rsidRPr="00E46192">
        <w:rPr>
          <w:rFonts w:eastAsia="Times New Roman"/>
          <w:color w:val="auto"/>
          <w:lang w:eastAsia="en-GB"/>
        </w:rPr>
        <w:t xml:space="preserve"> indicates whether notifications are requested from the access network (i.e. 3GPP RAN) </w:t>
      </w:r>
      <w:r w:rsidRPr="00E46192">
        <w:rPr>
          <w:rFonts w:eastAsia="Times New Roman"/>
          <w:color w:val="auto"/>
          <w:lang w:eastAsia="zh-CN"/>
        </w:rPr>
        <w:t>when</w:t>
      </w:r>
      <w:r w:rsidRPr="00E46192">
        <w:rPr>
          <w:rFonts w:eastAsia="Times New Roman"/>
          <w:color w:val="auto"/>
          <w:lang w:eastAsia="en-GB"/>
        </w:rPr>
        <w:t xml:space="preserve"> the </w:t>
      </w:r>
      <w:r w:rsidRPr="00E46192">
        <w:rPr>
          <w:rFonts w:eastAsia="Times New Roman"/>
          <w:color w:val="auto"/>
          <w:lang w:eastAsia="zh-CN"/>
        </w:rPr>
        <w:t>GFBR</w:t>
      </w:r>
      <w:r w:rsidRPr="00E46192">
        <w:rPr>
          <w:rFonts w:eastAsia="Times New Roman"/>
          <w:color w:val="auto"/>
          <w:lang w:eastAsia="en-GB"/>
        </w:rPr>
        <w:t xml:space="preserve"> can no longer (or can again) be guaranteed for a QoS Flow during the lifetime of the QoS Flow. If it is set and the GFBR can no longer</w:t>
      </w:r>
      <w:r w:rsidRPr="00E46192" w:rsidDel="000B700E">
        <w:rPr>
          <w:rFonts w:eastAsia="Times New Roman"/>
          <w:color w:val="auto"/>
          <w:lang w:eastAsia="en-GB"/>
        </w:rPr>
        <w:t xml:space="preserve"> </w:t>
      </w:r>
      <w:r w:rsidRPr="00E46192">
        <w:rPr>
          <w:rFonts w:eastAsia="Times New Roman"/>
          <w:color w:val="auto"/>
          <w:lang w:eastAsia="en-GB"/>
        </w:rPr>
        <w:t>(or can again) be guaranteed, the access network (i.e. 3GPP RAN) sends a notification towards the SMF, which then notifies the PCF.</w:t>
      </w:r>
    </w:p>
    <w:p w14:paraId="46C5B79B" w14:textId="77777777" w:rsidR="00E46192" w:rsidRPr="00E46192" w:rsidRDefault="00E46192" w:rsidP="00E46192">
      <w:pPr>
        <w:rPr>
          <w:rFonts w:eastAsia="Times New Roman"/>
          <w:color w:val="auto"/>
          <w:lang w:eastAsia="en-GB"/>
        </w:rPr>
      </w:pPr>
      <w:r w:rsidRPr="00E46192">
        <w:rPr>
          <w:rFonts w:eastAsia="SimSun"/>
          <w:color w:val="auto"/>
          <w:szCs w:val="18"/>
          <w:lang w:eastAsia="zh-CN"/>
        </w:rPr>
        <w:t xml:space="preserve">The </w:t>
      </w:r>
      <w:proofErr w:type="gramStart"/>
      <w:r w:rsidRPr="00E46192">
        <w:rPr>
          <w:rFonts w:eastAsia="Times New Roman"/>
          <w:i/>
          <w:color w:val="auto"/>
          <w:lang w:eastAsia="en-GB"/>
        </w:rPr>
        <w:t>Disable</w:t>
      </w:r>
      <w:proofErr w:type="gramEnd"/>
      <w:r w:rsidRPr="00E46192">
        <w:rPr>
          <w:rFonts w:eastAsia="Times New Roman"/>
          <w:i/>
          <w:color w:val="auto"/>
          <w:lang w:eastAsia="en-GB"/>
        </w:rPr>
        <w:t xml:space="preserve"> UE notifications at changes related to Alternative QoS Profiles</w:t>
      </w:r>
      <w:r w:rsidRPr="00E46192" w:rsidDel="002950D1">
        <w:rPr>
          <w:rFonts w:eastAsia="Times New Roman"/>
          <w:i/>
          <w:color w:val="auto"/>
          <w:lang w:eastAsia="en-GB"/>
        </w:rPr>
        <w:t xml:space="preserve"> </w:t>
      </w:r>
      <w:r w:rsidRPr="00E46192">
        <w:rPr>
          <w:rFonts w:eastAsia="Times New Roman"/>
          <w:iCs/>
          <w:color w:val="auto"/>
          <w:lang w:eastAsia="en-GB"/>
        </w:rPr>
        <w:t xml:space="preserve">parameter indicates to </w:t>
      </w:r>
      <w:r w:rsidRPr="00E46192">
        <w:rPr>
          <w:rFonts w:eastAsia="SimSun"/>
          <w:color w:val="auto"/>
          <w:lang w:eastAsia="zh-CN"/>
        </w:rPr>
        <w:t xml:space="preserve">disable QoS Flow parameters signalling to </w:t>
      </w:r>
      <w:r w:rsidRPr="00E46192">
        <w:rPr>
          <w:rFonts w:eastAsia="Times New Roman"/>
          <w:iCs/>
          <w:color w:val="auto"/>
          <w:lang w:eastAsia="en-GB"/>
        </w:rPr>
        <w:t>the UE when the SMF is notified by the NG-RAN of changes in the fulfilled QoS situation. The fulfilled situation is either the QoS profile or an Alternative QoS Profile.</w:t>
      </w:r>
    </w:p>
    <w:p w14:paraId="2A21802A" w14:textId="77777777" w:rsidR="00E46192" w:rsidRPr="00E46192" w:rsidRDefault="00E46192" w:rsidP="00E46192">
      <w:pPr>
        <w:rPr>
          <w:rFonts w:eastAsia="Times New Roman"/>
          <w:color w:val="auto"/>
          <w:lang w:eastAsia="zh-CN"/>
        </w:rPr>
      </w:pPr>
      <w:r w:rsidRPr="00E46192">
        <w:rPr>
          <w:rFonts w:eastAsia="Times New Roman"/>
          <w:color w:val="auto"/>
          <w:lang w:eastAsia="zh-CN"/>
        </w:rPr>
        <w:t xml:space="preserve">The </w:t>
      </w:r>
      <w:r w:rsidRPr="00E46192">
        <w:rPr>
          <w:rFonts w:eastAsia="Times New Roman"/>
          <w:i/>
          <w:iCs/>
          <w:color w:val="auto"/>
          <w:lang w:eastAsia="zh-CN"/>
        </w:rPr>
        <w:t>Precedence for TFT packet filter allocation</w:t>
      </w:r>
      <w:r w:rsidRPr="00E46192">
        <w:rPr>
          <w:rFonts w:eastAsia="Times New Roman"/>
          <w:color w:val="auto"/>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23E9057" w14:textId="77777777" w:rsidR="00E46192" w:rsidRPr="00E46192" w:rsidRDefault="00E46192" w:rsidP="00E46192">
      <w:pPr>
        <w:keepLines/>
        <w:ind w:left="1135" w:hanging="851"/>
        <w:rPr>
          <w:rFonts w:eastAsia="Times New Roman"/>
          <w:color w:val="auto"/>
          <w:lang w:eastAsia="zh-CN"/>
        </w:rPr>
      </w:pPr>
      <w:r w:rsidRPr="00E46192">
        <w:rPr>
          <w:rFonts w:eastAsia="Times New Roman"/>
          <w:color w:val="auto"/>
          <w:lang w:eastAsia="zh-CN"/>
        </w:rPr>
        <w:t>NOTE 10:</w:t>
      </w:r>
      <w:r w:rsidRPr="00E46192">
        <w:rPr>
          <w:rFonts w:eastAsia="Times New Roman"/>
          <w:color w:val="auto"/>
          <w:lang w:eastAsia="zh-CN"/>
        </w:rPr>
        <w:tab/>
        <w:t>PCF can know that interworking with EPS with N26 is supported based on DNN and S-NSSAI of the PDU Session.</w:t>
      </w:r>
    </w:p>
    <w:p w14:paraId="15344594" w14:textId="77777777" w:rsidR="00E46192" w:rsidRPr="00E46192" w:rsidRDefault="00E46192" w:rsidP="00E46192">
      <w:pPr>
        <w:rPr>
          <w:rFonts w:eastAsia="Times New Roman"/>
          <w:color w:val="auto"/>
          <w:lang w:eastAsia="zh-CN"/>
        </w:rPr>
      </w:pPr>
      <w:r w:rsidRPr="00E46192">
        <w:rPr>
          <w:rFonts w:eastAsia="Times New Roman"/>
          <w:color w:val="auto"/>
          <w:lang w:eastAsia="zh-CN"/>
        </w:rPr>
        <w:t xml:space="preserve">The </w:t>
      </w:r>
      <w:r w:rsidRPr="00E46192">
        <w:rPr>
          <w:rFonts w:eastAsia="Times New Roman"/>
          <w:i/>
          <w:color w:val="auto"/>
          <w:lang w:eastAsia="zh-CN"/>
        </w:rPr>
        <w:t xml:space="preserve">Reflective QoS Control </w:t>
      </w:r>
      <w:r w:rsidRPr="00E46192">
        <w:rPr>
          <w:rFonts w:eastAsia="Times New Roman"/>
          <w:color w:val="auto"/>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E46192">
        <w:rPr>
          <w:rFonts w:eastAsia="Times New Roman"/>
          <w:color w:val="auto"/>
          <w:lang w:eastAsia="en-GB"/>
        </w:rPr>
        <w:t>of</w:t>
      </w:r>
      <w:r w:rsidRPr="00E46192">
        <w:rPr>
          <w:rFonts w:eastAsia="Times New Roman"/>
          <w:color w:val="auto"/>
          <w:lang w:eastAsia="zh-CN"/>
        </w:rPr>
        <w:t xml:space="preserve"> TS 23.501 [2].</w:t>
      </w:r>
    </w:p>
    <w:p w14:paraId="115E0ECB" w14:textId="77777777" w:rsidR="00E46192" w:rsidRPr="00E46192" w:rsidRDefault="00E46192" w:rsidP="00E46192">
      <w:pPr>
        <w:keepLines/>
        <w:ind w:left="1135" w:hanging="851"/>
        <w:rPr>
          <w:rFonts w:eastAsia="SimSun"/>
          <w:color w:val="auto"/>
          <w:lang w:eastAsia="en-GB"/>
        </w:rPr>
      </w:pPr>
      <w:r w:rsidRPr="00E46192">
        <w:rPr>
          <w:rFonts w:eastAsia="SimSun"/>
          <w:color w:val="auto"/>
          <w:lang w:eastAsia="en-GB"/>
        </w:rPr>
        <w:t>NOTE 11:</w:t>
      </w:r>
      <w:r w:rsidRPr="00E46192">
        <w:rPr>
          <w:rFonts w:eastAsia="SimSun"/>
          <w:color w:val="auto"/>
          <w:lang w:eastAsia="en-GB"/>
        </w:rPr>
        <w:tab/>
        <w:t xml:space="preserve">While the UE applies a standardized value for the precedence of all UE derived QoS rules, PCC rules require different precedence values and PCF configuration </w:t>
      </w:r>
      <w:proofErr w:type="gramStart"/>
      <w:r w:rsidRPr="00E46192">
        <w:rPr>
          <w:rFonts w:eastAsia="SimSun"/>
          <w:color w:val="auto"/>
          <w:lang w:eastAsia="en-GB"/>
        </w:rPr>
        <w:t>has to</w:t>
      </w:r>
      <w:proofErr w:type="gramEnd"/>
      <w:r w:rsidRPr="00E46192">
        <w:rPr>
          <w:rFonts w:eastAsia="SimSun"/>
          <w:color w:val="auto"/>
          <w:lang w:eastAsia="en-GB"/>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06A34EC" w14:textId="77777777" w:rsidR="00E46192" w:rsidRPr="00E46192" w:rsidRDefault="00E46192" w:rsidP="00E46192">
      <w:pPr>
        <w:rPr>
          <w:rFonts w:eastAsia="Times New Roman"/>
          <w:color w:val="auto"/>
          <w:lang w:eastAsia="zh-CN"/>
        </w:rPr>
      </w:pPr>
      <w:r w:rsidRPr="00E46192">
        <w:rPr>
          <w:rFonts w:eastAsia="Times New Roman"/>
          <w:color w:val="auto"/>
          <w:lang w:eastAsia="zh-CN"/>
        </w:rPr>
        <w:t xml:space="preserve">The </w:t>
      </w:r>
      <w:r w:rsidRPr="00E46192">
        <w:rPr>
          <w:rFonts w:eastAsia="Times New Roman"/>
          <w:i/>
          <w:color w:val="auto"/>
          <w:lang w:eastAsia="zh-CN"/>
        </w:rPr>
        <w:t>Reflective QoS Control</w:t>
      </w:r>
      <w:r w:rsidRPr="00E46192">
        <w:rPr>
          <w:rFonts w:eastAsia="Times New Roman"/>
          <w:color w:val="auto"/>
          <w:lang w:eastAsia="zh-CN"/>
        </w:rPr>
        <w:t xml:space="preserve"> parameter shall not be used for the PCC rule with match-all SDF template. If PCC rule with match-all SDF template is present, the </w:t>
      </w:r>
      <w:r w:rsidRPr="00E46192">
        <w:rPr>
          <w:rFonts w:eastAsia="Times New Roman"/>
          <w:i/>
          <w:color w:val="auto"/>
          <w:lang w:eastAsia="zh-CN"/>
        </w:rPr>
        <w:t>Reflective QoS Control</w:t>
      </w:r>
      <w:r w:rsidRPr="00E46192">
        <w:rPr>
          <w:rFonts w:eastAsia="Times New Roman"/>
          <w:color w:val="auto"/>
          <w:lang w:eastAsia="zh-CN"/>
        </w:rPr>
        <w:t xml:space="preserve"> parameter shall not be used for PCC rules which contain the </w:t>
      </w:r>
      <w:r w:rsidRPr="00E46192">
        <w:rPr>
          <w:rFonts w:eastAsia="Times New Roman"/>
          <w:i/>
          <w:color w:val="auto"/>
          <w:lang w:eastAsia="zh-CN"/>
        </w:rPr>
        <w:t>Bind to QoS Flow of the default QoS rule</w:t>
      </w:r>
      <w:r w:rsidRPr="00E46192">
        <w:rPr>
          <w:rFonts w:eastAsia="Times New Roman"/>
          <w:color w:val="auto"/>
          <w:lang w:eastAsia="zh-CN"/>
        </w:rPr>
        <w:t xml:space="preserve"> parameter, either.</w:t>
      </w:r>
    </w:p>
    <w:p w14:paraId="657D1DE5"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N6-LAN Traffic Steering Enforcement Control</w:t>
      </w:r>
      <w:r w:rsidRPr="00E46192">
        <w:rPr>
          <w:rFonts w:eastAsia="Times New Roman"/>
          <w:color w:val="auto"/>
          <w:lang w:eastAsia="en-GB"/>
        </w:rPr>
        <w:t xml:space="preserve"> contains </w:t>
      </w:r>
      <w:r w:rsidRPr="00E46192">
        <w:rPr>
          <w:rFonts w:eastAsia="Times New Roman"/>
          <w:i/>
          <w:color w:val="auto"/>
          <w:lang w:eastAsia="en-GB"/>
        </w:rPr>
        <w:t>Traffic steering policy identifier(s)</w:t>
      </w:r>
      <w:r w:rsidRPr="00E46192">
        <w:rPr>
          <w:rFonts w:eastAsia="Times New Roman"/>
          <w:color w:val="auto"/>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0BF0C412"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ECN marking for L4S</w:t>
      </w:r>
      <w:r w:rsidRPr="00E46192">
        <w:rPr>
          <w:rFonts w:eastAsia="Times New Roman"/>
          <w:color w:val="auto"/>
          <w:lang w:eastAsia="en-GB"/>
        </w:rPr>
        <w:t xml:space="preserve"> indicates that the service data flow supports ECN marking for L4S to be performed.</w:t>
      </w:r>
    </w:p>
    <w:p w14:paraId="2E9E8CE7"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access network information reporting parameters (</w:t>
      </w:r>
      <w:r w:rsidRPr="00E46192">
        <w:rPr>
          <w:rFonts w:eastAsia="Times New Roman"/>
          <w:i/>
          <w:color w:val="auto"/>
          <w:lang w:eastAsia="en-GB"/>
        </w:rPr>
        <w:t>User Location Report</w:t>
      </w:r>
      <w:r w:rsidRPr="00E46192">
        <w:rPr>
          <w:rFonts w:eastAsia="Times New Roman"/>
          <w:color w:val="auto"/>
          <w:lang w:eastAsia="en-GB"/>
        </w:rPr>
        <w:t xml:space="preserve">, </w:t>
      </w:r>
      <w:r w:rsidRPr="00E46192">
        <w:rPr>
          <w:rFonts w:eastAsia="Times New Roman"/>
          <w:i/>
          <w:color w:val="auto"/>
          <w:lang w:eastAsia="en-GB"/>
        </w:rPr>
        <w:t xml:space="preserve">UE </w:t>
      </w:r>
      <w:proofErr w:type="spellStart"/>
      <w:r w:rsidRPr="00E46192">
        <w:rPr>
          <w:rFonts w:eastAsia="Times New Roman"/>
          <w:i/>
          <w:color w:val="auto"/>
          <w:lang w:eastAsia="en-GB"/>
        </w:rPr>
        <w:t>Timezone</w:t>
      </w:r>
      <w:proofErr w:type="spellEnd"/>
      <w:r w:rsidRPr="00E46192">
        <w:rPr>
          <w:rFonts w:eastAsia="Times New Roman"/>
          <w:i/>
          <w:color w:val="auto"/>
          <w:lang w:eastAsia="en-GB"/>
        </w:rPr>
        <w:t xml:space="preserve"> Report</w:t>
      </w:r>
      <w:r w:rsidRPr="00E46192">
        <w:rPr>
          <w:rFonts w:eastAsia="Times New Roman"/>
          <w:color w:val="auto"/>
          <w:lang w:eastAsia="en-GB"/>
        </w:rPr>
        <w:t>) instruct the SMF about what information to forward to the PCF when the PCC rule is activated, modified or removed.</w:t>
      </w:r>
    </w:p>
    <w:p w14:paraId="139053C3"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Monitoring Key</w:t>
      </w:r>
      <w:r w:rsidRPr="00E46192">
        <w:rPr>
          <w:rFonts w:eastAsia="Times New Roman"/>
          <w:color w:val="auto"/>
          <w:lang w:eastAsia="en-GB"/>
        </w:rPr>
        <w:t xml:space="preserve"> is the reference to a resource threshold. Any number of PCC Rules may share the same monitoring key value. The monitoring key values for each service shall be operator configurable.</w:t>
      </w:r>
    </w:p>
    <w:p w14:paraId="22EA0B2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Indication of exclusion from session level monitoring</w:t>
      </w:r>
      <w:r w:rsidRPr="00E46192">
        <w:rPr>
          <w:rFonts w:eastAsia="Times New Roman"/>
          <w:color w:val="auto"/>
          <w:lang w:eastAsia="en-GB"/>
        </w:rPr>
        <w:t xml:space="preserve"> indicates that the service data flow shall be excluded from the PDU Session usage monitoring.</w:t>
      </w:r>
    </w:p>
    <w:p w14:paraId="07BA8A33" w14:textId="77777777" w:rsidR="00E46192" w:rsidRPr="00E46192" w:rsidRDefault="00E46192" w:rsidP="00E46192">
      <w:pPr>
        <w:rPr>
          <w:rFonts w:eastAsia="Times New Roman"/>
          <w:i/>
          <w:color w:val="auto"/>
          <w:lang w:eastAsia="en-GB"/>
        </w:rPr>
      </w:pPr>
      <w:r w:rsidRPr="00E46192">
        <w:rPr>
          <w:rFonts w:eastAsia="Times New Roman"/>
          <w:color w:val="auto"/>
          <w:lang w:eastAsia="en-GB"/>
        </w:rPr>
        <w:t>The</w:t>
      </w:r>
      <w:r w:rsidRPr="00E46192">
        <w:rPr>
          <w:rFonts w:eastAsia="Times New Roman"/>
          <w:i/>
          <w:color w:val="auto"/>
          <w:lang w:eastAsia="en-GB"/>
        </w:rPr>
        <w:t xml:space="preserve"> Application Function influence on traffic routing Enforcement Control</w:t>
      </w:r>
      <w:r w:rsidRPr="00E46192">
        <w:rPr>
          <w:rFonts w:eastAsia="Times New Roman"/>
          <w:color w:val="auto"/>
          <w:lang w:eastAsia="en-GB"/>
        </w:rPr>
        <w:t xml:space="preserve"> may contain:</w:t>
      </w:r>
    </w:p>
    <w:p w14:paraId="1A546E64" w14:textId="77777777" w:rsidR="00E46192" w:rsidRPr="00E46192" w:rsidRDefault="00E46192" w:rsidP="00E46192">
      <w:pPr>
        <w:ind w:left="568" w:hanging="284"/>
        <w:rPr>
          <w:rFonts w:eastAsia="Times New Roman"/>
          <w:color w:val="auto"/>
          <w:lang w:eastAsia="en-GB"/>
        </w:rPr>
      </w:pPr>
      <w:r w:rsidRPr="00E46192">
        <w:rPr>
          <w:rFonts w:eastAsia="Times New Roman"/>
          <w:i/>
          <w:color w:val="auto"/>
          <w:lang w:eastAsia="en-GB"/>
        </w:rPr>
        <w:t>-</w:t>
      </w:r>
      <w:r w:rsidRPr="00E46192">
        <w:rPr>
          <w:rFonts w:eastAsia="Times New Roman"/>
          <w:i/>
          <w:color w:val="auto"/>
          <w:lang w:eastAsia="en-GB"/>
        </w:rPr>
        <w:tab/>
        <w:t>a set of DNAI(s)</w:t>
      </w:r>
      <w:r w:rsidRPr="00E46192">
        <w:rPr>
          <w:rFonts w:eastAsia="Times New Roman"/>
          <w:color w:val="auto"/>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41BBE15"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an </w:t>
      </w:r>
      <w:r w:rsidRPr="00E46192">
        <w:rPr>
          <w:rFonts w:eastAsia="Times New Roman"/>
          <w:i/>
          <w:color w:val="auto"/>
          <w:lang w:eastAsia="en-GB"/>
        </w:rPr>
        <w:t>AF subscription to UP change events</w:t>
      </w:r>
      <w:r w:rsidRPr="00E46192">
        <w:rPr>
          <w:rFonts w:eastAsia="Times New Roman"/>
          <w:color w:val="auto"/>
          <w:lang w:eastAsia="en-GB"/>
        </w:rPr>
        <w:t xml:space="preserve"> parameter which contains subscription information defined in clause 5.2.8.3 of TS 23.502 [3] for the change </w:t>
      </w:r>
      <w:r w:rsidRPr="00E46192">
        <w:rPr>
          <w:rFonts w:eastAsia="DengXian"/>
          <w:color w:val="auto"/>
          <w:lang w:eastAsia="en-GB"/>
        </w:rPr>
        <w:t>of UP path Event Id</w:t>
      </w:r>
      <w:r w:rsidRPr="00E46192">
        <w:rPr>
          <w:rFonts w:eastAsia="Times New Roman"/>
          <w:color w:val="auto"/>
          <w:lang w:eastAsia="en-GB"/>
        </w:rPr>
        <w:t xml:space="preserve"> i.e. an </w:t>
      </w:r>
      <w:r w:rsidRPr="00E46192">
        <w:rPr>
          <w:rFonts w:eastAsia="Times New Roman"/>
          <w:i/>
          <w:color w:val="auto"/>
          <w:lang w:eastAsia="en-GB"/>
        </w:rPr>
        <w:t>Indication of early and/or late notification</w:t>
      </w:r>
      <w:r w:rsidRPr="00E46192">
        <w:rPr>
          <w:rFonts w:eastAsia="Times New Roman"/>
          <w:color w:val="auto"/>
          <w:lang w:eastAsia="en-GB"/>
        </w:rPr>
        <w:t xml:space="preserve"> and information on where to provide the corresponding notifications (Notification Target Address + Notification Correlation ID as specified in</w:t>
      </w:r>
      <w:r w:rsidRPr="00E46192">
        <w:rPr>
          <w:rFonts w:eastAsia="Times New Roman"/>
          <w:color w:val="auto"/>
          <w:lang w:eastAsia="zh-CN"/>
        </w:rPr>
        <w:t xml:space="preserve"> clause 4.15.1</w:t>
      </w:r>
      <w:r w:rsidRPr="00E46192">
        <w:rPr>
          <w:rFonts w:eastAsia="Times New Roman"/>
          <w:color w:val="auto"/>
          <w:lang w:eastAsia="en-GB"/>
        </w:rPr>
        <w:t xml:space="preserve"> of</w:t>
      </w:r>
      <w:r w:rsidRPr="00E46192">
        <w:rPr>
          <w:rFonts w:eastAsia="Times New Roman"/>
          <w:color w:val="auto"/>
          <w:lang w:eastAsia="zh-CN"/>
        </w:rPr>
        <w:t xml:space="preserve"> TS 23.502 [3]</w:t>
      </w:r>
      <w:r w:rsidRPr="00E46192">
        <w:rPr>
          <w:rFonts w:eastAsia="Times New Roman"/>
          <w:color w:val="auto"/>
          <w:lang w:eastAsia="en-GB"/>
        </w:rPr>
        <w:t>) and optionally an indication of "AF acknowledgment to be expected" to the corresponding notifications as described in clause 5.6.7 of TS 23.501 [2].</w:t>
      </w:r>
    </w:p>
    <w:p w14:paraId="2757F79C"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 </w:t>
      </w:r>
      <w:r w:rsidRPr="00E46192">
        <w:rPr>
          <w:rFonts w:eastAsia="Times New Roman"/>
          <w:i/>
          <w:iCs/>
          <w:color w:val="auto"/>
          <w:lang w:eastAsia="en-GB"/>
        </w:rPr>
        <w:t>user plane latency requirements</w:t>
      </w:r>
      <w:r w:rsidRPr="00E46192">
        <w:rPr>
          <w:rFonts w:eastAsia="Times New Roman"/>
          <w:color w:val="auto"/>
          <w:lang w:eastAsia="en-GB"/>
        </w:rPr>
        <w:t xml:space="preserve"> parameter which contains AF requested information on the requirements for user plane latency defined in TS 23.548 [33].</w:t>
      </w:r>
    </w:p>
    <w:p w14:paraId="74C2D630"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an </w:t>
      </w:r>
      <w:r w:rsidRPr="00E46192">
        <w:rPr>
          <w:rFonts w:eastAsia="Times New Roman"/>
          <w:i/>
          <w:iCs/>
          <w:color w:val="auto"/>
          <w:lang w:eastAsia="en-GB"/>
        </w:rPr>
        <w:t>indication for Simultaneous Connectivity at Edge Relocation</w:t>
      </w:r>
      <w:r w:rsidRPr="00E46192">
        <w:rPr>
          <w:rFonts w:eastAsia="Times New Roman"/>
          <w:color w:val="auto"/>
          <w:lang w:eastAsia="en-GB"/>
        </w:rPr>
        <w:t xml:space="preserve">, which includes </w:t>
      </w:r>
      <w:r w:rsidRPr="00E46192">
        <w:rPr>
          <w:rFonts w:eastAsia="Times New Roman"/>
          <w:i/>
          <w:iCs/>
          <w:color w:val="auto"/>
          <w:lang w:eastAsia="en-GB"/>
        </w:rPr>
        <w:t>Keep existing PSA</w:t>
      </w:r>
      <w:r w:rsidRPr="00E46192">
        <w:rPr>
          <w:rFonts w:eastAsia="Times New Roman"/>
          <w:color w:val="auto"/>
          <w:lang w:eastAsia="en-GB"/>
        </w:rPr>
        <w:t xml:space="preserve"> indication to provide guidance to the network on whether to provide simultaneous connectivity over source and target PSA at edge relocation; also, optionally a related </w:t>
      </w:r>
      <w:r w:rsidRPr="00E46192">
        <w:rPr>
          <w:rFonts w:eastAsia="Times New Roman"/>
          <w:i/>
          <w:iCs/>
          <w:color w:val="auto"/>
          <w:lang w:eastAsia="en-GB"/>
        </w:rPr>
        <w:t>Keep existing PSA timer</w:t>
      </w:r>
      <w:r w:rsidRPr="00E46192">
        <w:rPr>
          <w:rFonts w:eastAsia="Times New Roman"/>
          <w:color w:val="auto"/>
          <w:lang w:eastAsia="en-GB"/>
        </w:rPr>
        <w:t xml:space="preserve"> that indicates the minimum time interval to be considered for inactivity for the traffic described before the connectivity over the source PSA may be removed, as defined in TS 23.548 [33].</w:t>
      </w:r>
    </w:p>
    <w:p w14:paraId="719FEA51"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an </w:t>
      </w:r>
      <w:r w:rsidRPr="00E46192">
        <w:rPr>
          <w:rFonts w:eastAsia="Times New Roman"/>
          <w:i/>
          <w:iCs/>
          <w:color w:val="auto"/>
          <w:lang w:eastAsia="en-GB"/>
        </w:rPr>
        <w:t>EAS Correlation indication</w:t>
      </w:r>
      <w:r w:rsidRPr="00E46192">
        <w:rPr>
          <w:rFonts w:eastAsia="Times New Roman"/>
          <w:color w:val="auto"/>
          <w:lang w:eastAsia="en-GB"/>
        </w:rPr>
        <w:t>, which indicates selecting a common EAS for a set of UEs identified by Traffic Correlation ID and accessing the application identified by Service data flow template or FQDN(s).</w:t>
      </w:r>
    </w:p>
    <w:p w14:paraId="1EED216F"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 </w:t>
      </w:r>
      <w:r w:rsidRPr="00E46192">
        <w:rPr>
          <w:rFonts w:eastAsia="Times New Roman"/>
          <w:i/>
          <w:iCs/>
          <w:color w:val="auto"/>
          <w:lang w:eastAsia="en-GB"/>
        </w:rPr>
        <w:t>Traffic Correlation ID</w:t>
      </w:r>
      <w:r w:rsidRPr="00E46192">
        <w:rPr>
          <w:rFonts w:eastAsia="Times New Roman"/>
          <w:color w:val="auto"/>
          <w:lang w:eastAsia="en-GB"/>
        </w:rPr>
        <w:t>, identifying a set of UEs accessing the application identified by the Service data flow template or FQDN(s). See more in clause 5.6.7 of TS 23.501 [2].</w:t>
      </w:r>
    </w:p>
    <w:p w14:paraId="0A286A7B"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 </w:t>
      </w:r>
      <w:r w:rsidRPr="00E46192">
        <w:rPr>
          <w:rFonts w:eastAsia="Times New Roman"/>
          <w:i/>
          <w:iCs/>
          <w:color w:val="auto"/>
          <w:lang w:eastAsia="en-GB"/>
        </w:rPr>
        <w:t>Common EAS IP address</w:t>
      </w:r>
      <w:r w:rsidRPr="00E46192">
        <w:rPr>
          <w:rFonts w:eastAsia="Times New Roman"/>
          <w:color w:val="auto"/>
          <w:lang w:eastAsia="en-GB"/>
        </w:rPr>
        <w:t>, IP address of the common EAS accessed by the UEs with the same Traffic Correlation ID, for the application identified by the Service data flow template.</w:t>
      </w:r>
    </w:p>
    <w:p w14:paraId="4B89AB47"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r>
      <w:r w:rsidRPr="00E46192">
        <w:rPr>
          <w:rFonts w:eastAsia="Times New Roman"/>
          <w:i/>
          <w:iCs/>
          <w:color w:val="auto"/>
          <w:lang w:eastAsia="en-GB"/>
        </w:rPr>
        <w:t>FQDN(s)</w:t>
      </w:r>
      <w:r w:rsidRPr="00E46192">
        <w:rPr>
          <w:rFonts w:eastAsia="Times New Roman"/>
          <w:color w:val="auto"/>
          <w:lang w:eastAsia="en-GB"/>
        </w:rPr>
        <w:t xml:space="preserve">, FQDN(s) for the application traffic identified by the Service data flow </w:t>
      </w:r>
      <w:proofErr w:type="gramStart"/>
      <w:r w:rsidRPr="00E46192">
        <w:rPr>
          <w:rFonts w:eastAsia="Times New Roman"/>
          <w:color w:val="auto"/>
          <w:lang w:eastAsia="en-GB"/>
        </w:rPr>
        <w:t>template, and</w:t>
      </w:r>
      <w:proofErr w:type="gramEnd"/>
      <w:r w:rsidRPr="00E46192">
        <w:rPr>
          <w:rFonts w:eastAsia="Times New Roman"/>
          <w:color w:val="auto"/>
          <w:lang w:eastAsia="en-GB"/>
        </w:rPr>
        <w:t xml:space="preserve"> used for influencing EASDF-based DNS query procedure as defined in TS 23.548 [33].</w:t>
      </w:r>
    </w:p>
    <w:p w14:paraId="7B7C9E47"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NEF Information, Notification Endpoint of the NEF responsible of the set of UEs associated with the Traffic correlation ID.</w:t>
      </w:r>
    </w:p>
    <w:p w14:paraId="76D101AD"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Traffic Steering Enforcement Control</w:t>
      </w:r>
      <w:r w:rsidRPr="00E46192">
        <w:rPr>
          <w:rFonts w:eastAsia="Times New Roman"/>
          <w:color w:val="auto"/>
          <w:lang w:eastAsia="en-GB"/>
        </w:rPr>
        <w:t xml:space="preserve"> may contain Indication of UE IP address preservation. The SMF takes this indication into account when determining whether to reselect PSA UPF, as specified in clause 5.6.7 of TS 23.501 [2].</w:t>
      </w:r>
    </w:p>
    <w:p w14:paraId="4B3A3BAA"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Redirect</w:t>
      </w:r>
      <w:r w:rsidRPr="00E46192">
        <w:rPr>
          <w:rFonts w:eastAsia="Times New Roman"/>
          <w:color w:val="auto"/>
          <w:lang w:eastAsia="en-GB"/>
        </w:rPr>
        <w:t xml:space="preserve"> indicates whether the uplink part of the service data flow should be redirected to a controlled address.</w:t>
      </w:r>
    </w:p>
    <w:p w14:paraId="140FBF4E"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Redirect Destination</w:t>
      </w:r>
      <w:r w:rsidRPr="00E46192">
        <w:rPr>
          <w:rFonts w:eastAsia="Times New Roman"/>
          <w:color w:val="auto"/>
          <w:lang w:eastAsia="en-GB"/>
        </w:rPr>
        <w:t xml:space="preserve"> indicates the target redirect address when </w:t>
      </w:r>
      <w:r w:rsidRPr="00E46192">
        <w:rPr>
          <w:rFonts w:eastAsia="Times New Roman"/>
          <w:i/>
          <w:color w:val="auto"/>
          <w:lang w:eastAsia="en-GB"/>
        </w:rPr>
        <w:t>Redirect</w:t>
      </w:r>
      <w:r w:rsidRPr="00E46192">
        <w:rPr>
          <w:rFonts w:eastAsia="Times New Roman"/>
          <w:color w:val="auto"/>
          <w:lang w:eastAsia="en-GB"/>
        </w:rPr>
        <w:t xml:space="preserve"> is enabled.</w:t>
      </w:r>
    </w:p>
    <w:p w14:paraId="3B2ABEF2"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UL Maximum Packet Loss Rate</w:t>
      </w:r>
      <w:r w:rsidRPr="00E46192">
        <w:rPr>
          <w:rFonts w:eastAsia="Times New Roman"/>
          <w:color w:val="auto"/>
          <w:lang w:eastAsia="en-GB"/>
        </w:rPr>
        <w:t xml:space="preserve"> indicates the maximum rate for lost packets that can be tolerated in the uplink direction.</w:t>
      </w:r>
    </w:p>
    <w:p w14:paraId="71EC18D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DL Maximum Packet Loss Rate</w:t>
      </w:r>
      <w:r w:rsidRPr="00E46192">
        <w:rPr>
          <w:rFonts w:eastAsia="Times New Roman"/>
          <w:color w:val="auto"/>
          <w:lang w:eastAsia="en-GB"/>
        </w:rPr>
        <w:t xml:space="preserve"> indicates the maximum rate for lost packets that can be tolerated in the downlink direction.</w:t>
      </w:r>
    </w:p>
    <w:p w14:paraId="0980C7AC"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Application descriptors</w:t>
      </w:r>
      <w:r w:rsidRPr="00E46192">
        <w:rPr>
          <w:rFonts w:eastAsia="Times New Roman"/>
          <w:color w:val="auto"/>
          <w:lang w:eastAsia="en-GB"/>
        </w:rPr>
        <w:t xml:space="preserve"> provides one or several instances of the </w:t>
      </w:r>
      <w:proofErr w:type="spellStart"/>
      <w:r w:rsidRPr="00E46192">
        <w:rPr>
          <w:rFonts w:eastAsia="Times New Roman"/>
          <w:color w:val="auto"/>
          <w:lang w:eastAsia="en-GB"/>
        </w:rPr>
        <w:t>OSId</w:t>
      </w:r>
      <w:proofErr w:type="spellEnd"/>
      <w:r w:rsidRPr="00E46192">
        <w:rPr>
          <w:rFonts w:eastAsia="Times New Roman"/>
          <w:color w:val="auto"/>
          <w:lang w:eastAsia="en-GB"/>
        </w:rPr>
        <w:t xml:space="preserve"> and </w:t>
      </w:r>
      <w:proofErr w:type="spellStart"/>
      <w:r w:rsidRPr="00E46192">
        <w:rPr>
          <w:rFonts w:eastAsia="Times New Roman"/>
          <w:color w:val="auto"/>
          <w:lang w:eastAsia="en-GB"/>
        </w:rPr>
        <w:t>OSAppId</w:t>
      </w:r>
      <w:proofErr w:type="spellEnd"/>
      <w:r w:rsidRPr="00E46192">
        <w:rPr>
          <w:rFonts w:eastAsia="Times New Roman"/>
          <w:color w:val="auto"/>
          <w:lang w:eastAsia="en-GB"/>
        </w:rPr>
        <w:t xml:space="preserve"> combination. It is used by the UE to identify the application traffic for which steering is required based on the Steering Functionality, the Steering Mode, the Steering Mode Indicator and the Threshold Values.</w:t>
      </w:r>
    </w:p>
    <w:p w14:paraId="2C78B86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Steering Functionality</w:t>
      </w:r>
      <w:r w:rsidRPr="00E46192">
        <w:rPr>
          <w:rFonts w:eastAsia="Times New Roman"/>
          <w:color w:val="auto"/>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2E45F8C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Steering Mode</w:t>
      </w:r>
      <w:r w:rsidRPr="00E46192">
        <w:rPr>
          <w:rFonts w:eastAsia="Times New Roman"/>
          <w:color w:val="auto"/>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4D65526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 xml:space="preserve">Steering Mode Indicator </w:t>
      </w:r>
      <w:r w:rsidRPr="00E46192">
        <w:rPr>
          <w:rFonts w:eastAsia="Times New Roman"/>
          <w:color w:val="auto"/>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E46192">
        <w:rPr>
          <w:rFonts w:eastAsia="Times New Roman"/>
          <w:i/>
          <w:iCs/>
          <w:color w:val="auto"/>
          <w:lang w:eastAsia="en-GB"/>
        </w:rPr>
        <w:t>Steering Mode Indicator</w:t>
      </w:r>
      <w:r w:rsidRPr="00E46192">
        <w:rPr>
          <w:rFonts w:eastAsia="Times New Roman"/>
          <w:color w:val="auto"/>
          <w:lang w:eastAsia="en-GB"/>
        </w:rPr>
        <w:t xml:space="preserve"> for the uplink equal to UE-assistance operation, then the PCF shall provide the same </w:t>
      </w:r>
      <w:r w:rsidRPr="00E46192">
        <w:rPr>
          <w:rFonts w:eastAsia="Times New Roman"/>
          <w:i/>
          <w:iCs/>
          <w:color w:val="auto"/>
          <w:lang w:eastAsia="en-GB"/>
        </w:rPr>
        <w:t>Steering Mode Indicator</w:t>
      </w:r>
      <w:r w:rsidRPr="00E46192">
        <w:rPr>
          <w:rFonts w:eastAsia="Times New Roman"/>
          <w:color w:val="auto"/>
          <w:lang w:eastAsia="en-GB"/>
        </w:rPr>
        <w:t xml:space="preserve"> for the downlink.</w:t>
      </w:r>
    </w:p>
    <w:p w14:paraId="4316A25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Threshold Values</w:t>
      </w:r>
      <w:r w:rsidRPr="00E46192">
        <w:rPr>
          <w:rFonts w:eastAsia="Times New Roman"/>
          <w:color w:val="auto"/>
          <w:lang w:eastAsia="en-GB"/>
        </w:rPr>
        <w:t xml:space="preserve"> indicate the authorized RTT or Packet Loss Rate for </w:t>
      </w:r>
      <w:proofErr w:type="gramStart"/>
      <w:r w:rsidRPr="00E46192">
        <w:rPr>
          <w:rFonts w:eastAsia="Times New Roman"/>
          <w:color w:val="auto"/>
          <w:lang w:eastAsia="en-GB"/>
        </w:rPr>
        <w:t>a</w:t>
      </w:r>
      <w:proofErr w:type="gramEnd"/>
      <w:r w:rsidRPr="00E46192">
        <w:rPr>
          <w:rFonts w:eastAsia="Times New Roman"/>
          <w:color w:val="auto"/>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65EBF8B"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Transport Mode</w:t>
      </w:r>
      <w:r w:rsidRPr="00E46192">
        <w:rPr>
          <w:rFonts w:eastAsia="Times New Roman"/>
          <w:color w:val="auto"/>
          <w:lang w:eastAsia="en-GB"/>
        </w:rP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BE70C78"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Charging key for </w:t>
      </w:r>
      <w:proofErr w:type="gramStart"/>
      <w:r w:rsidRPr="00E46192">
        <w:rPr>
          <w:rFonts w:eastAsia="Times New Roman"/>
          <w:i/>
          <w:color w:val="auto"/>
          <w:lang w:eastAsia="en-GB"/>
        </w:rPr>
        <w:t>Non-3GPP</w:t>
      </w:r>
      <w:proofErr w:type="gramEnd"/>
      <w:r w:rsidRPr="00E46192">
        <w:rPr>
          <w:rFonts w:eastAsia="Times New Roman"/>
          <w:i/>
          <w:color w:val="auto"/>
          <w:lang w:eastAsia="en-GB"/>
        </w:rPr>
        <w:t xml:space="preserve"> access</w:t>
      </w:r>
      <w:r w:rsidRPr="00E46192">
        <w:rPr>
          <w:rFonts w:eastAsia="Times New Roman"/>
          <w:color w:val="auto"/>
          <w:lang w:eastAsia="en-GB"/>
        </w:rPr>
        <w:t xml:space="preserve"> indicates the Charging key that shall be used for charging the detected service data flow traffic carried via Non-3GPP access. The other charging related parameters apply for both accesses.</w:t>
      </w:r>
    </w:p>
    <w:p w14:paraId="39D60A52"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Monitoring key for </w:t>
      </w:r>
      <w:proofErr w:type="gramStart"/>
      <w:r w:rsidRPr="00E46192">
        <w:rPr>
          <w:rFonts w:eastAsia="Times New Roman"/>
          <w:i/>
          <w:color w:val="auto"/>
          <w:lang w:eastAsia="en-GB"/>
        </w:rPr>
        <w:t>Non-3GPP</w:t>
      </w:r>
      <w:proofErr w:type="gramEnd"/>
      <w:r w:rsidRPr="00E46192">
        <w:rPr>
          <w:rFonts w:eastAsia="Times New Roman"/>
          <w:i/>
          <w:color w:val="auto"/>
          <w:lang w:eastAsia="en-GB"/>
        </w:rPr>
        <w:t xml:space="preserve"> access</w:t>
      </w:r>
      <w:r w:rsidRPr="00E46192">
        <w:rPr>
          <w:rFonts w:eastAsia="Times New Roman"/>
          <w:color w:val="auto"/>
          <w:lang w:eastAsia="en-GB"/>
        </w:rPr>
        <w:t xml:space="preserve"> indicates the Monitoring key that shall be used for monitoring the usage of the detected service data flow traffic carried via Non-3GPP access.</w:t>
      </w:r>
    </w:p>
    <w:p w14:paraId="6356C481"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QoS Monitoring parameter(s)</w:t>
      </w:r>
      <w:r w:rsidRPr="00E46192">
        <w:rPr>
          <w:rFonts w:eastAsia="Times New Roman"/>
          <w:color w:val="auto"/>
          <w:lang w:eastAsia="en-GB"/>
        </w:rPr>
        <w:t xml:space="preserve"> indicates the QoS Monitoring parameter(s) for which QoS Monitoring can be enabled for a service data flow as defined in clause 5.45 of TS 23.501 [2], e.g. the UL packet delay, DL packet delay or </w:t>
      </w:r>
      <w:proofErr w:type="gramStart"/>
      <w:r w:rsidRPr="00E46192">
        <w:rPr>
          <w:rFonts w:eastAsia="Times New Roman"/>
          <w:color w:val="auto"/>
          <w:lang w:eastAsia="en-GB"/>
        </w:rPr>
        <w:t>round trip</w:t>
      </w:r>
      <w:proofErr w:type="gramEnd"/>
      <w:r w:rsidRPr="00E46192">
        <w:rPr>
          <w:rFonts w:eastAsia="Times New Roman"/>
          <w:color w:val="auto"/>
          <w:lang w:eastAsia="en-GB"/>
        </w:rPr>
        <w:t xml:space="preserve"> packet delay between the UE and the UPF.</w:t>
      </w:r>
    </w:p>
    <w:p w14:paraId="12BD651A"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Reporting frequency</w:t>
      </w:r>
      <w:r w:rsidRPr="00E46192">
        <w:rPr>
          <w:rFonts w:eastAsia="Times New Roman"/>
          <w:color w:val="auto"/>
          <w:lang w:eastAsia="en-GB"/>
        </w:rPr>
        <w:t xml:space="preserve"> indicates the frequency for the reporting, such as event triggered, periodic. The following applies:</w:t>
      </w:r>
    </w:p>
    <w:p w14:paraId="06DC60EE"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If the </w:t>
      </w:r>
      <w:r w:rsidRPr="00E46192">
        <w:rPr>
          <w:rFonts w:eastAsia="Times New Roman"/>
          <w:i/>
          <w:color w:val="auto"/>
          <w:lang w:eastAsia="en-GB"/>
        </w:rPr>
        <w:t>Reporting frequency</w:t>
      </w:r>
      <w:r w:rsidRPr="00E46192">
        <w:rPr>
          <w:rFonts w:eastAsia="Times New Roman"/>
          <w:color w:val="auto"/>
          <w:lang w:eastAsia="en-GB"/>
        </w:rPr>
        <w:t xml:space="preserve"> indicates "periodic", the </w:t>
      </w:r>
      <w:r w:rsidRPr="00E46192">
        <w:rPr>
          <w:rFonts w:eastAsia="Times New Roman"/>
          <w:i/>
          <w:iCs/>
          <w:color w:val="auto"/>
          <w:lang w:eastAsia="en-GB"/>
        </w:rPr>
        <w:t>reporting period</w:t>
      </w:r>
      <w:r w:rsidRPr="00E46192">
        <w:rPr>
          <w:rFonts w:eastAsia="Times New Roman"/>
          <w:color w:val="auto"/>
          <w:lang w:eastAsia="en-GB"/>
        </w:rPr>
        <w:t xml:space="preserve"> shall also be included in the PCC rule.</w:t>
      </w:r>
    </w:p>
    <w:p w14:paraId="4F7F2CB4"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The </w:t>
      </w:r>
      <w:r w:rsidRPr="00E46192">
        <w:rPr>
          <w:rFonts w:eastAsia="Times New Roman"/>
          <w:i/>
          <w:iCs/>
          <w:color w:val="auto"/>
          <w:lang w:eastAsia="en-GB"/>
        </w:rPr>
        <w:t>reporting period</w:t>
      </w:r>
      <w:r w:rsidRPr="00E46192">
        <w:rPr>
          <w:rFonts w:eastAsia="Times New Roman"/>
          <w:color w:val="auto"/>
          <w:lang w:eastAsia="en-GB"/>
        </w:rPr>
        <w:t xml:space="preserve"> shall also be used for reporting measurement failure in any of the </w:t>
      </w:r>
      <w:r w:rsidRPr="00E46192">
        <w:rPr>
          <w:rFonts w:eastAsia="Times New Roman"/>
          <w:i/>
          <w:iCs/>
          <w:color w:val="auto"/>
          <w:lang w:eastAsia="en-GB"/>
        </w:rPr>
        <w:t>Reporting frequency</w:t>
      </w:r>
      <w:r w:rsidRPr="00E46192">
        <w:rPr>
          <w:rFonts w:eastAsia="Times New Roman"/>
          <w:color w:val="auto"/>
          <w:lang w:eastAsia="en-GB"/>
        </w:rPr>
        <w:t xml:space="preserve"> modes "periodic" or "event triggered".</w:t>
      </w:r>
    </w:p>
    <w:p w14:paraId="5CE2CF9A"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12:</w:t>
      </w:r>
      <w:r w:rsidRPr="00E46192">
        <w:rPr>
          <w:rFonts w:eastAsia="Times New Roman"/>
          <w:color w:val="auto"/>
          <w:lang w:eastAsia="en-GB"/>
        </w:rPr>
        <w:tab/>
        <w:t xml:space="preserve">The indication of a measurement failure is not possible or not supported for some </w:t>
      </w:r>
      <w:r w:rsidRPr="00E46192">
        <w:rPr>
          <w:rFonts w:eastAsia="Times New Roman"/>
          <w:i/>
          <w:iCs/>
          <w:color w:val="auto"/>
          <w:lang w:eastAsia="en-GB"/>
        </w:rPr>
        <w:t>QoS Monitoring parameter(s)</w:t>
      </w:r>
      <w:r w:rsidRPr="00E46192">
        <w:rPr>
          <w:rFonts w:eastAsia="Times New Roman"/>
          <w:color w:val="auto"/>
          <w:lang w:eastAsia="en-GB"/>
        </w:rPr>
        <w:t xml:space="preserve"> (as described in the respective clauses of clause 5.45 of TS 23.501 [2]).</w:t>
      </w:r>
    </w:p>
    <w:p w14:paraId="04433B76"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If the </w:t>
      </w:r>
      <w:r w:rsidRPr="00E46192">
        <w:rPr>
          <w:rFonts w:eastAsia="Times New Roman"/>
          <w:i/>
          <w:color w:val="auto"/>
          <w:lang w:eastAsia="en-GB"/>
        </w:rPr>
        <w:t>Reporting frequency</w:t>
      </w:r>
      <w:r w:rsidRPr="00E46192">
        <w:rPr>
          <w:rFonts w:eastAsia="Times New Roman"/>
          <w:color w:val="auto"/>
          <w:lang w:eastAsia="en-GB"/>
        </w:rPr>
        <w:t xml:space="preserve"> indicates "event triggered", the </w:t>
      </w:r>
      <w:r w:rsidRPr="00E46192">
        <w:rPr>
          <w:rFonts w:eastAsia="Times New Roman"/>
          <w:i/>
          <w:iCs/>
          <w:color w:val="auto"/>
          <w:lang w:eastAsia="en-GB"/>
        </w:rPr>
        <w:t>reporting period</w:t>
      </w:r>
      <w:r w:rsidRPr="00E46192">
        <w:rPr>
          <w:rFonts w:eastAsia="Times New Roman"/>
          <w:color w:val="auto"/>
          <w:lang w:eastAsia="en-GB"/>
        </w:rPr>
        <w:t xml:space="preserve">, </w:t>
      </w:r>
      <w:r w:rsidRPr="00E46192">
        <w:rPr>
          <w:rFonts w:eastAsia="Times New Roman"/>
          <w:i/>
          <w:iCs/>
          <w:color w:val="auto"/>
          <w:lang w:eastAsia="en-GB"/>
        </w:rPr>
        <w:t>Reporting threshold(s)</w:t>
      </w:r>
      <w:r w:rsidRPr="00E46192">
        <w:rPr>
          <w:rFonts w:eastAsia="Times New Roman"/>
          <w:color w:val="auto"/>
          <w:lang w:eastAsia="en-GB"/>
        </w:rPr>
        <w:t xml:space="preserve"> and the </w:t>
      </w:r>
      <w:r w:rsidRPr="00E46192">
        <w:rPr>
          <w:rFonts w:eastAsia="Times New Roman"/>
          <w:i/>
          <w:iCs/>
          <w:color w:val="auto"/>
          <w:lang w:eastAsia="en-GB"/>
        </w:rPr>
        <w:t>minimum waiting time</w:t>
      </w:r>
      <w:r w:rsidRPr="00E46192">
        <w:rPr>
          <w:rFonts w:eastAsia="Times New Roman"/>
          <w:color w:val="auto"/>
          <w:lang w:eastAsia="en-GB"/>
        </w:rPr>
        <w:t xml:space="preserve"> shall also be included in the PCC rule. The </w:t>
      </w:r>
      <w:r w:rsidRPr="00E46192">
        <w:rPr>
          <w:rFonts w:eastAsia="Times New Roman"/>
          <w:i/>
          <w:iCs/>
          <w:color w:val="auto"/>
          <w:lang w:eastAsia="en-GB"/>
        </w:rPr>
        <w:t>Reporting threshold(s)</w:t>
      </w:r>
      <w:r w:rsidRPr="00E46192">
        <w:rPr>
          <w:rFonts w:eastAsia="Times New Roman"/>
          <w:color w:val="auto"/>
          <w:lang w:eastAsia="en-GB"/>
        </w:rPr>
        <w:t xml:space="preserve"> indicates the measurement threshold for each of the included </w:t>
      </w:r>
      <w:r w:rsidRPr="00E46192">
        <w:rPr>
          <w:rFonts w:eastAsia="Times New Roman"/>
          <w:i/>
          <w:iCs/>
          <w:color w:val="auto"/>
          <w:lang w:eastAsia="en-GB"/>
        </w:rPr>
        <w:t>QoS Monitoring parameter(s)</w:t>
      </w:r>
      <w:r w:rsidRPr="00E46192">
        <w:rPr>
          <w:rFonts w:eastAsia="Times New Roman"/>
          <w:color w:val="auto"/>
          <w:lang w:eastAsia="en-GB"/>
        </w:rPr>
        <w:t xml:space="preserve">. The </w:t>
      </w:r>
      <w:r w:rsidRPr="00E46192">
        <w:rPr>
          <w:rFonts w:eastAsia="Times New Roman"/>
          <w:i/>
          <w:iCs/>
          <w:color w:val="auto"/>
          <w:lang w:eastAsia="en-GB"/>
        </w:rPr>
        <w:t>minimum waiting time</w:t>
      </w:r>
      <w:r w:rsidRPr="00E46192">
        <w:rPr>
          <w:rFonts w:eastAsia="Times New Roman"/>
          <w:color w:val="auto"/>
          <w:lang w:eastAsia="en-GB"/>
        </w:rPr>
        <w:t xml:space="preserve"> indicates the minimum time interval between subsequent reports.</w:t>
      </w:r>
    </w:p>
    <w:p w14:paraId="224CE2A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Target of reporting</w:t>
      </w:r>
      <w:r w:rsidRPr="00E46192">
        <w:rPr>
          <w:rFonts w:eastAsia="Times New Roman"/>
          <w:color w:val="auto"/>
          <w:lang w:eastAsia="en-GB"/>
        </w:rPr>
        <w:t xml:space="preserve"> indicates the target for the QoS Monitoring reports sent as notifications. It can be either the NEF, the AF or the Local NEF, indicated as Notification Target Address + Notification Correlation ID.</w:t>
      </w:r>
    </w:p>
    <w:p w14:paraId="7A9FF0C3"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Indication of direct event notification</w:t>
      </w:r>
      <w:r w:rsidRPr="00E46192">
        <w:rPr>
          <w:rFonts w:eastAsia="Times New Roman"/>
          <w:color w:val="auto"/>
          <w:lang w:eastAsia="en-GB"/>
        </w:rPr>
        <w:t xml:space="preserve"> indicates that the QoS Monitoring reports shall be sent by the UPF directly to the NF indicated by the Target of reporting (i.e. to the Local NEF or the AF as described in clause 5.8.2.18 of TS 23.501 [2]).</w:t>
      </w:r>
    </w:p>
    <w:p w14:paraId="64E46FB5"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proofErr w:type="spellStart"/>
      <w:r w:rsidRPr="00E46192">
        <w:rPr>
          <w:rFonts w:eastAsia="Times New Roman"/>
          <w:i/>
          <w:iCs/>
          <w:color w:val="auto"/>
          <w:lang w:eastAsia="en-GB"/>
        </w:rPr>
        <w:t>DataCollection_ApplicationIdentifier</w:t>
      </w:r>
      <w:proofErr w:type="spellEnd"/>
      <w:r w:rsidRPr="00E46192">
        <w:rPr>
          <w:rFonts w:eastAsia="Times New Roman"/>
          <w:color w:val="auto"/>
          <w:lang w:eastAsia="en-GB"/>
        </w:rPr>
        <w:t xml:space="preserve"> is provided to assist the SMF when it needs to decide whether this PCC Rule corresponds to an event exposure subscription (see clause 4.15.4.5.1 of TS 23.502 [3]).</w:t>
      </w:r>
    </w:p>
    <w:p w14:paraId="2A9E7129"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Alternative QoS Parameter Set(s) </w:t>
      </w:r>
      <w:r w:rsidRPr="00E46192">
        <w:rPr>
          <w:rFonts w:eastAsia="Times New Roman"/>
          <w:color w:val="auto"/>
          <w:lang w:eastAsia="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1B67F5C8"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content of the </w:t>
      </w:r>
      <w:r w:rsidRPr="00E46192">
        <w:rPr>
          <w:rFonts w:eastAsia="Times New Roman"/>
          <w:i/>
          <w:iCs/>
          <w:color w:val="auto"/>
          <w:lang w:eastAsia="en-GB"/>
        </w:rPr>
        <w:t>TSC Assistance Container</w:t>
      </w:r>
      <w:r w:rsidRPr="00E46192">
        <w:rPr>
          <w:rFonts w:eastAsia="Times New Roman"/>
          <w:color w:val="auto"/>
          <w:lang w:eastAsia="en-GB"/>
        </w:rPr>
        <w:t xml:space="preserve"> is defined in clause 5.27.2 of TS 23.501 [2].</w:t>
      </w:r>
    </w:p>
    <w:p w14:paraId="7E4CC2DC"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Traffic Parameter Information</w:t>
      </w:r>
      <w:r w:rsidRPr="00E46192">
        <w:rPr>
          <w:rFonts w:eastAsia="Times New Roman"/>
          <w:color w:val="auto"/>
          <w:lang w:eastAsia="en-GB"/>
        </w:rPr>
        <w:t xml:space="preserve"> applies to the UE power saving as specified in clause 5.37.8 of TS 23.501 [2]. The following parameters are included:</w:t>
      </w:r>
    </w:p>
    <w:p w14:paraId="61DC5D84"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r>
      <w:r w:rsidRPr="00E46192">
        <w:rPr>
          <w:rFonts w:eastAsia="Times New Roman"/>
          <w:i/>
          <w:iCs/>
          <w:color w:val="auto"/>
          <w:lang w:eastAsia="en-GB"/>
        </w:rPr>
        <w:t>Periodicity</w:t>
      </w:r>
      <w:r w:rsidRPr="00E46192">
        <w:rPr>
          <w:rFonts w:eastAsia="Times New Roman"/>
          <w:color w:val="auto"/>
          <w:lang w:eastAsia="en-GB"/>
        </w:rPr>
        <w:t>:</w:t>
      </w:r>
    </w:p>
    <w:p w14:paraId="5DFC8ADC"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indicates the </w:t>
      </w:r>
      <w:proofErr w:type="gramStart"/>
      <w:r w:rsidRPr="00E46192">
        <w:rPr>
          <w:rFonts w:eastAsia="Times New Roman"/>
          <w:color w:val="auto"/>
          <w:lang w:eastAsia="en-GB"/>
        </w:rPr>
        <w:t>time period</w:t>
      </w:r>
      <w:proofErr w:type="gramEnd"/>
      <w:r w:rsidRPr="00E46192">
        <w:rPr>
          <w:rFonts w:eastAsia="Times New Roman"/>
          <w:color w:val="auto"/>
          <w:lang w:eastAsia="en-GB"/>
        </w:rPr>
        <w:t xml:space="preserve"> between start of two data bursts in UL and/or DL direction.</w:t>
      </w:r>
    </w:p>
    <w:p w14:paraId="3C680811"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this parameter is only included when PCF receives the periodicity information from AF.</w:t>
      </w:r>
    </w:p>
    <w:p w14:paraId="7E0A4E76"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Traffic Parameter Measurement</w:t>
      </w:r>
      <w:r w:rsidRPr="00E46192">
        <w:rPr>
          <w:rFonts w:eastAsia="Times New Roman"/>
          <w:color w:val="auto"/>
          <w:lang w:eastAsia="en-GB"/>
        </w:rPr>
        <w:t xml:space="preserve"> applies to the UE power saving as specified in clause 5.37.8 of TS 23.501 [2]. The following parameters are included:</w:t>
      </w:r>
    </w:p>
    <w:p w14:paraId="6C710059"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r>
      <w:r w:rsidRPr="00E46192">
        <w:rPr>
          <w:rFonts w:eastAsia="Times New Roman"/>
          <w:i/>
          <w:iCs/>
          <w:color w:val="auto"/>
          <w:lang w:eastAsia="en-GB"/>
        </w:rPr>
        <w:t>Traffic Parameter to be measured</w:t>
      </w:r>
      <w:r w:rsidRPr="00E46192">
        <w:rPr>
          <w:rFonts w:eastAsia="Times New Roman"/>
          <w:color w:val="auto"/>
          <w:lang w:eastAsia="en-GB"/>
        </w:rPr>
        <w:t>:</w:t>
      </w:r>
    </w:p>
    <w:p w14:paraId="46273D5C"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UL and/or DL periodicity. This parameter is only included when PCF does not receive the periodicity information from AF.</w:t>
      </w:r>
    </w:p>
    <w:p w14:paraId="6A69C2F8"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N6 jitter range associated with DL Periodicity.</w:t>
      </w:r>
    </w:p>
    <w:p w14:paraId="7669880C"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r>
      <w:r w:rsidRPr="00E46192">
        <w:rPr>
          <w:rFonts w:eastAsia="Times New Roman"/>
          <w:i/>
          <w:iCs/>
          <w:color w:val="auto"/>
          <w:lang w:eastAsia="en-GB"/>
        </w:rPr>
        <w:t>reporting condition</w:t>
      </w:r>
      <w:r w:rsidRPr="00E46192">
        <w:rPr>
          <w:rFonts w:eastAsia="Times New Roman"/>
          <w:color w:val="auto"/>
          <w:lang w:eastAsia="en-GB"/>
        </w:rPr>
        <w:t xml:space="preserve"> can be optionally included to define the condition for the reporting, such as event triggered or periodic, frequency.</w:t>
      </w:r>
    </w:p>
    <w:p w14:paraId="49951A09"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Downlink Data Notification Control</w:t>
      </w:r>
      <w:r w:rsidRPr="00E46192">
        <w:rPr>
          <w:rFonts w:eastAsia="Times New Roman"/>
          <w:color w:val="auto"/>
          <w:lang w:eastAsia="en-GB"/>
        </w:rPr>
        <w:t xml:space="preserve"> applies to the control of subscription to Downlink Data Delivery status event notifications and DDN Failure event notifications as specified in clause 4.15.3 of TS 23.502 [3]. The following parameters are included:</w:t>
      </w:r>
    </w:p>
    <w:p w14:paraId="7814B7D6"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The </w:t>
      </w:r>
      <w:r w:rsidRPr="00E46192">
        <w:rPr>
          <w:rFonts w:eastAsia="Times New Roman"/>
          <w:i/>
          <w:iCs/>
          <w:color w:val="auto"/>
          <w:lang w:eastAsia="en-GB"/>
        </w:rPr>
        <w:t>Notification control for DDD status</w:t>
      </w:r>
      <w:r w:rsidRPr="00E46192">
        <w:rPr>
          <w:rFonts w:eastAsia="Times New Roman"/>
          <w:color w:val="auto"/>
          <w:lang w:eastAsia="en-GB"/>
        </w:rPr>
        <w:t xml:space="preserve"> applies as described in clause 4.15.3.2.8 of TS 23.502 [3] and contains the following parameters:</w:t>
      </w:r>
    </w:p>
    <w:p w14:paraId="4DDD9483"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indication that notifications of Downlink Data Delivery status are required; and</w:t>
      </w:r>
    </w:p>
    <w:p w14:paraId="48974486"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the requested type of such notifications (notifications about downlink packets being buffered, and/or discarded).</w:t>
      </w:r>
    </w:p>
    <w:p w14:paraId="6E2CA7D6"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The </w:t>
      </w:r>
      <w:r w:rsidRPr="00E46192">
        <w:rPr>
          <w:rFonts w:eastAsia="Times New Roman"/>
          <w:i/>
          <w:iCs/>
          <w:color w:val="auto"/>
          <w:lang w:eastAsia="en-GB"/>
        </w:rPr>
        <w:t>Notification Control for DDN Failure</w:t>
      </w:r>
      <w:r w:rsidRPr="00E46192">
        <w:rPr>
          <w:rFonts w:eastAsia="Times New Roman"/>
          <w:color w:val="auto"/>
          <w:lang w:eastAsia="en-GB"/>
        </w:rPr>
        <w:t xml:space="preserve"> applies as described in clause 4.15.3.2.9 of TS 23.502 [3] and contains the following parameters:</w:t>
      </w:r>
    </w:p>
    <w:p w14:paraId="422FB0CE"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indication that notifications of DDN Failure are required.</w:t>
      </w:r>
    </w:p>
    <w:p w14:paraId="3A9EB69D"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12:</w:t>
      </w:r>
      <w:r w:rsidRPr="00E46192">
        <w:rPr>
          <w:rFonts w:eastAsia="Times New Roman"/>
          <w:color w:val="auto"/>
          <w:lang w:eastAsia="en-GB"/>
        </w:rPr>
        <w:tab/>
        <w:t>Downlink Data Notification Control information is provided to assist the SMF in the generation/update of N4 information. The PCF will not be notified about the Downlink data delivery status events or the DDN Failure events.</w:t>
      </w:r>
    </w:p>
    <w:p w14:paraId="75D06E76"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PDU Set Control Information</w:t>
      </w:r>
      <w:r w:rsidRPr="00E46192">
        <w:rPr>
          <w:rFonts w:eastAsia="Times New Roman"/>
          <w:color w:val="auto"/>
          <w:lang w:eastAsia="en-GB"/>
        </w:rPr>
        <w:t xml:space="preserve"> is needed to support the delivery of PDU Sets for a service data flow. The parameter values for UL and DL may be different (see clause 5.7.7 of TS 23.501 [2]).</w:t>
      </w:r>
    </w:p>
    <w:p w14:paraId="7045584B" w14:textId="180CADC7" w:rsidR="00C703FA" w:rsidRDefault="00E46192" w:rsidP="00E46192">
      <w:pPr>
        <w:rPr>
          <w:ins w:id="107" w:author="Antonio 2" w:date="2024-09-30T15:01:00Z"/>
          <w:rFonts w:eastAsia="Times New Roman"/>
          <w:color w:val="auto"/>
          <w:lang w:eastAsia="en-GB"/>
        </w:rPr>
      </w:pPr>
      <w:bookmarkStart w:id="108" w:name="_CR6_3_2"/>
      <w:bookmarkEnd w:id="108"/>
      <w:r w:rsidRPr="00E46192">
        <w:rPr>
          <w:rFonts w:eastAsia="Times New Roman"/>
          <w:color w:val="auto"/>
          <w:lang w:eastAsia="en-GB"/>
        </w:rPr>
        <w:t xml:space="preserve">The </w:t>
      </w:r>
      <w:r w:rsidRPr="00E46192">
        <w:rPr>
          <w:rFonts w:eastAsia="Times New Roman"/>
          <w:i/>
          <w:iCs/>
          <w:color w:val="auto"/>
          <w:lang w:eastAsia="en-GB"/>
        </w:rPr>
        <w:t>Protocol Description Information</w:t>
      </w:r>
      <w:r w:rsidRPr="00E46192">
        <w:rPr>
          <w:rFonts w:eastAsia="Times New Roman"/>
          <w:color w:val="auto"/>
          <w:lang w:eastAsia="en-GB"/>
        </w:rPr>
        <w:t xml:space="preserve"> needed to support identifying PDU Set Information for DL/UL packets and/or last packet of a DL Data Burst. The Protocol Descriptions for UL and DL may be different (see clause 5.37.5 of TS 23.501 [2]).</w:t>
      </w:r>
      <w:ins w:id="109" w:author="Ericsson" w:date="2024-10-04T14:00:00Z">
        <w:r w:rsidR="00643060">
          <w:rPr>
            <w:rFonts w:eastAsia="Times New Roman"/>
            <w:color w:val="auto"/>
            <w:lang w:eastAsia="en-GB"/>
          </w:rPr>
          <w:t xml:space="preserve"> </w:t>
        </w:r>
      </w:ins>
    </w:p>
    <w:p w14:paraId="582AA55E" w14:textId="7C8A60C8" w:rsidR="00E46192" w:rsidRPr="00E46192" w:rsidRDefault="00643060" w:rsidP="00E46192">
      <w:pPr>
        <w:rPr>
          <w:rFonts w:eastAsia="Times New Roman"/>
          <w:color w:val="auto"/>
          <w:lang w:eastAsia="zh-CN"/>
        </w:rPr>
      </w:pPr>
      <w:ins w:id="110" w:author="Ericsson" w:date="2024-10-04T14:00:00Z">
        <w:r w:rsidRPr="0016359B">
          <w:rPr>
            <w:rFonts w:eastAsia="Times New Roman"/>
            <w:color w:val="auto"/>
            <w:lang w:eastAsia="zh-CN"/>
          </w:rPr>
          <w:t xml:space="preserve">The </w:t>
        </w:r>
      </w:ins>
      <w:ins w:id="111" w:author="Ericsson 2" w:date="2024-11-04T16:13:00Z">
        <w:del w:id="112" w:author="Ericsson r2" w:date="2024-11-20T15:50:00Z">
          <w:r w:rsidR="002C51ED" w:rsidRPr="00C47606" w:rsidDel="0077341D">
            <w:rPr>
              <w:rFonts w:eastAsia="Times New Roman"/>
              <w:i/>
              <w:iCs/>
              <w:color w:val="auto"/>
              <w:highlight w:val="yellow"/>
              <w:lang w:eastAsia="zh-CN"/>
              <w:rPrChange w:id="113" w:author="Ericsson r2" w:date="2024-11-20T15:55:00Z">
                <w:rPr>
                  <w:rFonts w:eastAsia="Times New Roman"/>
                  <w:i/>
                  <w:iCs/>
                  <w:color w:val="auto"/>
                  <w:lang w:eastAsia="zh-CN"/>
                </w:rPr>
              </w:rPrChange>
            </w:rPr>
            <w:delText>Connect-UDP</w:delText>
          </w:r>
        </w:del>
      </w:ins>
      <w:ins w:id="114" w:author="Ericsson r2" w:date="2024-11-20T15:50:00Z">
        <w:r w:rsidR="0077341D" w:rsidRPr="00C47606">
          <w:rPr>
            <w:rFonts w:eastAsia="Times New Roman"/>
            <w:i/>
            <w:iCs/>
            <w:color w:val="auto"/>
            <w:highlight w:val="yellow"/>
            <w:lang w:eastAsia="zh-CN"/>
            <w:rPrChange w:id="115" w:author="Ericsson r2" w:date="2024-11-20T15:55:00Z">
              <w:rPr>
                <w:rFonts w:eastAsia="Times New Roman"/>
                <w:i/>
                <w:iCs/>
                <w:color w:val="auto"/>
                <w:lang w:eastAsia="zh-CN"/>
              </w:rPr>
            </w:rPrChange>
          </w:rPr>
          <w:t>In-band Connection</w:t>
        </w:r>
      </w:ins>
      <w:ins w:id="116" w:author="Ericsson 2" w:date="2024-11-04T16:13:00Z">
        <w:r w:rsidR="000E6767" w:rsidRPr="00C47606">
          <w:rPr>
            <w:rFonts w:eastAsia="Times New Roman"/>
            <w:i/>
            <w:iCs/>
            <w:color w:val="auto"/>
            <w:highlight w:val="yellow"/>
            <w:lang w:eastAsia="zh-CN"/>
            <w:rPrChange w:id="117" w:author="Ericsson r2" w:date="2024-11-20T15:55:00Z">
              <w:rPr>
                <w:rFonts w:eastAsia="Times New Roman"/>
                <w:i/>
                <w:iCs/>
                <w:color w:val="auto"/>
                <w:lang w:eastAsia="zh-CN"/>
              </w:rPr>
            </w:rPrChange>
          </w:rPr>
          <w:t xml:space="preserve"> </w:t>
        </w:r>
      </w:ins>
      <w:ins w:id="118" w:author="Ericsson r2" w:date="2024-11-20T15:50:00Z">
        <w:r w:rsidR="0077341D" w:rsidRPr="00C47606">
          <w:rPr>
            <w:rFonts w:eastAsia="Times New Roman"/>
            <w:i/>
            <w:iCs/>
            <w:color w:val="auto"/>
            <w:highlight w:val="yellow"/>
            <w:lang w:eastAsia="zh-CN"/>
            <w:rPrChange w:id="119" w:author="Ericsson r2" w:date="2024-11-20T15:55:00Z">
              <w:rPr>
                <w:rFonts w:eastAsia="Times New Roman"/>
                <w:i/>
                <w:iCs/>
                <w:color w:val="auto"/>
                <w:lang w:eastAsia="zh-CN"/>
              </w:rPr>
            </w:rPrChange>
          </w:rPr>
          <w:t>I</w:t>
        </w:r>
      </w:ins>
      <w:ins w:id="120" w:author="Ericsson 2" w:date="2024-11-04T16:13:00Z">
        <w:del w:id="121" w:author="Ericsson r2" w:date="2024-11-20T15:50:00Z">
          <w:r w:rsidR="000E6767" w:rsidRPr="00C47606" w:rsidDel="0077341D">
            <w:rPr>
              <w:rFonts w:eastAsia="Times New Roman"/>
              <w:i/>
              <w:iCs/>
              <w:color w:val="auto"/>
              <w:highlight w:val="yellow"/>
              <w:lang w:eastAsia="zh-CN"/>
              <w:rPrChange w:id="122" w:author="Ericsson r2" w:date="2024-11-20T15:55:00Z">
                <w:rPr>
                  <w:rFonts w:eastAsia="Times New Roman"/>
                  <w:i/>
                  <w:iCs/>
                  <w:color w:val="auto"/>
                  <w:lang w:eastAsia="zh-CN"/>
                </w:rPr>
              </w:rPrChange>
            </w:rPr>
            <w:delText>i</w:delText>
          </w:r>
        </w:del>
        <w:r w:rsidR="000E6767" w:rsidRPr="0016359B">
          <w:rPr>
            <w:rFonts w:eastAsia="Times New Roman"/>
            <w:i/>
            <w:iCs/>
            <w:color w:val="auto"/>
            <w:lang w:eastAsia="zh-CN"/>
          </w:rPr>
          <w:t>nformation</w:t>
        </w:r>
      </w:ins>
      <w:ins w:id="123" w:author="Ericsson" w:date="2024-10-04T14:01:00Z">
        <w:r w:rsidR="009B71B6" w:rsidRPr="0016359B">
          <w:rPr>
            <w:rFonts w:eastAsia="Times New Roman"/>
            <w:color w:val="auto"/>
            <w:lang w:eastAsia="zh-CN"/>
          </w:rPr>
          <w:t xml:space="preserve"> is </w:t>
        </w:r>
        <w:del w:id="124" w:author="Ericsson r2" w:date="2024-11-20T15:52:00Z">
          <w:r w:rsidR="009B71B6" w:rsidRPr="00DC624A" w:rsidDel="005A4D94">
            <w:rPr>
              <w:rFonts w:eastAsia="Times New Roman"/>
              <w:color w:val="auto"/>
              <w:highlight w:val="yellow"/>
              <w:lang w:eastAsia="zh-CN"/>
              <w:rPrChange w:id="125" w:author="Ericsson r2" w:date="2024-11-20T15:56:00Z">
                <w:rPr>
                  <w:rFonts w:eastAsia="Times New Roman"/>
                  <w:color w:val="auto"/>
                  <w:lang w:eastAsia="zh-CN"/>
                </w:rPr>
              </w:rPrChange>
            </w:rPr>
            <w:delText>needed</w:delText>
          </w:r>
        </w:del>
      </w:ins>
      <w:ins w:id="126" w:author="Ericsson r2" w:date="2024-11-20T15:52:00Z">
        <w:r w:rsidR="005A4D94" w:rsidRPr="00DC624A">
          <w:rPr>
            <w:rFonts w:eastAsia="Times New Roman"/>
            <w:color w:val="auto"/>
            <w:highlight w:val="yellow"/>
            <w:lang w:eastAsia="zh-CN"/>
            <w:rPrChange w:id="127" w:author="Ericsson r2" w:date="2024-11-20T15:56:00Z">
              <w:rPr>
                <w:rFonts w:eastAsia="Times New Roman"/>
                <w:color w:val="auto"/>
                <w:lang w:eastAsia="zh-CN"/>
              </w:rPr>
            </w:rPrChange>
          </w:rPr>
          <w:t>used</w:t>
        </w:r>
      </w:ins>
      <w:ins w:id="128" w:author="Ericsson" w:date="2024-10-04T14:01:00Z">
        <w:r w:rsidR="009B71B6" w:rsidRPr="00DC624A">
          <w:rPr>
            <w:rFonts w:eastAsia="Times New Roman"/>
            <w:color w:val="auto"/>
            <w:highlight w:val="yellow"/>
            <w:lang w:eastAsia="zh-CN"/>
            <w:rPrChange w:id="129" w:author="Ericsson r2" w:date="2024-11-20T15:56:00Z">
              <w:rPr>
                <w:rFonts w:eastAsia="Times New Roman"/>
                <w:color w:val="auto"/>
                <w:lang w:eastAsia="zh-CN"/>
              </w:rPr>
            </w:rPrChange>
          </w:rPr>
          <w:t xml:space="preserve"> </w:t>
        </w:r>
        <w:r w:rsidR="009B71B6" w:rsidRPr="00E25E1D">
          <w:rPr>
            <w:rFonts w:eastAsia="Times New Roman"/>
            <w:color w:val="auto"/>
            <w:highlight w:val="yellow"/>
            <w:lang w:eastAsia="zh-CN"/>
          </w:rPr>
          <w:t xml:space="preserve">to </w:t>
        </w:r>
        <w:del w:id="130" w:author="Ericsson r2" w:date="2024-11-20T15:53:00Z">
          <w:r w:rsidR="009B71B6" w:rsidRPr="00DC624A" w:rsidDel="005D3D15">
            <w:rPr>
              <w:rFonts w:eastAsia="Times New Roman"/>
              <w:color w:val="auto"/>
              <w:highlight w:val="yellow"/>
              <w:lang w:eastAsia="zh-CN"/>
              <w:rPrChange w:id="131" w:author="Ericsson r2" w:date="2024-11-20T15:56:00Z">
                <w:rPr>
                  <w:rFonts w:eastAsia="Times New Roman"/>
                  <w:color w:val="auto"/>
                  <w:lang w:eastAsia="zh-CN"/>
                </w:rPr>
              </w:rPrChange>
            </w:rPr>
            <w:delText>support the establishment of a connection to the AS proxy</w:delText>
          </w:r>
        </w:del>
      </w:ins>
      <w:ins w:id="132" w:author="Ericsson" w:date="2024-10-04T14:02:00Z">
        <w:del w:id="133" w:author="Ericsson r2" w:date="2024-11-20T15:53:00Z">
          <w:r w:rsidR="009B71B6" w:rsidRPr="00DC624A" w:rsidDel="005D3D15">
            <w:rPr>
              <w:rFonts w:eastAsia="Times New Roman"/>
              <w:color w:val="auto"/>
              <w:highlight w:val="yellow"/>
              <w:lang w:eastAsia="zh-CN"/>
              <w:rPrChange w:id="134" w:author="Ericsson r2" w:date="2024-11-20T15:56:00Z">
                <w:rPr>
                  <w:rFonts w:eastAsia="Times New Roman"/>
                  <w:color w:val="auto"/>
                  <w:lang w:eastAsia="zh-CN"/>
                </w:rPr>
              </w:rPrChange>
            </w:rPr>
            <w:delText xml:space="preserve"> to</w:delText>
          </w:r>
          <w:r w:rsidR="009B71B6" w:rsidRPr="0016359B" w:rsidDel="005D3D15">
            <w:rPr>
              <w:rFonts w:eastAsia="Times New Roman"/>
              <w:color w:val="auto"/>
              <w:lang w:eastAsia="zh-CN"/>
            </w:rPr>
            <w:delText xml:space="preserve"> </w:delText>
          </w:r>
        </w:del>
      </w:ins>
      <w:ins w:id="135" w:author="Ericsson 2" w:date="2024-11-05T16:21:00Z">
        <w:r w:rsidR="005A2F3F" w:rsidRPr="0016359B">
          <w:rPr>
            <w:rFonts w:eastAsia="Times New Roman"/>
            <w:color w:val="auto"/>
            <w:lang w:eastAsia="zh-CN"/>
          </w:rPr>
          <w:t>receive</w:t>
        </w:r>
      </w:ins>
      <w:ins w:id="136" w:author="Ericsson" w:date="2024-11-07T11:58:00Z">
        <w:r w:rsidR="0016359B" w:rsidRPr="0016359B">
          <w:rPr>
            <w:rFonts w:eastAsia="Times New Roman"/>
            <w:color w:val="auto"/>
            <w:lang w:eastAsia="zh-CN"/>
            <w:rPrChange w:id="137" w:author="Ericsson" w:date="2024-11-07T11:59:00Z">
              <w:rPr>
                <w:rFonts w:eastAsia="Times New Roman"/>
                <w:color w:val="auto"/>
                <w:highlight w:val="yellow"/>
                <w:lang w:eastAsia="zh-CN"/>
              </w:rPr>
            </w:rPrChange>
          </w:rPr>
          <w:t xml:space="preserve"> </w:t>
        </w:r>
      </w:ins>
      <w:ins w:id="138" w:author="Ericsson 2" w:date="2024-11-06T11:03:00Z">
        <w:r w:rsidR="00E8735A" w:rsidRPr="0016359B">
          <w:rPr>
            <w:rPrChange w:id="139" w:author="Ericsson" w:date="2024-11-07T11:59:00Z">
              <w:rPr>
                <w:highlight w:val="yellow"/>
              </w:rPr>
            </w:rPrChange>
          </w:rPr>
          <w:t>M</w:t>
        </w:r>
      </w:ins>
      <w:ins w:id="140" w:author="Ericsson 2" w:date="2024-11-04T16:14:00Z">
        <w:r w:rsidR="000E6767" w:rsidRPr="0016359B">
          <w:t xml:space="preserve">edia </w:t>
        </w:r>
      </w:ins>
      <w:ins w:id="141" w:author="Ericsson 2" w:date="2024-11-06T11:03:00Z">
        <w:r w:rsidR="00E8735A" w:rsidRPr="0016359B">
          <w:rPr>
            <w:rPrChange w:id="142" w:author="Ericsson" w:date="2024-11-07T11:59:00Z">
              <w:rPr>
                <w:highlight w:val="yellow"/>
              </w:rPr>
            </w:rPrChange>
          </w:rPr>
          <w:t>R</w:t>
        </w:r>
      </w:ins>
      <w:ins w:id="143" w:author="Ericsson 2" w:date="2024-11-04T16:14:00Z">
        <w:r w:rsidR="000E6767" w:rsidRPr="0016359B">
          <w:t xml:space="preserve">elated </w:t>
        </w:r>
      </w:ins>
      <w:ins w:id="144" w:author="Ericsson 2" w:date="2024-11-06T11:03:00Z">
        <w:r w:rsidR="00E8735A" w:rsidRPr="0016359B">
          <w:rPr>
            <w:rPrChange w:id="145" w:author="Ericsson" w:date="2024-11-07T11:59:00Z">
              <w:rPr>
                <w:highlight w:val="yellow"/>
              </w:rPr>
            </w:rPrChange>
          </w:rPr>
          <w:t>I</w:t>
        </w:r>
      </w:ins>
      <w:ins w:id="146" w:author="Ericsson 2" w:date="2024-11-04T16:14:00Z">
        <w:r w:rsidR="000E6767" w:rsidRPr="0016359B">
          <w:t>nformation</w:t>
        </w:r>
      </w:ins>
      <w:ins w:id="147" w:author="Ericsson" w:date="2024-10-04T14:02:00Z">
        <w:r w:rsidR="009B71B6" w:rsidRPr="0016359B">
          <w:t xml:space="preserve"> </w:t>
        </w:r>
      </w:ins>
      <w:ins w:id="148" w:author="Ericsson r2" w:date="2024-11-20T15:52:00Z">
        <w:r w:rsidR="005A4D94" w:rsidRPr="00DC624A">
          <w:rPr>
            <w:highlight w:val="yellow"/>
            <w:rPrChange w:id="149" w:author="Ericsson r2" w:date="2024-11-20T15:56:00Z">
              <w:rPr/>
            </w:rPrChange>
          </w:rPr>
          <w:t xml:space="preserve">using </w:t>
        </w:r>
      </w:ins>
      <w:ins w:id="150" w:author="Ericsson r2" w:date="2024-11-20T15:55:00Z">
        <w:r w:rsidR="00C47606" w:rsidRPr="00DC624A">
          <w:rPr>
            <w:highlight w:val="yellow"/>
            <w:rPrChange w:id="151" w:author="Ericsson r2" w:date="2024-11-20T15:56:00Z">
              <w:rPr/>
            </w:rPrChange>
          </w:rPr>
          <w:t xml:space="preserve">the </w:t>
        </w:r>
      </w:ins>
      <w:ins w:id="152" w:author="Ericsson r2" w:date="2024-11-20T15:52:00Z">
        <w:r w:rsidR="005A4D94" w:rsidRPr="00DC624A">
          <w:rPr>
            <w:highlight w:val="yellow"/>
            <w:rPrChange w:id="153" w:author="Ericsson r2" w:date="2024-11-20T15:56:00Z">
              <w:rPr/>
            </w:rPrChange>
          </w:rPr>
          <w:t>Connect-UDP protocol</w:t>
        </w:r>
      </w:ins>
      <w:ins w:id="154" w:author="Ericsson r2" w:date="2024-11-20T15:54:00Z">
        <w:r w:rsidR="001B211A" w:rsidRPr="00DC624A">
          <w:rPr>
            <w:highlight w:val="yellow"/>
            <w:rPrChange w:id="155" w:author="Ericsson r2" w:date="2024-11-20T15:56:00Z">
              <w:rPr/>
            </w:rPrChange>
          </w:rPr>
          <w:t xml:space="preserve">, see clause </w:t>
        </w:r>
        <w:r w:rsidR="002F1821" w:rsidRPr="00DC624A">
          <w:rPr>
            <w:highlight w:val="yellow"/>
            <w:rPrChange w:id="156" w:author="Ericsson r2" w:date="2024-11-20T15:56:00Z">
              <w:rPr/>
            </w:rPrChange>
          </w:rPr>
          <w:t>5.37.x of TS 23.501</w:t>
        </w:r>
      </w:ins>
      <w:ins w:id="157" w:author="Ericsson r2" w:date="2024-11-20T15:55:00Z">
        <w:r w:rsidR="00C47606" w:rsidRPr="00DC624A">
          <w:rPr>
            <w:highlight w:val="yellow"/>
            <w:rPrChange w:id="158" w:author="Ericsson r2" w:date="2024-11-20T15:56:00Z">
              <w:rPr/>
            </w:rPrChange>
          </w:rPr>
          <w:t>.</w:t>
        </w:r>
      </w:ins>
      <w:ins w:id="159" w:author="Ericsson" w:date="2024-10-04T14:02:00Z">
        <w:del w:id="160" w:author="Ericsson r2" w:date="2024-11-20T15:54:00Z">
          <w:r w:rsidR="009B71B6" w:rsidRPr="00DC624A" w:rsidDel="001B211A">
            <w:rPr>
              <w:highlight w:val="yellow"/>
              <w:rPrChange w:id="161" w:author="Ericsson r2" w:date="2024-11-20T15:56:00Z">
                <w:rPr/>
              </w:rPrChange>
            </w:rPr>
            <w:delText>for end-to-end encrypted traffic. This can be used e.g. to provide PDU Set information or UE power saving management information</w:delText>
          </w:r>
        </w:del>
        <w:r w:rsidR="009B71B6" w:rsidRPr="00DC624A">
          <w:rPr>
            <w:highlight w:val="yellow"/>
            <w:rPrChange w:id="162" w:author="Ericsson r2" w:date="2024-11-20T15:56:00Z">
              <w:rPr/>
            </w:rPrChange>
          </w:rPr>
          <w:t>.</w:t>
        </w:r>
      </w:ins>
    </w:p>
    <w:p w14:paraId="7716F4C4" w14:textId="77777777" w:rsid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Data Burst Handling Information</w:t>
      </w:r>
      <w:r w:rsidRPr="00E46192">
        <w:rPr>
          <w:rFonts w:eastAsia="Times New Roman"/>
          <w:color w:val="auto"/>
          <w:lang w:eastAsia="en-GB"/>
        </w:rPr>
        <w:t xml:space="preserve"> is needed to support detecting last PDU of the Data Burst and marking End of Data Burst Indication on the last packet of the Data Burst (see clause 5.37.8 of TS 23.501 [2]).</w:t>
      </w:r>
    </w:p>
    <w:p w14:paraId="2D376B52" w14:textId="77777777" w:rsidR="004B78BB" w:rsidRPr="00E46192"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1"/>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8BA7BE" w14:textId="77777777" w:rsidR="00F22AD6" w:rsidRDefault="00F22AD6">
      <w:pPr>
        <w:spacing w:after="0"/>
      </w:pPr>
      <w:r>
        <w:separator/>
      </w:r>
    </w:p>
  </w:endnote>
  <w:endnote w:type="continuationSeparator" w:id="0">
    <w:p w14:paraId="7AC947E2" w14:textId="77777777" w:rsidR="00F22AD6" w:rsidRDefault="00F22AD6">
      <w:pPr>
        <w:spacing w:after="0"/>
      </w:pPr>
      <w:r>
        <w:continuationSeparator/>
      </w:r>
    </w:p>
  </w:endnote>
  <w:endnote w:type="continuationNotice" w:id="1">
    <w:p w14:paraId="696D33C1" w14:textId="77777777" w:rsidR="00F22AD6" w:rsidRDefault="00F22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D21F7" w14:textId="77777777" w:rsidR="00722F27" w:rsidRDefault="00722F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E5F13" w14:textId="77777777" w:rsidR="00722F27" w:rsidRDefault="00722F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273CF" w14:textId="77777777" w:rsidR="00722F27" w:rsidRDefault="00722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8DB40" w14:textId="77777777" w:rsidR="00F22AD6" w:rsidRDefault="00F22AD6">
      <w:pPr>
        <w:spacing w:after="0"/>
      </w:pPr>
      <w:r>
        <w:separator/>
      </w:r>
    </w:p>
  </w:footnote>
  <w:footnote w:type="continuationSeparator" w:id="0">
    <w:p w14:paraId="0BA2866A" w14:textId="77777777" w:rsidR="00F22AD6" w:rsidRDefault="00F22AD6">
      <w:pPr>
        <w:spacing w:after="0"/>
      </w:pPr>
      <w:r>
        <w:continuationSeparator/>
      </w:r>
    </w:p>
  </w:footnote>
  <w:footnote w:type="continuationNotice" w:id="1">
    <w:p w14:paraId="4E77F27B" w14:textId="77777777" w:rsidR="00F22AD6" w:rsidRDefault="00F22A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C2EED" w14:textId="77777777" w:rsidR="00722F27" w:rsidRDefault="00722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4BB75" w14:textId="77777777" w:rsidR="00722F27" w:rsidRDefault="00722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24"/>
  </w:num>
  <w:num w:numId="2" w16cid:durableId="1412700554">
    <w:abstractNumId w:val="25"/>
  </w:num>
  <w:num w:numId="3" w16cid:durableId="850681171">
    <w:abstractNumId w:val="16"/>
  </w:num>
  <w:num w:numId="4" w16cid:durableId="1608460066">
    <w:abstractNumId w:val="17"/>
  </w:num>
  <w:num w:numId="5" w16cid:durableId="497156843">
    <w:abstractNumId w:val="18"/>
  </w:num>
  <w:num w:numId="6" w16cid:durableId="1188712564">
    <w:abstractNumId w:val="15"/>
  </w:num>
  <w:num w:numId="7" w16cid:durableId="2104261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746413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93389566">
    <w:abstractNumId w:val="13"/>
  </w:num>
  <w:num w:numId="10" w16cid:durableId="1662389069">
    <w:abstractNumId w:val="23"/>
  </w:num>
  <w:num w:numId="11" w16cid:durableId="1292323561">
    <w:abstractNumId w:val="11"/>
  </w:num>
  <w:num w:numId="12" w16cid:durableId="1898395136">
    <w:abstractNumId w:val="12"/>
  </w:num>
  <w:num w:numId="13" w16cid:durableId="1849784187">
    <w:abstractNumId w:val="22"/>
  </w:num>
  <w:num w:numId="14" w16cid:durableId="1339305753">
    <w:abstractNumId w:val="14"/>
  </w:num>
  <w:num w:numId="15" w16cid:durableId="1704331847">
    <w:abstractNumId w:val="21"/>
  </w:num>
  <w:num w:numId="16" w16cid:durableId="1108964885">
    <w:abstractNumId w:val="20"/>
  </w:num>
  <w:num w:numId="17" w16cid:durableId="612830550">
    <w:abstractNumId w:val="19"/>
  </w:num>
  <w:num w:numId="18" w16cid:durableId="54283999">
    <w:abstractNumId w:val="9"/>
  </w:num>
  <w:num w:numId="19" w16cid:durableId="270817182">
    <w:abstractNumId w:val="7"/>
  </w:num>
  <w:num w:numId="20" w16cid:durableId="976565804">
    <w:abstractNumId w:val="6"/>
  </w:num>
  <w:num w:numId="21" w16cid:durableId="512501910">
    <w:abstractNumId w:val="5"/>
  </w:num>
  <w:num w:numId="22" w16cid:durableId="1329141416">
    <w:abstractNumId w:val="4"/>
  </w:num>
  <w:num w:numId="23" w16cid:durableId="1865092140">
    <w:abstractNumId w:val="8"/>
  </w:num>
  <w:num w:numId="24" w16cid:durableId="2090735693">
    <w:abstractNumId w:val="3"/>
  </w:num>
  <w:num w:numId="25" w16cid:durableId="1491171152">
    <w:abstractNumId w:val="2"/>
  </w:num>
  <w:num w:numId="26" w16cid:durableId="271592125">
    <w:abstractNumId w:val="1"/>
  </w:num>
  <w:num w:numId="27" w16cid:durableId="1749769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r2">
    <w15:presenceInfo w15:providerId="None" w15:userId="Ericsson r2"/>
  </w15:person>
  <w15:person w15:author="Ericsson">
    <w15:presenceInfo w15:providerId="None" w15:userId="Ericsson"/>
  </w15:person>
  <w15:person w15:author="Ericsson 2">
    <w15:presenceInfo w15:providerId="None" w15:userId="Ericsson 2"/>
  </w15:person>
  <w15:person w15:author="Antonio 2">
    <w15:presenceInfo w15:providerId="None" w15:userId="Antoni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2"/>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2073"/>
    <w:rsid w:val="0000226E"/>
    <w:rsid w:val="00002842"/>
    <w:rsid w:val="00003503"/>
    <w:rsid w:val="0000385B"/>
    <w:rsid w:val="00003CFB"/>
    <w:rsid w:val="00003FE7"/>
    <w:rsid w:val="000044A4"/>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4628"/>
    <w:rsid w:val="00024798"/>
    <w:rsid w:val="00024CDB"/>
    <w:rsid w:val="00024D82"/>
    <w:rsid w:val="000252E3"/>
    <w:rsid w:val="000268FB"/>
    <w:rsid w:val="00027B9C"/>
    <w:rsid w:val="00027FA9"/>
    <w:rsid w:val="000301BC"/>
    <w:rsid w:val="0003091B"/>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6D4"/>
    <w:rsid w:val="00066E3F"/>
    <w:rsid w:val="00067107"/>
    <w:rsid w:val="00067640"/>
    <w:rsid w:val="000678AA"/>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71D5"/>
    <w:rsid w:val="0008785E"/>
    <w:rsid w:val="00090D4D"/>
    <w:rsid w:val="00090F98"/>
    <w:rsid w:val="00091BA0"/>
    <w:rsid w:val="000920A7"/>
    <w:rsid w:val="00093402"/>
    <w:rsid w:val="00093796"/>
    <w:rsid w:val="000946ED"/>
    <w:rsid w:val="0009483A"/>
    <w:rsid w:val="00094C6F"/>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E67"/>
    <w:rsid w:val="000C29D7"/>
    <w:rsid w:val="000C2AAE"/>
    <w:rsid w:val="000C2CB4"/>
    <w:rsid w:val="000C2DBB"/>
    <w:rsid w:val="000C355A"/>
    <w:rsid w:val="000C3756"/>
    <w:rsid w:val="000C4DE4"/>
    <w:rsid w:val="000C5BA6"/>
    <w:rsid w:val="000C60D5"/>
    <w:rsid w:val="000C62C1"/>
    <w:rsid w:val="000C71AA"/>
    <w:rsid w:val="000C7371"/>
    <w:rsid w:val="000C74FC"/>
    <w:rsid w:val="000C76CA"/>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C0C"/>
    <w:rsid w:val="000D6E87"/>
    <w:rsid w:val="000D707D"/>
    <w:rsid w:val="000D70EA"/>
    <w:rsid w:val="000E09FC"/>
    <w:rsid w:val="000E1933"/>
    <w:rsid w:val="000E284D"/>
    <w:rsid w:val="000E2972"/>
    <w:rsid w:val="000E2FD9"/>
    <w:rsid w:val="000E3609"/>
    <w:rsid w:val="000E44F6"/>
    <w:rsid w:val="000E4E15"/>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D71"/>
    <w:rsid w:val="000F5E59"/>
    <w:rsid w:val="000F60B7"/>
    <w:rsid w:val="000F67B7"/>
    <w:rsid w:val="000F6B87"/>
    <w:rsid w:val="000F716F"/>
    <w:rsid w:val="000F77CC"/>
    <w:rsid w:val="000F7F37"/>
    <w:rsid w:val="0010191A"/>
    <w:rsid w:val="00101FFB"/>
    <w:rsid w:val="00103EDF"/>
    <w:rsid w:val="0010430B"/>
    <w:rsid w:val="00104CDA"/>
    <w:rsid w:val="00105749"/>
    <w:rsid w:val="001059D1"/>
    <w:rsid w:val="00106468"/>
    <w:rsid w:val="001066A4"/>
    <w:rsid w:val="0010715A"/>
    <w:rsid w:val="0010795D"/>
    <w:rsid w:val="00107A82"/>
    <w:rsid w:val="00107ACA"/>
    <w:rsid w:val="00107E22"/>
    <w:rsid w:val="001103FB"/>
    <w:rsid w:val="00110662"/>
    <w:rsid w:val="001106F9"/>
    <w:rsid w:val="0011076A"/>
    <w:rsid w:val="00111A2D"/>
    <w:rsid w:val="00111E3C"/>
    <w:rsid w:val="00112393"/>
    <w:rsid w:val="00112BF1"/>
    <w:rsid w:val="0011304E"/>
    <w:rsid w:val="001136DA"/>
    <w:rsid w:val="0011387E"/>
    <w:rsid w:val="001142B0"/>
    <w:rsid w:val="001156E9"/>
    <w:rsid w:val="00117C24"/>
    <w:rsid w:val="001205BE"/>
    <w:rsid w:val="00120763"/>
    <w:rsid w:val="00121026"/>
    <w:rsid w:val="0012113A"/>
    <w:rsid w:val="00121701"/>
    <w:rsid w:val="00121A78"/>
    <w:rsid w:val="00122017"/>
    <w:rsid w:val="00122F37"/>
    <w:rsid w:val="00123A88"/>
    <w:rsid w:val="001242C5"/>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1647"/>
    <w:rsid w:val="001918E8"/>
    <w:rsid w:val="00192617"/>
    <w:rsid w:val="001929A7"/>
    <w:rsid w:val="001929DA"/>
    <w:rsid w:val="00192C5A"/>
    <w:rsid w:val="00193037"/>
    <w:rsid w:val="00193556"/>
    <w:rsid w:val="0019361C"/>
    <w:rsid w:val="00193B9D"/>
    <w:rsid w:val="00193C28"/>
    <w:rsid w:val="00194042"/>
    <w:rsid w:val="001940BC"/>
    <w:rsid w:val="001942A8"/>
    <w:rsid w:val="0019436A"/>
    <w:rsid w:val="001945A8"/>
    <w:rsid w:val="00195759"/>
    <w:rsid w:val="001963C3"/>
    <w:rsid w:val="0019666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597"/>
    <w:rsid w:val="001B3759"/>
    <w:rsid w:val="001B3D20"/>
    <w:rsid w:val="001B45C5"/>
    <w:rsid w:val="001B4DFC"/>
    <w:rsid w:val="001B5401"/>
    <w:rsid w:val="001B546B"/>
    <w:rsid w:val="001B5EBE"/>
    <w:rsid w:val="001B7516"/>
    <w:rsid w:val="001B7CB3"/>
    <w:rsid w:val="001C0A43"/>
    <w:rsid w:val="001C10AC"/>
    <w:rsid w:val="001C17E1"/>
    <w:rsid w:val="001C1E41"/>
    <w:rsid w:val="001C21E6"/>
    <w:rsid w:val="001C27A8"/>
    <w:rsid w:val="001C4445"/>
    <w:rsid w:val="001C488F"/>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AC"/>
    <w:rsid w:val="002043CF"/>
    <w:rsid w:val="00204CF8"/>
    <w:rsid w:val="00205235"/>
    <w:rsid w:val="00205F81"/>
    <w:rsid w:val="00206169"/>
    <w:rsid w:val="00206402"/>
    <w:rsid w:val="00206BCD"/>
    <w:rsid w:val="00206C7E"/>
    <w:rsid w:val="00206E00"/>
    <w:rsid w:val="00207521"/>
    <w:rsid w:val="00207F20"/>
    <w:rsid w:val="002102F5"/>
    <w:rsid w:val="00210465"/>
    <w:rsid w:val="002104A0"/>
    <w:rsid w:val="002113F8"/>
    <w:rsid w:val="002122C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918"/>
    <w:rsid w:val="00241D00"/>
    <w:rsid w:val="00241E53"/>
    <w:rsid w:val="0024206B"/>
    <w:rsid w:val="00242837"/>
    <w:rsid w:val="00242A2F"/>
    <w:rsid w:val="00242C6D"/>
    <w:rsid w:val="00242FEA"/>
    <w:rsid w:val="002431C9"/>
    <w:rsid w:val="002434B1"/>
    <w:rsid w:val="002435F4"/>
    <w:rsid w:val="002440C7"/>
    <w:rsid w:val="0024488D"/>
    <w:rsid w:val="0024593C"/>
    <w:rsid w:val="00245A31"/>
    <w:rsid w:val="002460C3"/>
    <w:rsid w:val="002464B3"/>
    <w:rsid w:val="00246DE7"/>
    <w:rsid w:val="0024781C"/>
    <w:rsid w:val="00247BCB"/>
    <w:rsid w:val="00247CAC"/>
    <w:rsid w:val="00247D8B"/>
    <w:rsid w:val="00247FFA"/>
    <w:rsid w:val="00250064"/>
    <w:rsid w:val="00250479"/>
    <w:rsid w:val="00250B3E"/>
    <w:rsid w:val="00250E67"/>
    <w:rsid w:val="00251EBE"/>
    <w:rsid w:val="00252101"/>
    <w:rsid w:val="0025240D"/>
    <w:rsid w:val="00252DDE"/>
    <w:rsid w:val="002533B1"/>
    <w:rsid w:val="00253FA2"/>
    <w:rsid w:val="002540E2"/>
    <w:rsid w:val="0025420F"/>
    <w:rsid w:val="0025499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F45"/>
    <w:rsid w:val="00265242"/>
    <w:rsid w:val="002657DD"/>
    <w:rsid w:val="00265E21"/>
    <w:rsid w:val="00266C35"/>
    <w:rsid w:val="00267385"/>
    <w:rsid w:val="002679E2"/>
    <w:rsid w:val="00267FC8"/>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F13"/>
    <w:rsid w:val="002820B7"/>
    <w:rsid w:val="0028278A"/>
    <w:rsid w:val="00282B36"/>
    <w:rsid w:val="00282E1C"/>
    <w:rsid w:val="00282EEC"/>
    <w:rsid w:val="00283613"/>
    <w:rsid w:val="00283883"/>
    <w:rsid w:val="002845A3"/>
    <w:rsid w:val="00285692"/>
    <w:rsid w:val="00285CA6"/>
    <w:rsid w:val="002863E7"/>
    <w:rsid w:val="00286417"/>
    <w:rsid w:val="00286D90"/>
    <w:rsid w:val="0028786F"/>
    <w:rsid w:val="00287A12"/>
    <w:rsid w:val="00287A2A"/>
    <w:rsid w:val="00287B41"/>
    <w:rsid w:val="00290EA0"/>
    <w:rsid w:val="00291038"/>
    <w:rsid w:val="00292E3B"/>
    <w:rsid w:val="002934C0"/>
    <w:rsid w:val="00293BB1"/>
    <w:rsid w:val="002943A4"/>
    <w:rsid w:val="002944C7"/>
    <w:rsid w:val="00295FEC"/>
    <w:rsid w:val="0029673F"/>
    <w:rsid w:val="00296919"/>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D85"/>
    <w:rsid w:val="002B21E7"/>
    <w:rsid w:val="002B2ABA"/>
    <w:rsid w:val="002B2CD7"/>
    <w:rsid w:val="002B312E"/>
    <w:rsid w:val="002B31BF"/>
    <w:rsid w:val="002B46FF"/>
    <w:rsid w:val="002B5A64"/>
    <w:rsid w:val="002B5D50"/>
    <w:rsid w:val="002B5DAE"/>
    <w:rsid w:val="002B6238"/>
    <w:rsid w:val="002B69E9"/>
    <w:rsid w:val="002B6BA4"/>
    <w:rsid w:val="002C03D2"/>
    <w:rsid w:val="002C071F"/>
    <w:rsid w:val="002C098C"/>
    <w:rsid w:val="002C0D31"/>
    <w:rsid w:val="002C12F3"/>
    <w:rsid w:val="002C17E8"/>
    <w:rsid w:val="002C27A0"/>
    <w:rsid w:val="002C2E2C"/>
    <w:rsid w:val="002C3289"/>
    <w:rsid w:val="002C3AF1"/>
    <w:rsid w:val="002C3C0B"/>
    <w:rsid w:val="002C3E04"/>
    <w:rsid w:val="002C4241"/>
    <w:rsid w:val="002C42F2"/>
    <w:rsid w:val="002C5019"/>
    <w:rsid w:val="002C5057"/>
    <w:rsid w:val="002C510C"/>
    <w:rsid w:val="002C51ED"/>
    <w:rsid w:val="002C58C6"/>
    <w:rsid w:val="002C5E61"/>
    <w:rsid w:val="002C61F2"/>
    <w:rsid w:val="002C6CD3"/>
    <w:rsid w:val="002C6F50"/>
    <w:rsid w:val="002C76EE"/>
    <w:rsid w:val="002C7BE7"/>
    <w:rsid w:val="002D01A2"/>
    <w:rsid w:val="002D0CC3"/>
    <w:rsid w:val="002D1645"/>
    <w:rsid w:val="002D1E5B"/>
    <w:rsid w:val="002D2752"/>
    <w:rsid w:val="002D37ED"/>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326"/>
    <w:rsid w:val="00310B0A"/>
    <w:rsid w:val="00311064"/>
    <w:rsid w:val="0031175D"/>
    <w:rsid w:val="00312459"/>
    <w:rsid w:val="0031311D"/>
    <w:rsid w:val="003142A3"/>
    <w:rsid w:val="0031486D"/>
    <w:rsid w:val="003153C7"/>
    <w:rsid w:val="003164B4"/>
    <w:rsid w:val="00316798"/>
    <w:rsid w:val="003170AC"/>
    <w:rsid w:val="0031750C"/>
    <w:rsid w:val="00317BA6"/>
    <w:rsid w:val="00320A89"/>
    <w:rsid w:val="00321385"/>
    <w:rsid w:val="00321541"/>
    <w:rsid w:val="0032155D"/>
    <w:rsid w:val="00321971"/>
    <w:rsid w:val="00321B64"/>
    <w:rsid w:val="003221B0"/>
    <w:rsid w:val="003228C9"/>
    <w:rsid w:val="00323A5C"/>
    <w:rsid w:val="00323DAB"/>
    <w:rsid w:val="003244C5"/>
    <w:rsid w:val="00324577"/>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93"/>
    <w:rsid w:val="0038125C"/>
    <w:rsid w:val="00381591"/>
    <w:rsid w:val="0038277D"/>
    <w:rsid w:val="003828CB"/>
    <w:rsid w:val="00382B95"/>
    <w:rsid w:val="00382C5E"/>
    <w:rsid w:val="00383833"/>
    <w:rsid w:val="00383C9B"/>
    <w:rsid w:val="00383F2D"/>
    <w:rsid w:val="00384197"/>
    <w:rsid w:val="00384D8F"/>
    <w:rsid w:val="003855A5"/>
    <w:rsid w:val="00385B51"/>
    <w:rsid w:val="00385C7D"/>
    <w:rsid w:val="00385DFB"/>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3F7"/>
    <w:rsid w:val="00396B01"/>
    <w:rsid w:val="00396CFF"/>
    <w:rsid w:val="003970D5"/>
    <w:rsid w:val="00397CED"/>
    <w:rsid w:val="00397DD9"/>
    <w:rsid w:val="00397F82"/>
    <w:rsid w:val="00397FCF"/>
    <w:rsid w:val="003A02E5"/>
    <w:rsid w:val="003A077F"/>
    <w:rsid w:val="003A11FD"/>
    <w:rsid w:val="003A13AF"/>
    <w:rsid w:val="003A1622"/>
    <w:rsid w:val="003A376F"/>
    <w:rsid w:val="003A3BC8"/>
    <w:rsid w:val="003A4024"/>
    <w:rsid w:val="003A436B"/>
    <w:rsid w:val="003A46A7"/>
    <w:rsid w:val="003A48E2"/>
    <w:rsid w:val="003A5197"/>
    <w:rsid w:val="003A5827"/>
    <w:rsid w:val="003A69B6"/>
    <w:rsid w:val="003A6AB2"/>
    <w:rsid w:val="003A7C66"/>
    <w:rsid w:val="003B00A0"/>
    <w:rsid w:val="003B020E"/>
    <w:rsid w:val="003B0637"/>
    <w:rsid w:val="003B0768"/>
    <w:rsid w:val="003B095B"/>
    <w:rsid w:val="003B0A1B"/>
    <w:rsid w:val="003B0F19"/>
    <w:rsid w:val="003B0FC2"/>
    <w:rsid w:val="003B1264"/>
    <w:rsid w:val="003B1346"/>
    <w:rsid w:val="003B13C5"/>
    <w:rsid w:val="003B1599"/>
    <w:rsid w:val="003B20DC"/>
    <w:rsid w:val="003B2596"/>
    <w:rsid w:val="003B2B80"/>
    <w:rsid w:val="003B2D21"/>
    <w:rsid w:val="003B2E77"/>
    <w:rsid w:val="003B2F4F"/>
    <w:rsid w:val="003B338C"/>
    <w:rsid w:val="003B39CE"/>
    <w:rsid w:val="003B3C85"/>
    <w:rsid w:val="003B5495"/>
    <w:rsid w:val="003B5582"/>
    <w:rsid w:val="003B59D6"/>
    <w:rsid w:val="003B5B3B"/>
    <w:rsid w:val="003B64FB"/>
    <w:rsid w:val="003B6B47"/>
    <w:rsid w:val="003B7365"/>
    <w:rsid w:val="003B7948"/>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BF9"/>
    <w:rsid w:val="003C7CD5"/>
    <w:rsid w:val="003D0123"/>
    <w:rsid w:val="003D0325"/>
    <w:rsid w:val="003D0DD3"/>
    <w:rsid w:val="003D0FC1"/>
    <w:rsid w:val="003D1111"/>
    <w:rsid w:val="003D1751"/>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614"/>
    <w:rsid w:val="004056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68FC"/>
    <w:rsid w:val="0042794F"/>
    <w:rsid w:val="00427C66"/>
    <w:rsid w:val="00427C68"/>
    <w:rsid w:val="0043031B"/>
    <w:rsid w:val="0043066F"/>
    <w:rsid w:val="00431356"/>
    <w:rsid w:val="004314B3"/>
    <w:rsid w:val="00431F48"/>
    <w:rsid w:val="00432A02"/>
    <w:rsid w:val="00433E88"/>
    <w:rsid w:val="00434BDE"/>
    <w:rsid w:val="00435209"/>
    <w:rsid w:val="004353E9"/>
    <w:rsid w:val="00435E71"/>
    <w:rsid w:val="0043696A"/>
    <w:rsid w:val="00436FA9"/>
    <w:rsid w:val="00437047"/>
    <w:rsid w:val="00437205"/>
    <w:rsid w:val="00440502"/>
    <w:rsid w:val="00440861"/>
    <w:rsid w:val="00441C32"/>
    <w:rsid w:val="00441E13"/>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3D2"/>
    <w:rsid w:val="004565EE"/>
    <w:rsid w:val="004603EE"/>
    <w:rsid w:val="00460D3C"/>
    <w:rsid w:val="004611C8"/>
    <w:rsid w:val="0046186C"/>
    <w:rsid w:val="0046254E"/>
    <w:rsid w:val="004629C4"/>
    <w:rsid w:val="00462B3D"/>
    <w:rsid w:val="004632BB"/>
    <w:rsid w:val="00463840"/>
    <w:rsid w:val="0046434C"/>
    <w:rsid w:val="00464D29"/>
    <w:rsid w:val="00464F7D"/>
    <w:rsid w:val="00465747"/>
    <w:rsid w:val="00465A25"/>
    <w:rsid w:val="00465A4A"/>
    <w:rsid w:val="00465AD0"/>
    <w:rsid w:val="00465DB0"/>
    <w:rsid w:val="00466150"/>
    <w:rsid w:val="00466DFE"/>
    <w:rsid w:val="00467267"/>
    <w:rsid w:val="00467673"/>
    <w:rsid w:val="00470897"/>
    <w:rsid w:val="00470CA4"/>
    <w:rsid w:val="004719E1"/>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1A0E"/>
    <w:rsid w:val="00492155"/>
    <w:rsid w:val="00492567"/>
    <w:rsid w:val="00494686"/>
    <w:rsid w:val="0049476B"/>
    <w:rsid w:val="00494C0E"/>
    <w:rsid w:val="004953B2"/>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28C5"/>
    <w:rsid w:val="004B28FE"/>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763"/>
    <w:rsid w:val="004C6ACF"/>
    <w:rsid w:val="004C6BD8"/>
    <w:rsid w:val="004C70CF"/>
    <w:rsid w:val="004C71E1"/>
    <w:rsid w:val="004C721F"/>
    <w:rsid w:val="004C738E"/>
    <w:rsid w:val="004D0285"/>
    <w:rsid w:val="004D051B"/>
    <w:rsid w:val="004D0A1B"/>
    <w:rsid w:val="004D0CAD"/>
    <w:rsid w:val="004D0D1C"/>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714"/>
    <w:rsid w:val="005408D6"/>
    <w:rsid w:val="00540916"/>
    <w:rsid w:val="00540CF2"/>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C3B"/>
    <w:rsid w:val="005800BA"/>
    <w:rsid w:val="0058032F"/>
    <w:rsid w:val="00580C49"/>
    <w:rsid w:val="0058156B"/>
    <w:rsid w:val="005818A2"/>
    <w:rsid w:val="00581953"/>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980"/>
    <w:rsid w:val="005A2097"/>
    <w:rsid w:val="005A26B4"/>
    <w:rsid w:val="005A29F2"/>
    <w:rsid w:val="005A2A33"/>
    <w:rsid w:val="005A2E3F"/>
    <w:rsid w:val="005A2F3F"/>
    <w:rsid w:val="005A3173"/>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82C"/>
    <w:rsid w:val="00603F82"/>
    <w:rsid w:val="00603FD0"/>
    <w:rsid w:val="006049B8"/>
    <w:rsid w:val="0060504E"/>
    <w:rsid w:val="00605104"/>
    <w:rsid w:val="006054AC"/>
    <w:rsid w:val="00605E39"/>
    <w:rsid w:val="006068F6"/>
    <w:rsid w:val="00606A82"/>
    <w:rsid w:val="00607BB1"/>
    <w:rsid w:val="0061037F"/>
    <w:rsid w:val="006109F5"/>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4659"/>
    <w:rsid w:val="00635AB9"/>
    <w:rsid w:val="00640010"/>
    <w:rsid w:val="0064009D"/>
    <w:rsid w:val="00640220"/>
    <w:rsid w:val="006402FF"/>
    <w:rsid w:val="00640C44"/>
    <w:rsid w:val="00640E0C"/>
    <w:rsid w:val="0064130B"/>
    <w:rsid w:val="0064146B"/>
    <w:rsid w:val="00641BFF"/>
    <w:rsid w:val="00642055"/>
    <w:rsid w:val="00642FB0"/>
    <w:rsid w:val="00643060"/>
    <w:rsid w:val="00644581"/>
    <w:rsid w:val="00644664"/>
    <w:rsid w:val="006449E9"/>
    <w:rsid w:val="00644B01"/>
    <w:rsid w:val="00644C68"/>
    <w:rsid w:val="00644E9F"/>
    <w:rsid w:val="00646179"/>
    <w:rsid w:val="00646281"/>
    <w:rsid w:val="006462C1"/>
    <w:rsid w:val="0064708A"/>
    <w:rsid w:val="0065199A"/>
    <w:rsid w:val="00651D13"/>
    <w:rsid w:val="0065267B"/>
    <w:rsid w:val="0065339E"/>
    <w:rsid w:val="006539B5"/>
    <w:rsid w:val="00654B56"/>
    <w:rsid w:val="00655432"/>
    <w:rsid w:val="0065714E"/>
    <w:rsid w:val="006572C9"/>
    <w:rsid w:val="006603CE"/>
    <w:rsid w:val="00661782"/>
    <w:rsid w:val="006619C9"/>
    <w:rsid w:val="00661A9F"/>
    <w:rsid w:val="006620D2"/>
    <w:rsid w:val="00662108"/>
    <w:rsid w:val="0066251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42D7"/>
    <w:rsid w:val="00684304"/>
    <w:rsid w:val="0068497E"/>
    <w:rsid w:val="006850BE"/>
    <w:rsid w:val="00686E41"/>
    <w:rsid w:val="00687B22"/>
    <w:rsid w:val="00690B18"/>
    <w:rsid w:val="00691090"/>
    <w:rsid w:val="006914C9"/>
    <w:rsid w:val="00691976"/>
    <w:rsid w:val="00692785"/>
    <w:rsid w:val="00692A94"/>
    <w:rsid w:val="00692CBA"/>
    <w:rsid w:val="006934FB"/>
    <w:rsid w:val="006937CF"/>
    <w:rsid w:val="00693FA6"/>
    <w:rsid w:val="00694389"/>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42D"/>
    <w:rsid w:val="006B1509"/>
    <w:rsid w:val="006B1EC9"/>
    <w:rsid w:val="006B221E"/>
    <w:rsid w:val="006B3143"/>
    <w:rsid w:val="006B36A0"/>
    <w:rsid w:val="006B3A95"/>
    <w:rsid w:val="006B4823"/>
    <w:rsid w:val="006B48E8"/>
    <w:rsid w:val="006B4F74"/>
    <w:rsid w:val="006B5909"/>
    <w:rsid w:val="006B669A"/>
    <w:rsid w:val="006B7340"/>
    <w:rsid w:val="006C02F9"/>
    <w:rsid w:val="006C042F"/>
    <w:rsid w:val="006C0559"/>
    <w:rsid w:val="006C0A54"/>
    <w:rsid w:val="006C119E"/>
    <w:rsid w:val="006C1208"/>
    <w:rsid w:val="006C12E9"/>
    <w:rsid w:val="006C1511"/>
    <w:rsid w:val="006C2781"/>
    <w:rsid w:val="006C2E21"/>
    <w:rsid w:val="006C3572"/>
    <w:rsid w:val="006C383E"/>
    <w:rsid w:val="006C3A4B"/>
    <w:rsid w:val="006C5DAF"/>
    <w:rsid w:val="006C5F27"/>
    <w:rsid w:val="006C6C32"/>
    <w:rsid w:val="006C70F0"/>
    <w:rsid w:val="006C7993"/>
    <w:rsid w:val="006D0970"/>
    <w:rsid w:val="006D1207"/>
    <w:rsid w:val="006D1E50"/>
    <w:rsid w:val="006D227E"/>
    <w:rsid w:val="006D2EFC"/>
    <w:rsid w:val="006D2FC8"/>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52D"/>
    <w:rsid w:val="006F4568"/>
    <w:rsid w:val="006F4606"/>
    <w:rsid w:val="006F4888"/>
    <w:rsid w:val="006F4C4E"/>
    <w:rsid w:val="006F4C5E"/>
    <w:rsid w:val="006F4D8E"/>
    <w:rsid w:val="006F502E"/>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C94"/>
    <w:rsid w:val="007075E5"/>
    <w:rsid w:val="007077AE"/>
    <w:rsid w:val="00710686"/>
    <w:rsid w:val="007107F0"/>
    <w:rsid w:val="007115B7"/>
    <w:rsid w:val="00711BC7"/>
    <w:rsid w:val="00711F58"/>
    <w:rsid w:val="00713439"/>
    <w:rsid w:val="00713FD9"/>
    <w:rsid w:val="00714EF6"/>
    <w:rsid w:val="007150F0"/>
    <w:rsid w:val="007153CE"/>
    <w:rsid w:val="0071544D"/>
    <w:rsid w:val="00715485"/>
    <w:rsid w:val="0071598D"/>
    <w:rsid w:val="0071629F"/>
    <w:rsid w:val="007165E0"/>
    <w:rsid w:val="00716B27"/>
    <w:rsid w:val="00717D60"/>
    <w:rsid w:val="007201AD"/>
    <w:rsid w:val="007209F3"/>
    <w:rsid w:val="00720CD9"/>
    <w:rsid w:val="00721942"/>
    <w:rsid w:val="00721A8F"/>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98"/>
    <w:rsid w:val="00730BEC"/>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ED3"/>
    <w:rsid w:val="00744FCE"/>
    <w:rsid w:val="0074638B"/>
    <w:rsid w:val="0074671C"/>
    <w:rsid w:val="00746B76"/>
    <w:rsid w:val="00746C9F"/>
    <w:rsid w:val="00747516"/>
    <w:rsid w:val="0075022A"/>
    <w:rsid w:val="007510A5"/>
    <w:rsid w:val="007516E8"/>
    <w:rsid w:val="007518AE"/>
    <w:rsid w:val="00751EAE"/>
    <w:rsid w:val="007520AC"/>
    <w:rsid w:val="00752172"/>
    <w:rsid w:val="007535AD"/>
    <w:rsid w:val="00753740"/>
    <w:rsid w:val="007539CA"/>
    <w:rsid w:val="00754C4F"/>
    <w:rsid w:val="0075550E"/>
    <w:rsid w:val="00756755"/>
    <w:rsid w:val="00756AB8"/>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2808"/>
    <w:rsid w:val="007A2993"/>
    <w:rsid w:val="007A2C42"/>
    <w:rsid w:val="007A2FDA"/>
    <w:rsid w:val="007A31EE"/>
    <w:rsid w:val="007A3633"/>
    <w:rsid w:val="007A3E80"/>
    <w:rsid w:val="007A41C1"/>
    <w:rsid w:val="007A42A5"/>
    <w:rsid w:val="007A5334"/>
    <w:rsid w:val="007A571E"/>
    <w:rsid w:val="007A6135"/>
    <w:rsid w:val="007A70F7"/>
    <w:rsid w:val="007B04DD"/>
    <w:rsid w:val="007B0703"/>
    <w:rsid w:val="007B085A"/>
    <w:rsid w:val="007B1D42"/>
    <w:rsid w:val="007B1F16"/>
    <w:rsid w:val="007B2009"/>
    <w:rsid w:val="007B2021"/>
    <w:rsid w:val="007B21D7"/>
    <w:rsid w:val="007B252A"/>
    <w:rsid w:val="007B2ECC"/>
    <w:rsid w:val="007B2ED7"/>
    <w:rsid w:val="007B3378"/>
    <w:rsid w:val="007B3F2D"/>
    <w:rsid w:val="007B56C2"/>
    <w:rsid w:val="007B587C"/>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D1079"/>
    <w:rsid w:val="007D13D5"/>
    <w:rsid w:val="007D154A"/>
    <w:rsid w:val="007D2415"/>
    <w:rsid w:val="007D3431"/>
    <w:rsid w:val="007D3C8C"/>
    <w:rsid w:val="007D4832"/>
    <w:rsid w:val="007D4A0E"/>
    <w:rsid w:val="007D572B"/>
    <w:rsid w:val="007D6C8A"/>
    <w:rsid w:val="007D6E31"/>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AB0"/>
    <w:rsid w:val="007F011C"/>
    <w:rsid w:val="007F065A"/>
    <w:rsid w:val="007F0D82"/>
    <w:rsid w:val="007F0DCB"/>
    <w:rsid w:val="007F1D0B"/>
    <w:rsid w:val="007F1E68"/>
    <w:rsid w:val="007F20F1"/>
    <w:rsid w:val="007F253A"/>
    <w:rsid w:val="007F2AC2"/>
    <w:rsid w:val="007F2E3F"/>
    <w:rsid w:val="007F34AA"/>
    <w:rsid w:val="007F373F"/>
    <w:rsid w:val="007F374A"/>
    <w:rsid w:val="007F3796"/>
    <w:rsid w:val="007F4A5B"/>
    <w:rsid w:val="007F5299"/>
    <w:rsid w:val="007F532C"/>
    <w:rsid w:val="007F536A"/>
    <w:rsid w:val="007F53F7"/>
    <w:rsid w:val="007F5DAF"/>
    <w:rsid w:val="007F6B6A"/>
    <w:rsid w:val="007F70CC"/>
    <w:rsid w:val="007F76F3"/>
    <w:rsid w:val="007F77F4"/>
    <w:rsid w:val="007F79FA"/>
    <w:rsid w:val="007F7AE1"/>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6BE6"/>
    <w:rsid w:val="008273A1"/>
    <w:rsid w:val="008274BB"/>
    <w:rsid w:val="0082761A"/>
    <w:rsid w:val="00830B16"/>
    <w:rsid w:val="00830CDB"/>
    <w:rsid w:val="008318AB"/>
    <w:rsid w:val="00831FB2"/>
    <w:rsid w:val="00832359"/>
    <w:rsid w:val="00832368"/>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4587"/>
    <w:rsid w:val="00864BC1"/>
    <w:rsid w:val="0086514D"/>
    <w:rsid w:val="00865BCA"/>
    <w:rsid w:val="00866453"/>
    <w:rsid w:val="00866FBC"/>
    <w:rsid w:val="008674C7"/>
    <w:rsid w:val="0086771E"/>
    <w:rsid w:val="00871214"/>
    <w:rsid w:val="00871658"/>
    <w:rsid w:val="008722F0"/>
    <w:rsid w:val="008722F3"/>
    <w:rsid w:val="008725D1"/>
    <w:rsid w:val="00872977"/>
    <w:rsid w:val="00872C22"/>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37FF"/>
    <w:rsid w:val="008A3E2B"/>
    <w:rsid w:val="008A44CC"/>
    <w:rsid w:val="008A469B"/>
    <w:rsid w:val="008A4928"/>
    <w:rsid w:val="008A4A5E"/>
    <w:rsid w:val="008A4F48"/>
    <w:rsid w:val="008A5770"/>
    <w:rsid w:val="008A59E9"/>
    <w:rsid w:val="008A5B3C"/>
    <w:rsid w:val="008A620E"/>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C98"/>
    <w:rsid w:val="008E3691"/>
    <w:rsid w:val="008E36A9"/>
    <w:rsid w:val="008E3D19"/>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26F4"/>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28BE"/>
    <w:rsid w:val="00962926"/>
    <w:rsid w:val="00962DEB"/>
    <w:rsid w:val="00963163"/>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2044"/>
    <w:rsid w:val="00972C95"/>
    <w:rsid w:val="00974433"/>
    <w:rsid w:val="0097475F"/>
    <w:rsid w:val="00974AFE"/>
    <w:rsid w:val="00974B64"/>
    <w:rsid w:val="00974F21"/>
    <w:rsid w:val="009751E6"/>
    <w:rsid w:val="009754C6"/>
    <w:rsid w:val="00975CE0"/>
    <w:rsid w:val="009761CF"/>
    <w:rsid w:val="00976391"/>
    <w:rsid w:val="00976CFA"/>
    <w:rsid w:val="009772F8"/>
    <w:rsid w:val="009800FC"/>
    <w:rsid w:val="00980192"/>
    <w:rsid w:val="009807B3"/>
    <w:rsid w:val="00980867"/>
    <w:rsid w:val="0098120F"/>
    <w:rsid w:val="009814E8"/>
    <w:rsid w:val="00981BB9"/>
    <w:rsid w:val="009821D2"/>
    <w:rsid w:val="009822BD"/>
    <w:rsid w:val="009835D9"/>
    <w:rsid w:val="00984ED3"/>
    <w:rsid w:val="00985145"/>
    <w:rsid w:val="009851B8"/>
    <w:rsid w:val="0098614D"/>
    <w:rsid w:val="0098652B"/>
    <w:rsid w:val="00986C0C"/>
    <w:rsid w:val="00986CFF"/>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7A4F"/>
    <w:rsid w:val="00997DD7"/>
    <w:rsid w:val="00997FCA"/>
    <w:rsid w:val="009A102C"/>
    <w:rsid w:val="009A1114"/>
    <w:rsid w:val="009A14F4"/>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5266"/>
    <w:rsid w:val="009D534A"/>
    <w:rsid w:val="009D5459"/>
    <w:rsid w:val="009D5C1C"/>
    <w:rsid w:val="009D60A7"/>
    <w:rsid w:val="009D6CB7"/>
    <w:rsid w:val="009D718B"/>
    <w:rsid w:val="009D7363"/>
    <w:rsid w:val="009E051A"/>
    <w:rsid w:val="009E172D"/>
    <w:rsid w:val="009E2B5A"/>
    <w:rsid w:val="009E2B78"/>
    <w:rsid w:val="009E2F6A"/>
    <w:rsid w:val="009E30BB"/>
    <w:rsid w:val="009E395D"/>
    <w:rsid w:val="009E3D4D"/>
    <w:rsid w:val="009E4567"/>
    <w:rsid w:val="009E4637"/>
    <w:rsid w:val="009E5805"/>
    <w:rsid w:val="009E59DB"/>
    <w:rsid w:val="009E5AD2"/>
    <w:rsid w:val="009E5E33"/>
    <w:rsid w:val="009E6031"/>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4F28"/>
    <w:rsid w:val="00A24F58"/>
    <w:rsid w:val="00A24FC7"/>
    <w:rsid w:val="00A25104"/>
    <w:rsid w:val="00A2573B"/>
    <w:rsid w:val="00A2599F"/>
    <w:rsid w:val="00A259D0"/>
    <w:rsid w:val="00A25C93"/>
    <w:rsid w:val="00A25E3E"/>
    <w:rsid w:val="00A25F3B"/>
    <w:rsid w:val="00A26DA1"/>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832"/>
    <w:rsid w:val="00A36874"/>
    <w:rsid w:val="00A37E31"/>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26C"/>
    <w:rsid w:val="00A51563"/>
    <w:rsid w:val="00A5162B"/>
    <w:rsid w:val="00A51EBF"/>
    <w:rsid w:val="00A526C1"/>
    <w:rsid w:val="00A53003"/>
    <w:rsid w:val="00A5345E"/>
    <w:rsid w:val="00A5442A"/>
    <w:rsid w:val="00A54949"/>
    <w:rsid w:val="00A54AF4"/>
    <w:rsid w:val="00A54BB7"/>
    <w:rsid w:val="00A55152"/>
    <w:rsid w:val="00A5520B"/>
    <w:rsid w:val="00A55E0A"/>
    <w:rsid w:val="00A5645D"/>
    <w:rsid w:val="00A567D9"/>
    <w:rsid w:val="00A56EA7"/>
    <w:rsid w:val="00A572B8"/>
    <w:rsid w:val="00A576D2"/>
    <w:rsid w:val="00A57EBD"/>
    <w:rsid w:val="00A60363"/>
    <w:rsid w:val="00A607E9"/>
    <w:rsid w:val="00A60C51"/>
    <w:rsid w:val="00A60FFD"/>
    <w:rsid w:val="00A61063"/>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9C6"/>
    <w:rsid w:val="00A8109F"/>
    <w:rsid w:val="00A823CF"/>
    <w:rsid w:val="00A8265C"/>
    <w:rsid w:val="00A83682"/>
    <w:rsid w:val="00A83B48"/>
    <w:rsid w:val="00A8447E"/>
    <w:rsid w:val="00A84EC4"/>
    <w:rsid w:val="00A85143"/>
    <w:rsid w:val="00A86012"/>
    <w:rsid w:val="00A86847"/>
    <w:rsid w:val="00A868F6"/>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BFC"/>
    <w:rsid w:val="00AB27B8"/>
    <w:rsid w:val="00AB29C5"/>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FFF"/>
    <w:rsid w:val="00AD67C7"/>
    <w:rsid w:val="00AD6C4C"/>
    <w:rsid w:val="00AD79E6"/>
    <w:rsid w:val="00AE0983"/>
    <w:rsid w:val="00AE0B99"/>
    <w:rsid w:val="00AE0CBA"/>
    <w:rsid w:val="00AE1472"/>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20E9E"/>
    <w:rsid w:val="00B20ECA"/>
    <w:rsid w:val="00B2145F"/>
    <w:rsid w:val="00B21492"/>
    <w:rsid w:val="00B220E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C2"/>
    <w:rsid w:val="00B5769D"/>
    <w:rsid w:val="00B57B4F"/>
    <w:rsid w:val="00B57D0F"/>
    <w:rsid w:val="00B60190"/>
    <w:rsid w:val="00B60ABB"/>
    <w:rsid w:val="00B61A5A"/>
    <w:rsid w:val="00B61BA6"/>
    <w:rsid w:val="00B6361C"/>
    <w:rsid w:val="00B636F5"/>
    <w:rsid w:val="00B63A62"/>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F4C"/>
    <w:rsid w:val="00B75989"/>
    <w:rsid w:val="00B76FC4"/>
    <w:rsid w:val="00B77B34"/>
    <w:rsid w:val="00B803D1"/>
    <w:rsid w:val="00B80447"/>
    <w:rsid w:val="00B80AC1"/>
    <w:rsid w:val="00B80DC6"/>
    <w:rsid w:val="00B80E77"/>
    <w:rsid w:val="00B81E96"/>
    <w:rsid w:val="00B82343"/>
    <w:rsid w:val="00B823AE"/>
    <w:rsid w:val="00B82DDC"/>
    <w:rsid w:val="00B8312C"/>
    <w:rsid w:val="00B839C7"/>
    <w:rsid w:val="00B842C1"/>
    <w:rsid w:val="00B84301"/>
    <w:rsid w:val="00B8559B"/>
    <w:rsid w:val="00B85847"/>
    <w:rsid w:val="00B868C5"/>
    <w:rsid w:val="00B86FD9"/>
    <w:rsid w:val="00B87071"/>
    <w:rsid w:val="00B87F13"/>
    <w:rsid w:val="00B90A18"/>
    <w:rsid w:val="00B91779"/>
    <w:rsid w:val="00B91E98"/>
    <w:rsid w:val="00B9284F"/>
    <w:rsid w:val="00B92AF9"/>
    <w:rsid w:val="00B92D48"/>
    <w:rsid w:val="00B9467E"/>
    <w:rsid w:val="00B94A73"/>
    <w:rsid w:val="00B9534E"/>
    <w:rsid w:val="00B9575D"/>
    <w:rsid w:val="00B95DC8"/>
    <w:rsid w:val="00B9643B"/>
    <w:rsid w:val="00B96753"/>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62A"/>
    <w:rsid w:val="00BC7B7C"/>
    <w:rsid w:val="00BD0133"/>
    <w:rsid w:val="00BD091C"/>
    <w:rsid w:val="00BD0F71"/>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5F"/>
    <w:rsid w:val="00C92AD8"/>
    <w:rsid w:val="00C93857"/>
    <w:rsid w:val="00C93A15"/>
    <w:rsid w:val="00C93C88"/>
    <w:rsid w:val="00C94490"/>
    <w:rsid w:val="00C948FD"/>
    <w:rsid w:val="00C954AA"/>
    <w:rsid w:val="00C9578B"/>
    <w:rsid w:val="00C95B34"/>
    <w:rsid w:val="00C96367"/>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2ED"/>
    <w:rsid w:val="00CA599C"/>
    <w:rsid w:val="00CA5B19"/>
    <w:rsid w:val="00CA5FB7"/>
    <w:rsid w:val="00CA60B3"/>
    <w:rsid w:val="00CA6115"/>
    <w:rsid w:val="00CA6A05"/>
    <w:rsid w:val="00CA7003"/>
    <w:rsid w:val="00CA76A1"/>
    <w:rsid w:val="00CB02C6"/>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BBC"/>
    <w:rsid w:val="00CC2CB6"/>
    <w:rsid w:val="00CC3506"/>
    <w:rsid w:val="00CC3816"/>
    <w:rsid w:val="00CC3CAD"/>
    <w:rsid w:val="00CC3CBA"/>
    <w:rsid w:val="00CC4064"/>
    <w:rsid w:val="00CC4199"/>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73D7"/>
    <w:rsid w:val="00CE75A3"/>
    <w:rsid w:val="00CF0032"/>
    <w:rsid w:val="00CF0C85"/>
    <w:rsid w:val="00CF105F"/>
    <w:rsid w:val="00CF19AA"/>
    <w:rsid w:val="00CF1BB6"/>
    <w:rsid w:val="00CF2575"/>
    <w:rsid w:val="00CF2A97"/>
    <w:rsid w:val="00CF2DBC"/>
    <w:rsid w:val="00CF3D97"/>
    <w:rsid w:val="00CF3E36"/>
    <w:rsid w:val="00CF41E5"/>
    <w:rsid w:val="00CF42DB"/>
    <w:rsid w:val="00CF467F"/>
    <w:rsid w:val="00CF520C"/>
    <w:rsid w:val="00CF5694"/>
    <w:rsid w:val="00CF571A"/>
    <w:rsid w:val="00CF5721"/>
    <w:rsid w:val="00CF57FF"/>
    <w:rsid w:val="00CF65AA"/>
    <w:rsid w:val="00CF7310"/>
    <w:rsid w:val="00CF788B"/>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682"/>
    <w:rsid w:val="00D12C42"/>
    <w:rsid w:val="00D12C49"/>
    <w:rsid w:val="00D1331A"/>
    <w:rsid w:val="00D1334E"/>
    <w:rsid w:val="00D133A7"/>
    <w:rsid w:val="00D1382A"/>
    <w:rsid w:val="00D13CA7"/>
    <w:rsid w:val="00D13DA8"/>
    <w:rsid w:val="00D1496F"/>
    <w:rsid w:val="00D157FE"/>
    <w:rsid w:val="00D15C2C"/>
    <w:rsid w:val="00D1621C"/>
    <w:rsid w:val="00D1721D"/>
    <w:rsid w:val="00D173DF"/>
    <w:rsid w:val="00D202FD"/>
    <w:rsid w:val="00D21661"/>
    <w:rsid w:val="00D21685"/>
    <w:rsid w:val="00D219CD"/>
    <w:rsid w:val="00D21FA0"/>
    <w:rsid w:val="00D2261A"/>
    <w:rsid w:val="00D226CE"/>
    <w:rsid w:val="00D22E63"/>
    <w:rsid w:val="00D237E7"/>
    <w:rsid w:val="00D23984"/>
    <w:rsid w:val="00D23C21"/>
    <w:rsid w:val="00D25AC5"/>
    <w:rsid w:val="00D25B69"/>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4333"/>
    <w:rsid w:val="00D34BAE"/>
    <w:rsid w:val="00D350F7"/>
    <w:rsid w:val="00D36CCD"/>
    <w:rsid w:val="00D378FC"/>
    <w:rsid w:val="00D40041"/>
    <w:rsid w:val="00D40158"/>
    <w:rsid w:val="00D40B8C"/>
    <w:rsid w:val="00D412AE"/>
    <w:rsid w:val="00D421FC"/>
    <w:rsid w:val="00D43256"/>
    <w:rsid w:val="00D4330C"/>
    <w:rsid w:val="00D438E1"/>
    <w:rsid w:val="00D448A4"/>
    <w:rsid w:val="00D4537D"/>
    <w:rsid w:val="00D458D4"/>
    <w:rsid w:val="00D45BD1"/>
    <w:rsid w:val="00D461C2"/>
    <w:rsid w:val="00D467EA"/>
    <w:rsid w:val="00D46838"/>
    <w:rsid w:val="00D469AD"/>
    <w:rsid w:val="00D46AB4"/>
    <w:rsid w:val="00D46E60"/>
    <w:rsid w:val="00D47236"/>
    <w:rsid w:val="00D479BD"/>
    <w:rsid w:val="00D47A5E"/>
    <w:rsid w:val="00D508B4"/>
    <w:rsid w:val="00D50938"/>
    <w:rsid w:val="00D50BA7"/>
    <w:rsid w:val="00D51633"/>
    <w:rsid w:val="00D529A9"/>
    <w:rsid w:val="00D52E2D"/>
    <w:rsid w:val="00D52F34"/>
    <w:rsid w:val="00D53EFA"/>
    <w:rsid w:val="00D5422E"/>
    <w:rsid w:val="00D55084"/>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468"/>
    <w:rsid w:val="00DE4AFB"/>
    <w:rsid w:val="00DE4D23"/>
    <w:rsid w:val="00DE4D62"/>
    <w:rsid w:val="00DE4FE3"/>
    <w:rsid w:val="00DE5EE5"/>
    <w:rsid w:val="00DE61C2"/>
    <w:rsid w:val="00DE6231"/>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5D7"/>
    <w:rsid w:val="00E3203C"/>
    <w:rsid w:val="00E3254F"/>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0D1D"/>
    <w:rsid w:val="00E4155F"/>
    <w:rsid w:val="00E4178A"/>
    <w:rsid w:val="00E41B93"/>
    <w:rsid w:val="00E4287B"/>
    <w:rsid w:val="00E439E1"/>
    <w:rsid w:val="00E451C3"/>
    <w:rsid w:val="00E45525"/>
    <w:rsid w:val="00E45DA8"/>
    <w:rsid w:val="00E46192"/>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70FE"/>
    <w:rsid w:val="00E57CA8"/>
    <w:rsid w:val="00E57E85"/>
    <w:rsid w:val="00E6178D"/>
    <w:rsid w:val="00E6235A"/>
    <w:rsid w:val="00E62A75"/>
    <w:rsid w:val="00E62CAF"/>
    <w:rsid w:val="00E63556"/>
    <w:rsid w:val="00E635DC"/>
    <w:rsid w:val="00E63645"/>
    <w:rsid w:val="00E63679"/>
    <w:rsid w:val="00E636FF"/>
    <w:rsid w:val="00E65560"/>
    <w:rsid w:val="00E656D1"/>
    <w:rsid w:val="00E65B67"/>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E26"/>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F21"/>
    <w:rsid w:val="00EB124C"/>
    <w:rsid w:val="00EB1321"/>
    <w:rsid w:val="00EB164E"/>
    <w:rsid w:val="00EB245F"/>
    <w:rsid w:val="00EB25FE"/>
    <w:rsid w:val="00EB336C"/>
    <w:rsid w:val="00EB33D4"/>
    <w:rsid w:val="00EB3646"/>
    <w:rsid w:val="00EB3CCD"/>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BE"/>
    <w:rsid w:val="00ED2A60"/>
    <w:rsid w:val="00ED2E04"/>
    <w:rsid w:val="00ED2F48"/>
    <w:rsid w:val="00ED35CD"/>
    <w:rsid w:val="00ED38D1"/>
    <w:rsid w:val="00ED4E1C"/>
    <w:rsid w:val="00ED4E38"/>
    <w:rsid w:val="00ED53CA"/>
    <w:rsid w:val="00ED57CF"/>
    <w:rsid w:val="00ED5DA1"/>
    <w:rsid w:val="00ED6034"/>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3B28"/>
    <w:rsid w:val="00F2422D"/>
    <w:rsid w:val="00F247E9"/>
    <w:rsid w:val="00F253E6"/>
    <w:rsid w:val="00F25623"/>
    <w:rsid w:val="00F25A26"/>
    <w:rsid w:val="00F25F12"/>
    <w:rsid w:val="00F261CD"/>
    <w:rsid w:val="00F266B9"/>
    <w:rsid w:val="00F2675F"/>
    <w:rsid w:val="00F26B23"/>
    <w:rsid w:val="00F26B7C"/>
    <w:rsid w:val="00F26C1E"/>
    <w:rsid w:val="00F27570"/>
    <w:rsid w:val="00F27A85"/>
    <w:rsid w:val="00F30682"/>
    <w:rsid w:val="00F30A3A"/>
    <w:rsid w:val="00F31A12"/>
    <w:rsid w:val="00F31B30"/>
    <w:rsid w:val="00F31DA3"/>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F61"/>
    <w:rsid w:val="00F51F96"/>
    <w:rsid w:val="00F526C6"/>
    <w:rsid w:val="00F52E0B"/>
    <w:rsid w:val="00F53417"/>
    <w:rsid w:val="00F5352F"/>
    <w:rsid w:val="00F53601"/>
    <w:rsid w:val="00F549D1"/>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850"/>
    <w:rsid w:val="00F70BE9"/>
    <w:rsid w:val="00F727CC"/>
    <w:rsid w:val="00F72B8D"/>
    <w:rsid w:val="00F72DB4"/>
    <w:rsid w:val="00F73F19"/>
    <w:rsid w:val="00F74926"/>
    <w:rsid w:val="00F75C6F"/>
    <w:rsid w:val="00F76259"/>
    <w:rsid w:val="00F767C3"/>
    <w:rsid w:val="00F76D4B"/>
    <w:rsid w:val="00F77118"/>
    <w:rsid w:val="00F777E1"/>
    <w:rsid w:val="00F80275"/>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F06"/>
    <w:rsid w:val="00F9162D"/>
    <w:rsid w:val="00F91878"/>
    <w:rsid w:val="00F91F38"/>
    <w:rsid w:val="00F9239D"/>
    <w:rsid w:val="00F92639"/>
    <w:rsid w:val="00F927F0"/>
    <w:rsid w:val="00F92BC5"/>
    <w:rsid w:val="00F934BB"/>
    <w:rsid w:val="00F93893"/>
    <w:rsid w:val="00F950EB"/>
    <w:rsid w:val="00F9522F"/>
    <w:rsid w:val="00F953E7"/>
    <w:rsid w:val="00F957D1"/>
    <w:rsid w:val="00F95EBF"/>
    <w:rsid w:val="00F9612E"/>
    <w:rsid w:val="00F97359"/>
    <w:rsid w:val="00F977B3"/>
    <w:rsid w:val="00F97C7B"/>
    <w:rsid w:val="00FA018C"/>
    <w:rsid w:val="00FA02D8"/>
    <w:rsid w:val="00FA074F"/>
    <w:rsid w:val="00FA08EA"/>
    <w:rsid w:val="00FA0A50"/>
    <w:rsid w:val="00FA0B04"/>
    <w:rsid w:val="00FA132B"/>
    <w:rsid w:val="00FA13C9"/>
    <w:rsid w:val="00FA1412"/>
    <w:rsid w:val="00FA1BEF"/>
    <w:rsid w:val="00FA217D"/>
    <w:rsid w:val="00FA416C"/>
    <w:rsid w:val="00FA43EE"/>
    <w:rsid w:val="00FA4871"/>
    <w:rsid w:val="00FA6173"/>
    <w:rsid w:val="00FA64C8"/>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74CA"/>
    <w:rsid w:val="00FC7BC5"/>
    <w:rsid w:val="00FD0DD9"/>
    <w:rsid w:val="00FD0F78"/>
    <w:rsid w:val="00FD13D4"/>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9A3"/>
    <w:rsid w:val="00FE326A"/>
    <w:rsid w:val="00FE367E"/>
    <w:rsid w:val="00FE3A94"/>
    <w:rsid w:val="00FE3B54"/>
    <w:rsid w:val="00FE3E04"/>
    <w:rsid w:val="00FE5363"/>
    <w:rsid w:val="00FE60D8"/>
    <w:rsid w:val="00FE60EB"/>
    <w:rsid w:val="00FE64F7"/>
    <w:rsid w:val="00FE670B"/>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DB4A50F9-4A67-45A8-BE8A-97BE52193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semiHidden/>
    <w:unhideWhenUsed/>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016BFFA-30B6-4374-BD27-2C991406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8528</Words>
  <Characters>45259</Characters>
  <Application>Microsoft Office Word</Application>
  <DocSecurity>0</DocSecurity>
  <Lines>1131</Lines>
  <Paragraphs>532</Paragraphs>
  <ScaleCrop>false</ScaleCrop>
  <Company>Huawei</Company>
  <LinksUpToDate>false</LinksUpToDate>
  <CharactersWithSpaces>53255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2</cp:revision>
  <cp:lastPrinted>2018-08-21T04:59:00Z</cp:lastPrinted>
  <dcterms:created xsi:type="dcterms:W3CDTF">2024-11-20T15:39:00Z</dcterms:created>
  <dcterms:modified xsi:type="dcterms:W3CDTF">2024-11-20T15:39:00Z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MSIP_Label_4d2f777e-4347-4fc6-823a-b44ab313546a_Enabled">
    <vt:lpwstr>true</vt:lpwstr>
  </property>
  <property fmtid="{D5CDD505-2E9C-101B-9397-08002B2CF9AE}" pid="26" name="MSIP_Label_4d2f777e-4347-4fc6-823a-b44ab313546a_SetDate">
    <vt:lpwstr>2024-10-04T15:19:58Z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078c46ee-7416-4e15-9975-0a468873d6f8</vt:lpwstr>
  </property>
  <property fmtid="{D5CDD505-2E9C-101B-9397-08002B2CF9AE}" pid="31" name="MSIP_Label_4d2f777e-4347-4fc6-823a-b44ab313546a_ContentBits">
    <vt:lpwstr>0</vt:lpwstr>
  </property>
</Properties>
</file>