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0E04" w14:textId="15EE522E" w:rsidR="00113C61" w:rsidRDefault="00113C61" w:rsidP="00113C61">
      <w:pPr>
        <w:pStyle w:val="CRCoverPage"/>
        <w:tabs>
          <w:tab w:val="right" w:pos="9639"/>
        </w:tabs>
        <w:spacing w:after="0"/>
        <w:rPr>
          <w:b/>
          <w:sz w:val="24"/>
          <w:lang w:val="en-US" w:eastAsia="zh-CN"/>
        </w:rPr>
      </w:pPr>
      <w:r>
        <w:rPr>
          <w:b/>
          <w:sz w:val="24"/>
          <w:lang w:val="en-US" w:eastAsia="zh-CN"/>
        </w:rPr>
        <w:t xml:space="preserve">3GPP TSG </w:t>
      </w:r>
      <w:r w:rsidRPr="00477E68">
        <w:rPr>
          <w:b/>
          <w:sz w:val="24"/>
          <w:lang w:val="en-US" w:eastAsia="zh-CN"/>
        </w:rPr>
        <w:t>RAN5#103</w:t>
      </w:r>
      <w:r>
        <w:rPr>
          <w:b/>
          <w:sz w:val="24"/>
          <w:lang w:val="en-US" w:eastAsia="zh-CN"/>
        </w:rPr>
        <w:tab/>
      </w:r>
      <w:r w:rsidRPr="00636CD2">
        <w:rPr>
          <w:b/>
          <w:sz w:val="24"/>
          <w:lang w:val="en-US" w:eastAsia="zh-CN"/>
        </w:rPr>
        <w:t>R</w:t>
      </w:r>
      <w:r>
        <w:rPr>
          <w:b/>
          <w:sz w:val="24"/>
          <w:lang w:val="en-US" w:eastAsia="zh-CN"/>
        </w:rPr>
        <w:t>5</w:t>
      </w:r>
      <w:r w:rsidRPr="00636CD2">
        <w:rPr>
          <w:b/>
          <w:sz w:val="24"/>
          <w:lang w:val="en-US" w:eastAsia="zh-CN"/>
        </w:rPr>
        <w:t>-24</w:t>
      </w:r>
      <w:r w:rsidR="008C534C">
        <w:rPr>
          <w:b/>
          <w:sz w:val="24"/>
          <w:lang w:val="en-US" w:eastAsia="zh-CN"/>
        </w:rPr>
        <w:t>335</w:t>
      </w:r>
      <w:r w:rsidR="00140489">
        <w:rPr>
          <w:b/>
          <w:sz w:val="24"/>
          <w:lang w:val="en-US" w:eastAsia="zh-CN"/>
        </w:rPr>
        <w:t>5</w:t>
      </w:r>
    </w:p>
    <w:p w14:paraId="79F9A83C" w14:textId="0BB68513" w:rsidR="00113C61" w:rsidRDefault="00113C61" w:rsidP="00113C61">
      <w:pPr>
        <w:pStyle w:val="CRCoverPage"/>
        <w:tabs>
          <w:tab w:val="right" w:pos="9639"/>
        </w:tabs>
        <w:spacing w:after="0"/>
        <w:rPr>
          <w:b/>
          <w:sz w:val="24"/>
          <w:lang w:val="en-US" w:eastAsia="zh-CN"/>
        </w:rPr>
      </w:pPr>
      <w:r w:rsidRPr="00477E68">
        <w:rPr>
          <w:b/>
          <w:sz w:val="24"/>
          <w:lang w:val="en-US" w:eastAsia="zh-CN"/>
        </w:rPr>
        <w:t>Fukuoka, J</w:t>
      </w:r>
      <w:r w:rsidR="009F3E6E">
        <w:rPr>
          <w:b/>
          <w:sz w:val="24"/>
          <w:lang w:val="en-US" w:eastAsia="zh-CN"/>
        </w:rPr>
        <w:t>apan</w:t>
      </w:r>
      <w:r>
        <w:rPr>
          <w:b/>
          <w:sz w:val="24"/>
          <w:lang w:val="en-US" w:eastAsia="zh-CN"/>
        </w:rPr>
        <w:t xml:space="preserve">, </w:t>
      </w:r>
      <w:r>
        <w:rPr>
          <w:b/>
          <w:sz w:val="24"/>
        </w:rPr>
        <w:t>May</w:t>
      </w:r>
      <w:r>
        <w:rPr>
          <w:b/>
          <w:sz w:val="24"/>
          <w:lang w:val="en-US" w:eastAsia="zh-CN"/>
        </w:rPr>
        <w:t xml:space="preserve"> 20-24, 2024</w:t>
      </w:r>
    </w:p>
    <w:p w14:paraId="605594E0" w14:textId="77777777" w:rsidR="00113C61" w:rsidRDefault="00113C61" w:rsidP="00113C61">
      <w:pPr>
        <w:pStyle w:val="CRCoverPage"/>
        <w:tabs>
          <w:tab w:val="right" w:pos="9639"/>
        </w:tabs>
        <w:spacing w:after="0"/>
        <w:rPr>
          <w:b/>
          <w:sz w:val="24"/>
          <w:lang w:val="en-US" w:eastAsia="zh-CN"/>
        </w:rPr>
      </w:pPr>
    </w:p>
    <w:p w14:paraId="76ABBEAF" w14:textId="4E3D43D2" w:rsidR="00113C61" w:rsidRDefault="00113C61" w:rsidP="00113C61">
      <w:pPr>
        <w:pStyle w:val="CRCoverPage"/>
        <w:tabs>
          <w:tab w:val="right" w:pos="9639"/>
        </w:tabs>
        <w:spacing w:after="0"/>
        <w:rPr>
          <w:b/>
          <w:sz w:val="24"/>
          <w:lang w:val="en-US" w:eastAsia="zh-CN"/>
        </w:rPr>
      </w:pPr>
      <w:r>
        <w:rPr>
          <w:b/>
          <w:sz w:val="24"/>
          <w:lang w:val="en-US" w:eastAsia="zh-CN"/>
        </w:rPr>
        <w:t>3GPP TSG RAN Meeting #104</w:t>
      </w:r>
      <w:r>
        <w:rPr>
          <w:b/>
          <w:sz w:val="24"/>
          <w:lang w:val="en-US" w:eastAsia="zh-CN"/>
        </w:rPr>
        <w:tab/>
      </w:r>
      <w:r w:rsidRPr="00636CD2">
        <w:rPr>
          <w:b/>
          <w:sz w:val="24"/>
          <w:lang w:val="en-US" w:eastAsia="zh-CN"/>
        </w:rPr>
        <w:t>RP-24</w:t>
      </w:r>
      <w:r>
        <w:rPr>
          <w:b/>
          <w:sz w:val="24"/>
          <w:lang w:val="en-US" w:eastAsia="zh-CN"/>
        </w:rPr>
        <w:t>xxxx</w:t>
      </w:r>
    </w:p>
    <w:p w14:paraId="35BF2BB3" w14:textId="77777777" w:rsidR="00113C61" w:rsidRDefault="00113C61" w:rsidP="00113C61">
      <w:pPr>
        <w:pStyle w:val="CRCoverPage"/>
        <w:tabs>
          <w:tab w:val="right" w:pos="9639"/>
        </w:tabs>
        <w:spacing w:after="0"/>
        <w:rPr>
          <w:b/>
          <w:sz w:val="24"/>
          <w:lang w:val="en-US" w:eastAsia="zh-CN"/>
        </w:rPr>
      </w:pPr>
      <w:r>
        <w:rPr>
          <w:b/>
          <w:sz w:val="24"/>
          <w:lang w:val="en-US" w:eastAsia="zh-CN"/>
        </w:rPr>
        <w:t xml:space="preserve">Shanghai, China, </w:t>
      </w:r>
      <w:r>
        <w:rPr>
          <w:b/>
          <w:sz w:val="24"/>
        </w:rPr>
        <w:t>June</w:t>
      </w:r>
      <w:r>
        <w:rPr>
          <w:b/>
          <w:sz w:val="24"/>
          <w:lang w:val="en-US" w:eastAsia="zh-CN"/>
        </w:rPr>
        <w:t xml:space="preserve"> 17-20, 2024</w:t>
      </w:r>
      <w:r>
        <w:rPr>
          <w:b/>
          <w:sz w:val="24"/>
          <w:lang w:val="en-US" w:eastAsia="zh-CN"/>
        </w:rPr>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AAAAC1F" w:rsidR="001E489F" w:rsidRPr="00BA677D" w:rsidRDefault="001E489F" w:rsidP="001E489F">
      <w:pPr>
        <w:tabs>
          <w:tab w:val="left" w:pos="2127"/>
        </w:tabs>
        <w:ind w:left="2127" w:hanging="2127"/>
        <w:jc w:val="both"/>
        <w:outlineLvl w:val="0"/>
        <w:rPr>
          <w:rFonts w:ascii="Arial" w:eastAsia="Batang" w:hAnsi="Arial"/>
          <w:b/>
          <w:sz w:val="22"/>
          <w:szCs w:val="22"/>
          <w:lang w:val="en-US" w:eastAsia="zh-CN"/>
        </w:rPr>
      </w:pPr>
      <w:r w:rsidRPr="00BA677D">
        <w:rPr>
          <w:rFonts w:ascii="Arial" w:eastAsia="Batang" w:hAnsi="Arial"/>
          <w:b/>
          <w:sz w:val="22"/>
          <w:szCs w:val="22"/>
          <w:lang w:val="en-US" w:eastAsia="zh-CN"/>
        </w:rPr>
        <w:t>Source:</w:t>
      </w:r>
      <w:r w:rsidRPr="00BA677D">
        <w:rPr>
          <w:rFonts w:ascii="Arial" w:eastAsia="Batang" w:hAnsi="Arial"/>
          <w:b/>
          <w:sz w:val="22"/>
          <w:szCs w:val="22"/>
          <w:lang w:val="en-US" w:eastAsia="zh-CN"/>
        </w:rPr>
        <w:tab/>
      </w:r>
      <w:r w:rsidR="00113C61" w:rsidRPr="00BA677D">
        <w:rPr>
          <w:rFonts w:ascii="Arial" w:eastAsia="Batang" w:hAnsi="Arial"/>
          <w:b/>
          <w:sz w:val="22"/>
          <w:szCs w:val="22"/>
          <w:lang w:val="en-US" w:eastAsia="zh-CN"/>
        </w:rPr>
        <w:t>Qualcomm Inc</w:t>
      </w:r>
      <w:r w:rsidR="002059C6">
        <w:rPr>
          <w:rFonts w:ascii="Arial" w:eastAsia="Batang" w:hAnsi="Arial"/>
          <w:b/>
          <w:sz w:val="22"/>
          <w:szCs w:val="22"/>
          <w:lang w:val="en-US" w:eastAsia="zh-CN"/>
        </w:rPr>
        <w:t>, China Unicom, Mediatek</w:t>
      </w:r>
    </w:p>
    <w:p w14:paraId="49D92DA3" w14:textId="749AEA2B" w:rsidR="001E489F" w:rsidRPr="00BA677D" w:rsidRDefault="001E489F" w:rsidP="00F85293">
      <w:pPr>
        <w:tabs>
          <w:tab w:val="left" w:pos="2127"/>
        </w:tabs>
        <w:ind w:left="2127" w:hanging="2127"/>
        <w:outlineLvl w:val="0"/>
        <w:rPr>
          <w:rFonts w:ascii="Arial" w:eastAsia="Batang" w:hAnsi="Arial" w:cs="Arial"/>
          <w:b/>
          <w:sz w:val="22"/>
          <w:szCs w:val="22"/>
          <w:lang w:eastAsia="zh-CN"/>
        </w:rPr>
      </w:pPr>
      <w:r w:rsidRPr="00BA677D">
        <w:rPr>
          <w:rFonts w:ascii="Arial" w:eastAsia="Batang" w:hAnsi="Arial" w:cs="Arial"/>
          <w:b/>
          <w:sz w:val="22"/>
          <w:szCs w:val="22"/>
          <w:lang w:eastAsia="zh-CN"/>
        </w:rPr>
        <w:t>Title:</w:t>
      </w:r>
      <w:r w:rsidRPr="00BA677D">
        <w:rPr>
          <w:rFonts w:ascii="Arial" w:eastAsia="Batang" w:hAnsi="Arial" w:cs="Arial"/>
          <w:b/>
          <w:sz w:val="22"/>
          <w:szCs w:val="22"/>
          <w:lang w:eastAsia="zh-CN"/>
        </w:rPr>
        <w:tab/>
      </w:r>
      <w:r w:rsidR="00ED77FF" w:rsidRPr="00BA677D">
        <w:rPr>
          <w:rFonts w:ascii="Arial" w:eastAsia="Batang" w:hAnsi="Arial" w:cs="Arial"/>
          <w:b/>
          <w:sz w:val="22"/>
          <w:szCs w:val="22"/>
          <w:lang w:eastAsia="zh-CN"/>
        </w:rPr>
        <w:t xml:space="preserve">New </w:t>
      </w:r>
      <w:r w:rsidR="00113C61" w:rsidRPr="00BA677D">
        <w:rPr>
          <w:rFonts w:ascii="Arial" w:eastAsia="Batang" w:hAnsi="Arial" w:cs="Arial"/>
          <w:b/>
          <w:sz w:val="22"/>
          <w:szCs w:val="22"/>
          <w:lang w:eastAsia="zh-CN"/>
        </w:rPr>
        <w:t>WID on</w:t>
      </w:r>
      <w:r w:rsidR="00C64C07" w:rsidRPr="00BA677D">
        <w:rPr>
          <w:rFonts w:ascii="Arial" w:eastAsia="Batang" w:hAnsi="Arial" w:cs="Arial"/>
          <w:b/>
          <w:sz w:val="22"/>
          <w:szCs w:val="22"/>
          <w:lang w:eastAsia="zh-CN"/>
        </w:rPr>
        <w:t xml:space="preserve"> UE Conformance -</w:t>
      </w:r>
      <w:r w:rsidR="00113C61" w:rsidRPr="00BA677D">
        <w:rPr>
          <w:rFonts w:ascii="Arial" w:eastAsia="Batang" w:hAnsi="Arial" w:cs="Arial"/>
          <w:b/>
          <w:sz w:val="22"/>
          <w:szCs w:val="22"/>
          <w:lang w:eastAsia="zh-CN"/>
        </w:rPr>
        <w:t xml:space="preserve"> </w:t>
      </w:r>
      <w:r w:rsidR="00F85293" w:rsidRPr="00C21559">
        <w:rPr>
          <w:rFonts w:ascii="Arial" w:eastAsia="Batang" w:hAnsi="Arial" w:cs="Arial"/>
          <w:b/>
          <w:sz w:val="22"/>
          <w:szCs w:val="22"/>
          <w:lang w:eastAsia="zh-CN"/>
        </w:rPr>
        <w:t>NR NTN (Non-Terrestrial Networks)</w:t>
      </w:r>
      <w:r w:rsidR="00F85293" w:rsidRPr="00134B7D">
        <w:rPr>
          <w:rFonts w:ascii="Arial" w:eastAsia="Batang" w:hAnsi="Arial" w:cs="Arial"/>
          <w:b/>
          <w:lang w:eastAsia="zh-CN"/>
        </w:rPr>
        <w:t xml:space="preserve"> </w:t>
      </w:r>
      <w:r w:rsidR="00F85293" w:rsidRPr="00C21559">
        <w:rPr>
          <w:rFonts w:ascii="Arial" w:eastAsia="Batang" w:hAnsi="Arial" w:cs="Arial"/>
          <w:b/>
          <w:sz w:val="22"/>
          <w:szCs w:val="22"/>
          <w:lang w:eastAsia="zh-CN"/>
        </w:rPr>
        <w:t>enhancements</w:t>
      </w:r>
      <w:r w:rsidR="00EB045F">
        <w:rPr>
          <w:rFonts w:ascii="Arial" w:eastAsia="Batang" w:hAnsi="Arial" w:cs="Arial"/>
          <w:b/>
          <w:sz w:val="22"/>
          <w:szCs w:val="22"/>
          <w:lang w:eastAsia="zh-CN"/>
        </w:rPr>
        <w:t xml:space="preserve"> plus CT aspects</w:t>
      </w:r>
    </w:p>
    <w:p w14:paraId="66ACF610" w14:textId="48210269" w:rsidR="001E489F" w:rsidRPr="00BA677D" w:rsidRDefault="001E489F" w:rsidP="001E489F">
      <w:pPr>
        <w:tabs>
          <w:tab w:val="left" w:pos="2127"/>
        </w:tabs>
        <w:ind w:left="2127" w:hanging="2127"/>
        <w:jc w:val="both"/>
        <w:outlineLvl w:val="0"/>
        <w:rPr>
          <w:rFonts w:ascii="Arial" w:eastAsia="Batang" w:hAnsi="Arial"/>
          <w:b/>
          <w:sz w:val="22"/>
          <w:szCs w:val="22"/>
          <w:lang w:val="en-US" w:eastAsia="zh-CN"/>
        </w:rPr>
      </w:pPr>
      <w:r w:rsidRPr="00BA677D">
        <w:rPr>
          <w:rFonts w:ascii="Arial" w:eastAsia="Batang" w:hAnsi="Arial"/>
          <w:b/>
          <w:sz w:val="22"/>
          <w:szCs w:val="22"/>
          <w:lang w:val="en-US" w:eastAsia="zh-CN"/>
        </w:rPr>
        <w:t>Document for:</w:t>
      </w:r>
      <w:r w:rsidRPr="00BA677D">
        <w:rPr>
          <w:rFonts w:ascii="Arial" w:eastAsia="Batang" w:hAnsi="Arial"/>
          <w:b/>
          <w:sz w:val="22"/>
          <w:szCs w:val="22"/>
          <w:lang w:val="en-US" w:eastAsia="zh-CN"/>
        </w:rPr>
        <w:tab/>
      </w:r>
      <w:r w:rsidR="00113C61" w:rsidRPr="00BA677D">
        <w:rPr>
          <w:rFonts w:ascii="Arial" w:eastAsia="Batang" w:hAnsi="Arial"/>
          <w:b/>
          <w:sz w:val="22"/>
          <w:szCs w:val="22"/>
          <w:lang w:val="en-US" w:eastAsia="zh-CN"/>
        </w:rPr>
        <w:t>Endorsement</w:t>
      </w:r>
    </w:p>
    <w:p w14:paraId="1468BC60" w14:textId="77F39265" w:rsidR="001E489F" w:rsidRPr="00BA677D" w:rsidRDefault="001E489F" w:rsidP="001E489F">
      <w:pPr>
        <w:tabs>
          <w:tab w:val="left" w:pos="2127"/>
        </w:tabs>
        <w:ind w:left="2127" w:hanging="2127"/>
        <w:jc w:val="both"/>
        <w:outlineLvl w:val="0"/>
        <w:rPr>
          <w:rFonts w:ascii="Arial" w:eastAsia="Batang" w:hAnsi="Arial"/>
          <w:b/>
          <w:sz w:val="22"/>
          <w:szCs w:val="22"/>
          <w:lang w:val="en-US" w:eastAsia="zh-CN"/>
        </w:rPr>
      </w:pPr>
      <w:r w:rsidRPr="00BA677D">
        <w:rPr>
          <w:rFonts w:ascii="Arial" w:eastAsia="Batang" w:hAnsi="Arial"/>
          <w:b/>
          <w:sz w:val="22"/>
          <w:szCs w:val="22"/>
          <w:lang w:val="en-US" w:eastAsia="zh-CN"/>
        </w:rPr>
        <w:t>Agenda Item:</w:t>
      </w:r>
      <w:r w:rsidRPr="00BA677D">
        <w:rPr>
          <w:rFonts w:ascii="Arial" w:eastAsia="Batang" w:hAnsi="Arial"/>
          <w:b/>
          <w:sz w:val="22"/>
          <w:szCs w:val="22"/>
          <w:lang w:val="en-US" w:eastAsia="zh-CN"/>
        </w:rPr>
        <w:tab/>
      </w:r>
      <w:r w:rsidR="00113C61" w:rsidRPr="00BA677D">
        <w:rPr>
          <w:rFonts w:ascii="Arial" w:eastAsia="Batang" w:hAnsi="Arial"/>
          <w:b/>
          <w:sz w:val="22"/>
          <w:szCs w:val="22"/>
          <w:lang w:val="en-US" w:eastAsia="zh-CN"/>
        </w:rPr>
        <w:t>4.1</w:t>
      </w:r>
    </w:p>
    <w:p w14:paraId="17BB372B" w14:textId="77777777" w:rsidR="001E489F" w:rsidRPr="00BA677D" w:rsidRDefault="001E489F" w:rsidP="001E489F">
      <w:pPr>
        <w:pStyle w:val="Heading8"/>
        <w:ind w:left="2835" w:hanging="2835"/>
        <w:jc w:val="center"/>
        <w:rPr>
          <w:sz w:val="32"/>
          <w:szCs w:val="18"/>
        </w:rPr>
      </w:pPr>
      <w:r w:rsidRPr="00BA677D">
        <w:rPr>
          <w:sz w:val="32"/>
          <w:szCs w:val="18"/>
          <w:lang w:eastAsia="ja-JP"/>
        </w:rPr>
        <w:t>3GPP™ Work Item Description</w:t>
      </w:r>
    </w:p>
    <w:p w14:paraId="04403B00" w14:textId="77777777" w:rsidR="001E489F" w:rsidRPr="00BA677D" w:rsidRDefault="001E489F" w:rsidP="001E489F">
      <w:pPr>
        <w:jc w:val="center"/>
        <w:rPr>
          <w:rFonts w:cs="Arial"/>
          <w:noProof/>
          <w:sz w:val="18"/>
          <w:szCs w:val="18"/>
        </w:rPr>
      </w:pPr>
      <w:r w:rsidRPr="00BA677D">
        <w:rPr>
          <w:rFonts w:cs="Arial"/>
          <w:noProof/>
          <w:sz w:val="18"/>
          <w:szCs w:val="18"/>
        </w:rPr>
        <w:t xml:space="preserve">Information on Work Items can be found at </w:t>
      </w:r>
      <w:hyperlink r:id="rId8" w:history="1">
        <w:r w:rsidRPr="00BA677D">
          <w:rPr>
            <w:rFonts w:cs="Arial"/>
            <w:noProof/>
            <w:sz w:val="18"/>
            <w:szCs w:val="18"/>
          </w:rPr>
          <w:t>http://www.3gpp.org/Work-Items</w:t>
        </w:r>
      </w:hyperlink>
      <w:r w:rsidRPr="00BA677D">
        <w:rPr>
          <w:rFonts w:cs="Arial"/>
          <w:noProof/>
          <w:sz w:val="18"/>
          <w:szCs w:val="18"/>
        </w:rPr>
        <w:t xml:space="preserve"> </w:t>
      </w:r>
      <w:r w:rsidRPr="00BA677D">
        <w:rPr>
          <w:rFonts w:cs="Arial"/>
          <w:noProof/>
          <w:sz w:val="18"/>
          <w:szCs w:val="18"/>
        </w:rPr>
        <w:br/>
      </w:r>
      <w:r w:rsidRPr="00BA677D">
        <w:rPr>
          <w:sz w:val="18"/>
          <w:szCs w:val="18"/>
        </w:rPr>
        <w:t xml:space="preserve">See also the </w:t>
      </w:r>
      <w:hyperlink r:id="rId9" w:history="1">
        <w:r w:rsidRPr="00BA677D">
          <w:rPr>
            <w:sz w:val="18"/>
            <w:szCs w:val="18"/>
          </w:rPr>
          <w:t>3GPP Working Procedures</w:t>
        </w:r>
      </w:hyperlink>
      <w:r w:rsidRPr="00BA677D">
        <w:rPr>
          <w:sz w:val="18"/>
          <w:szCs w:val="18"/>
        </w:rPr>
        <w:t xml:space="preserve">, article 39 and the TSG Working Methods in </w:t>
      </w:r>
      <w:hyperlink r:id="rId10" w:history="1">
        <w:r w:rsidRPr="00BA677D">
          <w:rPr>
            <w:sz w:val="18"/>
            <w:szCs w:val="18"/>
          </w:rPr>
          <w:t>3GPP TR 21.900</w:t>
        </w:r>
      </w:hyperlink>
    </w:p>
    <w:p w14:paraId="2F242254" w14:textId="7E9BFFBC" w:rsidR="001E489F" w:rsidRPr="00BA677D" w:rsidRDefault="001E489F" w:rsidP="00113C61">
      <w:pPr>
        <w:pStyle w:val="Heading8"/>
        <w:ind w:left="2835" w:hanging="2835"/>
        <w:rPr>
          <w:sz w:val="32"/>
          <w:szCs w:val="18"/>
          <w:lang w:eastAsia="ja-JP"/>
        </w:rPr>
      </w:pPr>
      <w:r w:rsidRPr="00BA677D">
        <w:rPr>
          <w:sz w:val="32"/>
          <w:szCs w:val="18"/>
          <w:lang w:eastAsia="ja-JP"/>
        </w:rPr>
        <w:t>Title:</w:t>
      </w:r>
      <w:r w:rsidR="00113C61" w:rsidRPr="00BA677D">
        <w:rPr>
          <w:sz w:val="32"/>
          <w:szCs w:val="18"/>
          <w:lang w:eastAsia="ja-JP"/>
        </w:rPr>
        <w:t xml:space="preserve"> UE Conformance </w:t>
      </w:r>
      <w:r w:rsidR="004663C2">
        <w:rPr>
          <w:sz w:val="32"/>
          <w:szCs w:val="18"/>
          <w:lang w:eastAsia="ja-JP"/>
        </w:rPr>
        <w:t>–</w:t>
      </w:r>
      <w:r w:rsidR="00113C61" w:rsidRPr="00BA677D">
        <w:rPr>
          <w:sz w:val="32"/>
          <w:szCs w:val="18"/>
          <w:lang w:eastAsia="ja-JP"/>
        </w:rPr>
        <w:t xml:space="preserve"> </w:t>
      </w:r>
      <w:r w:rsidR="004663C2">
        <w:rPr>
          <w:sz w:val="32"/>
          <w:szCs w:val="18"/>
          <w:lang w:eastAsia="ja-JP"/>
        </w:rPr>
        <w:t>NR NTN (non-Terrestrial Networks) enhancements</w:t>
      </w:r>
      <w:r w:rsidR="007655AE">
        <w:rPr>
          <w:sz w:val="32"/>
          <w:szCs w:val="18"/>
          <w:lang w:eastAsia="ja-JP"/>
        </w:rPr>
        <w:t xml:space="preserve"> plus CT aspects</w:t>
      </w:r>
    </w:p>
    <w:p w14:paraId="4520DCE2" w14:textId="28066586" w:rsidR="001E489F" w:rsidRPr="00BA677D" w:rsidRDefault="001E489F" w:rsidP="001E489F">
      <w:pPr>
        <w:pStyle w:val="Heading8"/>
        <w:ind w:left="2835" w:hanging="2835"/>
        <w:rPr>
          <w:sz w:val="32"/>
          <w:szCs w:val="18"/>
          <w:lang w:eastAsia="ja-JP"/>
        </w:rPr>
      </w:pPr>
      <w:r w:rsidRPr="00BA677D">
        <w:rPr>
          <w:sz w:val="32"/>
          <w:szCs w:val="18"/>
          <w:lang w:eastAsia="ja-JP"/>
        </w:rPr>
        <w:t>Acronym:</w:t>
      </w:r>
      <w:r w:rsidR="001428FE" w:rsidRPr="00BA677D">
        <w:rPr>
          <w:sz w:val="32"/>
          <w:szCs w:val="18"/>
          <w:lang w:eastAsia="ja-JP"/>
        </w:rPr>
        <w:t xml:space="preserve"> </w:t>
      </w:r>
      <w:r w:rsidR="0073180B" w:rsidRPr="00BA677D">
        <w:rPr>
          <w:sz w:val="32"/>
          <w:szCs w:val="18"/>
        </w:rPr>
        <w:t>NR_</w:t>
      </w:r>
      <w:r w:rsidR="004663C2">
        <w:rPr>
          <w:sz w:val="32"/>
          <w:szCs w:val="18"/>
        </w:rPr>
        <w:t>NTN_enh</w:t>
      </w:r>
      <w:r w:rsidR="007655AE">
        <w:rPr>
          <w:sz w:val="32"/>
          <w:szCs w:val="18"/>
        </w:rPr>
        <w:t>_plus_CT</w:t>
      </w:r>
      <w:r w:rsidR="00DA0500" w:rsidRPr="00BA677D">
        <w:rPr>
          <w:sz w:val="32"/>
          <w:szCs w:val="18"/>
        </w:rPr>
        <w:t>-UEConTest</w:t>
      </w:r>
      <w:r w:rsidRPr="00BA677D">
        <w:rPr>
          <w:sz w:val="32"/>
          <w:szCs w:val="18"/>
          <w:lang w:eastAsia="ja-JP"/>
        </w:rPr>
        <w:tab/>
      </w:r>
    </w:p>
    <w:p w14:paraId="15B1DB90" w14:textId="77777777" w:rsidR="001E489F" w:rsidRPr="00BA677D" w:rsidRDefault="001E489F" w:rsidP="001E489F">
      <w:pPr>
        <w:pStyle w:val="Heading8"/>
        <w:ind w:left="2835" w:hanging="2835"/>
        <w:rPr>
          <w:sz w:val="32"/>
          <w:szCs w:val="18"/>
          <w:lang w:eastAsia="ja-JP"/>
        </w:rPr>
      </w:pPr>
      <w:r w:rsidRPr="00BA677D">
        <w:rPr>
          <w:sz w:val="32"/>
          <w:szCs w:val="18"/>
          <w:lang w:eastAsia="ja-JP"/>
        </w:rPr>
        <w:t>Unique identifier:</w:t>
      </w:r>
      <w:r w:rsidRPr="00BA677D">
        <w:rPr>
          <w:sz w:val="32"/>
          <w:szCs w:val="18"/>
          <w:lang w:eastAsia="ja-JP"/>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113C61" w:rsidRPr="00BA677D" w14:paraId="419D9B6A" w14:textId="77777777" w:rsidTr="0033165D">
        <w:trPr>
          <w:jc w:val="center"/>
        </w:trPr>
        <w:tc>
          <w:tcPr>
            <w:tcW w:w="3544" w:type="dxa"/>
            <w:gridSpan w:val="2"/>
            <w:shd w:val="clear" w:color="auto" w:fill="E0E0E0"/>
            <w:tcMar>
              <w:top w:w="28" w:type="dxa"/>
              <w:bottom w:w="28" w:type="dxa"/>
            </w:tcMar>
          </w:tcPr>
          <w:p w14:paraId="1380944F" w14:textId="77777777" w:rsidR="00113C61" w:rsidRPr="00BA677D" w:rsidRDefault="00113C61" w:rsidP="0033165D">
            <w:pPr>
              <w:pStyle w:val="TAL"/>
              <w:rPr>
                <w:b/>
                <w:bCs/>
                <w:color w:val="0000FF"/>
                <w:sz w:val="16"/>
                <w:szCs w:val="18"/>
              </w:rPr>
            </w:pPr>
            <w:r w:rsidRPr="00BA677D">
              <w:rPr>
                <w:b/>
                <w:bCs/>
                <w:color w:val="0000FF"/>
                <w:sz w:val="16"/>
                <w:szCs w:val="18"/>
              </w:rPr>
              <w:t>This WID includes a Testing part</w:t>
            </w:r>
          </w:p>
        </w:tc>
        <w:tc>
          <w:tcPr>
            <w:tcW w:w="862" w:type="dxa"/>
            <w:tcMar>
              <w:top w:w="28" w:type="dxa"/>
              <w:bottom w:w="28" w:type="dxa"/>
            </w:tcMar>
          </w:tcPr>
          <w:p w14:paraId="46C65452" w14:textId="77777777" w:rsidR="00113C61" w:rsidRPr="00BA677D" w:rsidRDefault="00113C61" w:rsidP="0033165D">
            <w:pPr>
              <w:pStyle w:val="TAL"/>
              <w:jc w:val="center"/>
              <w:rPr>
                <w:b/>
                <w:bCs/>
                <w:sz w:val="16"/>
                <w:szCs w:val="18"/>
              </w:rPr>
            </w:pPr>
            <w:r w:rsidRPr="00BA677D">
              <w:rPr>
                <w:b/>
                <w:bCs/>
                <w:sz w:val="16"/>
                <w:szCs w:val="18"/>
              </w:rPr>
              <w:t>X</w:t>
            </w:r>
          </w:p>
        </w:tc>
      </w:tr>
      <w:tr w:rsidR="00113C61" w:rsidRPr="00BA677D" w14:paraId="44B2CEFE" w14:textId="77777777" w:rsidTr="0033165D">
        <w:trPr>
          <w:trHeight w:val="205"/>
          <w:jc w:val="center"/>
        </w:trPr>
        <w:tc>
          <w:tcPr>
            <w:tcW w:w="1772" w:type="dxa"/>
            <w:vMerge w:val="restart"/>
            <w:shd w:val="clear" w:color="auto" w:fill="E0E0E0"/>
            <w:tcMar>
              <w:top w:w="28" w:type="dxa"/>
              <w:bottom w:w="28" w:type="dxa"/>
            </w:tcMar>
          </w:tcPr>
          <w:p w14:paraId="5660123D" w14:textId="77777777" w:rsidR="00113C61" w:rsidRPr="00BA677D" w:rsidRDefault="00113C61" w:rsidP="0033165D">
            <w:pPr>
              <w:pStyle w:val="TAL"/>
              <w:rPr>
                <w:b/>
                <w:bCs/>
                <w:color w:val="0000FF"/>
                <w:sz w:val="16"/>
                <w:szCs w:val="18"/>
              </w:rPr>
            </w:pPr>
            <w:r w:rsidRPr="00BA677D">
              <w:rPr>
                <w:b/>
                <w:bCs/>
                <w:color w:val="0000FF"/>
                <w:sz w:val="16"/>
                <w:szCs w:val="18"/>
              </w:rPr>
              <w:t>and it addresses the following 3GPP work area:</w:t>
            </w:r>
          </w:p>
        </w:tc>
        <w:tc>
          <w:tcPr>
            <w:tcW w:w="1772" w:type="dxa"/>
            <w:shd w:val="clear" w:color="auto" w:fill="E0E0E0"/>
          </w:tcPr>
          <w:p w14:paraId="3EA89B1B" w14:textId="77777777" w:rsidR="00113C61" w:rsidRPr="00BA677D" w:rsidRDefault="00113C61" w:rsidP="0033165D">
            <w:pPr>
              <w:pStyle w:val="TAL"/>
              <w:rPr>
                <w:b/>
                <w:bCs/>
                <w:color w:val="0000FF"/>
                <w:sz w:val="16"/>
                <w:szCs w:val="18"/>
              </w:rPr>
            </w:pPr>
            <w:r w:rsidRPr="00BA677D">
              <w:rPr>
                <w:b/>
                <w:bCs/>
                <w:color w:val="0000FF"/>
                <w:sz w:val="16"/>
                <w:szCs w:val="18"/>
              </w:rPr>
              <w:t>Radio Access</w:t>
            </w:r>
          </w:p>
        </w:tc>
        <w:tc>
          <w:tcPr>
            <w:tcW w:w="862" w:type="dxa"/>
            <w:tcMar>
              <w:top w:w="28" w:type="dxa"/>
              <w:bottom w:w="28" w:type="dxa"/>
            </w:tcMar>
          </w:tcPr>
          <w:p w14:paraId="655338B1" w14:textId="77777777" w:rsidR="00113C61" w:rsidRPr="00BA677D" w:rsidRDefault="00113C61" w:rsidP="0033165D">
            <w:pPr>
              <w:pStyle w:val="TAL"/>
              <w:jc w:val="center"/>
              <w:rPr>
                <w:b/>
                <w:bCs/>
                <w:sz w:val="16"/>
                <w:szCs w:val="18"/>
              </w:rPr>
            </w:pPr>
            <w:r w:rsidRPr="00BA677D">
              <w:rPr>
                <w:b/>
                <w:bCs/>
                <w:sz w:val="16"/>
                <w:szCs w:val="18"/>
              </w:rPr>
              <w:t>X</w:t>
            </w:r>
          </w:p>
        </w:tc>
      </w:tr>
      <w:tr w:rsidR="00113C61" w:rsidRPr="00BA677D" w14:paraId="7A73B7A1" w14:textId="77777777" w:rsidTr="0033165D">
        <w:trPr>
          <w:trHeight w:val="205"/>
          <w:jc w:val="center"/>
        </w:trPr>
        <w:tc>
          <w:tcPr>
            <w:tcW w:w="1772" w:type="dxa"/>
            <w:vMerge/>
            <w:shd w:val="clear" w:color="auto" w:fill="E0E0E0"/>
            <w:tcMar>
              <w:top w:w="28" w:type="dxa"/>
              <w:bottom w:w="28" w:type="dxa"/>
            </w:tcMar>
          </w:tcPr>
          <w:p w14:paraId="1ABBC74F" w14:textId="77777777" w:rsidR="00113C61" w:rsidRPr="00BA677D" w:rsidRDefault="00113C61" w:rsidP="0033165D">
            <w:pPr>
              <w:pStyle w:val="TAL"/>
              <w:rPr>
                <w:b/>
                <w:bCs/>
                <w:color w:val="0000FF"/>
                <w:sz w:val="16"/>
                <w:szCs w:val="18"/>
              </w:rPr>
            </w:pPr>
          </w:p>
        </w:tc>
        <w:tc>
          <w:tcPr>
            <w:tcW w:w="1772" w:type="dxa"/>
            <w:shd w:val="clear" w:color="auto" w:fill="E0E0E0"/>
          </w:tcPr>
          <w:p w14:paraId="30D9DDCB" w14:textId="77777777" w:rsidR="00113C61" w:rsidRPr="00BA677D" w:rsidRDefault="00113C61" w:rsidP="0033165D">
            <w:pPr>
              <w:pStyle w:val="TAL"/>
              <w:rPr>
                <w:b/>
                <w:bCs/>
                <w:color w:val="0000FF"/>
                <w:sz w:val="16"/>
                <w:szCs w:val="18"/>
              </w:rPr>
            </w:pPr>
            <w:r w:rsidRPr="00BA677D">
              <w:rPr>
                <w:b/>
                <w:bCs/>
                <w:color w:val="0000FF"/>
                <w:sz w:val="16"/>
                <w:szCs w:val="18"/>
              </w:rPr>
              <w:t>Core Network</w:t>
            </w:r>
          </w:p>
        </w:tc>
        <w:tc>
          <w:tcPr>
            <w:tcW w:w="862" w:type="dxa"/>
            <w:tcMar>
              <w:top w:w="28" w:type="dxa"/>
              <w:bottom w:w="28" w:type="dxa"/>
            </w:tcMar>
          </w:tcPr>
          <w:p w14:paraId="311E8226" w14:textId="08CBF433" w:rsidR="00113C61" w:rsidRPr="00BA677D" w:rsidRDefault="004663C2" w:rsidP="0033165D">
            <w:pPr>
              <w:pStyle w:val="TAL"/>
              <w:jc w:val="center"/>
              <w:rPr>
                <w:b/>
                <w:bCs/>
                <w:sz w:val="16"/>
                <w:szCs w:val="18"/>
              </w:rPr>
            </w:pPr>
            <w:r>
              <w:rPr>
                <w:b/>
                <w:bCs/>
                <w:sz w:val="16"/>
                <w:szCs w:val="18"/>
              </w:rPr>
              <w:t>X</w:t>
            </w:r>
          </w:p>
        </w:tc>
      </w:tr>
      <w:tr w:rsidR="00113C61" w:rsidRPr="00BA677D" w14:paraId="4347254B" w14:textId="77777777" w:rsidTr="0033165D">
        <w:trPr>
          <w:trHeight w:val="205"/>
          <w:jc w:val="center"/>
        </w:trPr>
        <w:tc>
          <w:tcPr>
            <w:tcW w:w="1772" w:type="dxa"/>
            <w:vMerge/>
            <w:shd w:val="clear" w:color="auto" w:fill="E0E0E0"/>
            <w:tcMar>
              <w:top w:w="28" w:type="dxa"/>
              <w:bottom w:w="28" w:type="dxa"/>
            </w:tcMar>
          </w:tcPr>
          <w:p w14:paraId="445894CC" w14:textId="77777777" w:rsidR="00113C61" w:rsidRPr="00BA677D" w:rsidRDefault="00113C61" w:rsidP="0033165D">
            <w:pPr>
              <w:pStyle w:val="TAL"/>
              <w:rPr>
                <w:b/>
                <w:bCs/>
                <w:color w:val="0000FF"/>
                <w:sz w:val="16"/>
                <w:szCs w:val="18"/>
              </w:rPr>
            </w:pPr>
          </w:p>
        </w:tc>
        <w:tc>
          <w:tcPr>
            <w:tcW w:w="1772" w:type="dxa"/>
            <w:shd w:val="clear" w:color="auto" w:fill="E0E0E0"/>
          </w:tcPr>
          <w:p w14:paraId="155132F3" w14:textId="77777777" w:rsidR="00113C61" w:rsidRPr="00BA677D" w:rsidRDefault="00113C61" w:rsidP="0033165D">
            <w:pPr>
              <w:pStyle w:val="TAL"/>
              <w:rPr>
                <w:b/>
                <w:bCs/>
                <w:color w:val="0000FF"/>
                <w:sz w:val="16"/>
                <w:szCs w:val="18"/>
              </w:rPr>
            </w:pPr>
            <w:r w:rsidRPr="00BA677D">
              <w:rPr>
                <w:b/>
                <w:bCs/>
                <w:color w:val="0000FF"/>
                <w:sz w:val="16"/>
                <w:szCs w:val="18"/>
              </w:rPr>
              <w:t>Services</w:t>
            </w:r>
          </w:p>
        </w:tc>
        <w:tc>
          <w:tcPr>
            <w:tcW w:w="862" w:type="dxa"/>
            <w:tcMar>
              <w:top w:w="28" w:type="dxa"/>
              <w:bottom w:w="28" w:type="dxa"/>
            </w:tcMar>
          </w:tcPr>
          <w:p w14:paraId="671C49C6" w14:textId="77777777" w:rsidR="00113C61" w:rsidRPr="00BA677D" w:rsidRDefault="00113C61" w:rsidP="0033165D">
            <w:pPr>
              <w:pStyle w:val="TAL"/>
              <w:jc w:val="center"/>
              <w:rPr>
                <w:b/>
                <w:bCs/>
                <w:sz w:val="16"/>
                <w:szCs w:val="18"/>
              </w:rPr>
            </w:pPr>
          </w:p>
        </w:tc>
      </w:tr>
    </w:tbl>
    <w:p w14:paraId="4D9605DA" w14:textId="450A9DBE" w:rsidR="001E489F" w:rsidRPr="00BA677D" w:rsidRDefault="001E489F" w:rsidP="0066550F">
      <w:pPr>
        <w:pStyle w:val="Heading8"/>
        <w:rPr>
          <w:sz w:val="32"/>
          <w:szCs w:val="18"/>
          <w:lang w:eastAsia="ja-JP"/>
        </w:rPr>
      </w:pPr>
      <w:r w:rsidRPr="00BA677D">
        <w:rPr>
          <w:sz w:val="32"/>
          <w:szCs w:val="18"/>
          <w:lang w:eastAsia="ja-JP"/>
        </w:rPr>
        <w:t>Potential target Release:</w:t>
      </w:r>
      <w:r w:rsidRPr="00BA677D">
        <w:rPr>
          <w:sz w:val="32"/>
          <w:szCs w:val="18"/>
          <w:lang w:eastAsia="ja-JP"/>
        </w:rPr>
        <w:tab/>
        <w:t>Rel-</w:t>
      </w:r>
      <w:r w:rsidR="00113C61" w:rsidRPr="00BA677D">
        <w:rPr>
          <w:sz w:val="32"/>
          <w:szCs w:val="18"/>
          <w:lang w:eastAsia="ja-JP"/>
        </w:rPr>
        <w:t>18</w:t>
      </w:r>
      <w:r w:rsidR="000B1F70" w:rsidRPr="00BA677D">
        <w:rPr>
          <w:sz w:val="32"/>
          <w:szCs w:val="18"/>
          <w:lang w:eastAsia="ja-JP"/>
        </w:rPr>
        <w:t xml:space="preserve"> </w:t>
      </w: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750A026A" w:rsidR="001E489F" w:rsidRDefault="00113C61" w:rsidP="005875D6">
            <w:pPr>
              <w:pStyle w:val="TAC"/>
            </w:pPr>
            <w:r>
              <w:t>X</w:t>
            </w:r>
          </w:p>
        </w:tc>
        <w:tc>
          <w:tcPr>
            <w:tcW w:w="850" w:type="dxa"/>
            <w:tcBorders>
              <w:top w:val="nil"/>
            </w:tcBorders>
          </w:tcPr>
          <w:p w14:paraId="04045F0B" w14:textId="1C0B8197" w:rsidR="001E489F" w:rsidRDefault="00113C61" w:rsidP="005875D6">
            <w:pPr>
              <w:pStyle w:val="TAC"/>
            </w:pPr>
            <w:r>
              <w:t>X</w:t>
            </w:r>
          </w:p>
        </w:tc>
        <w:tc>
          <w:tcPr>
            <w:tcW w:w="851" w:type="dxa"/>
            <w:tcBorders>
              <w:top w:val="nil"/>
            </w:tcBorders>
          </w:tcPr>
          <w:p w14:paraId="36BEDBE0" w14:textId="2AC7060C" w:rsidR="001E489F" w:rsidRDefault="000F54CB"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0F07D77" w:rsidR="001E489F" w:rsidRDefault="00113C61"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303FB93A"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1236BB24" w:rsidR="007861B8" w:rsidRPr="0006543E" w:rsidRDefault="00A66368" w:rsidP="005875D6">
            <w:pPr>
              <w:pStyle w:val="TAH"/>
              <w:ind w:right="-99"/>
              <w:jc w:val="left"/>
              <w:rPr>
                <w:b w:val="0"/>
                <w:bCs/>
                <w:color w:val="0000FF"/>
              </w:rPr>
            </w:pPr>
            <w:r>
              <w:rPr>
                <w:b w:val="0"/>
                <w:bCs/>
                <w:color w:val="0000FF"/>
                <w:sz w:val="20"/>
              </w:rPr>
              <w:t>Normative work item</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9277B63" w:rsidR="007861B8" w:rsidRPr="0006543E" w:rsidRDefault="007861B8" w:rsidP="005875D6">
            <w:pPr>
              <w:pStyle w:val="TAH"/>
              <w:ind w:right="-99"/>
              <w:jc w:val="left"/>
              <w:rPr>
                <w:b w:val="0"/>
                <w:bCs/>
              </w:rPr>
            </w:pPr>
            <w:r w:rsidRPr="0006543E">
              <w:rPr>
                <w:b w:val="0"/>
                <w:bCs/>
                <w:sz w:val="20"/>
              </w:rPr>
              <w:t>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AB57E1F" w:rsidR="007861B8" w:rsidRPr="0006543E" w:rsidRDefault="007861B8" w:rsidP="005875D6">
            <w:pPr>
              <w:pStyle w:val="TAH"/>
              <w:ind w:right="-99"/>
              <w:jc w:val="left"/>
              <w:rPr>
                <w:b w:val="0"/>
                <w:bCs/>
              </w:rPr>
            </w:pPr>
            <w:r w:rsidRPr="0006543E">
              <w:rPr>
                <w:b w:val="0"/>
                <w:bCs/>
                <w:sz w:val="20"/>
              </w:rPr>
              <w:t>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1FB46087" w:rsidR="007861B8" w:rsidRPr="0006543E" w:rsidRDefault="007861B8" w:rsidP="005875D6">
            <w:pPr>
              <w:pStyle w:val="TAH"/>
              <w:ind w:right="-99"/>
              <w:jc w:val="left"/>
              <w:rPr>
                <w:b w:val="0"/>
                <w:bCs/>
              </w:rPr>
            </w:pPr>
            <w:r w:rsidRPr="0006543E">
              <w:rPr>
                <w:b w:val="0"/>
                <w:bCs/>
                <w:sz w:val="20"/>
              </w:rPr>
              <w:t>Stage 3</w:t>
            </w:r>
          </w:p>
        </w:tc>
      </w:tr>
      <w:tr w:rsidR="007861B8" w14:paraId="24494143" w14:textId="77777777" w:rsidTr="005875D6">
        <w:trPr>
          <w:cantSplit/>
          <w:jc w:val="center"/>
        </w:trPr>
        <w:tc>
          <w:tcPr>
            <w:tcW w:w="452" w:type="dxa"/>
          </w:tcPr>
          <w:p w14:paraId="0A110EC3" w14:textId="77E01938" w:rsidR="007861B8" w:rsidRDefault="00113C61" w:rsidP="005875D6">
            <w:pPr>
              <w:pStyle w:val="TAC"/>
            </w:pPr>
            <w:r>
              <w:t>X</w:t>
            </w:r>
          </w:p>
        </w:tc>
        <w:tc>
          <w:tcPr>
            <w:tcW w:w="2917" w:type="dxa"/>
            <w:shd w:val="clear" w:color="auto" w:fill="E0E0E0"/>
          </w:tcPr>
          <w:p w14:paraId="4B700A55" w14:textId="396905A9" w:rsidR="007861B8" w:rsidRPr="0006543E" w:rsidRDefault="006163D8" w:rsidP="005875D6">
            <w:pPr>
              <w:pStyle w:val="TAH"/>
              <w:ind w:right="-99"/>
              <w:jc w:val="left"/>
              <w:rPr>
                <w:b w:val="0"/>
                <w:bCs/>
              </w:rPr>
            </w:pPr>
            <w:r>
              <w:rPr>
                <w:b w:val="0"/>
                <w:bCs/>
                <w:sz w:val="20"/>
              </w:rPr>
              <w:t>Testing</w:t>
            </w:r>
          </w:p>
        </w:tc>
      </w:tr>
    </w:tbl>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2"/>
        <w:gridCol w:w="992"/>
        <w:gridCol w:w="1134"/>
        <w:gridCol w:w="5635"/>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113C61">
        <w:trPr>
          <w:cantSplit/>
          <w:jc w:val="center"/>
        </w:trPr>
        <w:tc>
          <w:tcPr>
            <w:tcW w:w="1552" w:type="dxa"/>
            <w:shd w:val="clear" w:color="auto" w:fill="E0E0E0"/>
          </w:tcPr>
          <w:p w14:paraId="13D286EC" w14:textId="77777777" w:rsidR="001E489F" w:rsidDel="00C02DF6" w:rsidRDefault="001E489F" w:rsidP="005875D6">
            <w:pPr>
              <w:pStyle w:val="TAH"/>
              <w:ind w:right="-99"/>
              <w:jc w:val="left"/>
            </w:pPr>
            <w:r>
              <w:t>Acronym</w:t>
            </w:r>
          </w:p>
        </w:tc>
        <w:tc>
          <w:tcPr>
            <w:tcW w:w="992" w:type="dxa"/>
            <w:shd w:val="clear" w:color="auto" w:fill="E0E0E0"/>
          </w:tcPr>
          <w:p w14:paraId="0E8ED1B9" w14:textId="77777777" w:rsidR="001E489F" w:rsidDel="00C02DF6" w:rsidRDefault="001E489F" w:rsidP="005875D6">
            <w:pPr>
              <w:pStyle w:val="TAH"/>
              <w:ind w:right="-99"/>
              <w:jc w:val="left"/>
            </w:pPr>
            <w:r>
              <w:t>Working Group</w:t>
            </w:r>
          </w:p>
        </w:tc>
        <w:tc>
          <w:tcPr>
            <w:tcW w:w="1134" w:type="dxa"/>
            <w:shd w:val="clear" w:color="auto" w:fill="E0E0E0"/>
          </w:tcPr>
          <w:p w14:paraId="18104C59" w14:textId="77777777" w:rsidR="001E489F" w:rsidRDefault="001E489F" w:rsidP="005875D6">
            <w:pPr>
              <w:pStyle w:val="TAH"/>
              <w:ind w:right="-99"/>
              <w:jc w:val="left"/>
            </w:pPr>
            <w:r>
              <w:t>Unique ID</w:t>
            </w:r>
          </w:p>
        </w:tc>
        <w:tc>
          <w:tcPr>
            <w:tcW w:w="5635"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113C61">
        <w:trPr>
          <w:cantSplit/>
          <w:jc w:val="center"/>
        </w:trPr>
        <w:tc>
          <w:tcPr>
            <w:tcW w:w="1552" w:type="dxa"/>
          </w:tcPr>
          <w:p w14:paraId="68BCEFEC" w14:textId="1E515DB8" w:rsidR="001E489F" w:rsidRDefault="00E667A2" w:rsidP="005875D6">
            <w:pPr>
              <w:pStyle w:val="TAL"/>
            </w:pPr>
            <w:r w:rsidRPr="00E667A2">
              <w:t>NR_NTN_enh</w:t>
            </w:r>
          </w:p>
        </w:tc>
        <w:tc>
          <w:tcPr>
            <w:tcW w:w="992" w:type="dxa"/>
          </w:tcPr>
          <w:p w14:paraId="334D300A" w14:textId="26632DF5" w:rsidR="001E489F" w:rsidRDefault="001E489F" w:rsidP="005875D6">
            <w:pPr>
              <w:pStyle w:val="TAL"/>
            </w:pPr>
          </w:p>
        </w:tc>
        <w:tc>
          <w:tcPr>
            <w:tcW w:w="1134" w:type="dxa"/>
          </w:tcPr>
          <w:p w14:paraId="3338BA6A" w14:textId="19C62024" w:rsidR="001E489F" w:rsidRDefault="00BA1DFB" w:rsidP="005875D6">
            <w:pPr>
              <w:pStyle w:val="TAL"/>
            </w:pPr>
            <w:r>
              <w:t>941006</w:t>
            </w:r>
          </w:p>
        </w:tc>
        <w:tc>
          <w:tcPr>
            <w:tcW w:w="5635" w:type="dxa"/>
          </w:tcPr>
          <w:p w14:paraId="225432A0" w14:textId="5F1BA87E" w:rsidR="001E489F" w:rsidRPr="00251D80" w:rsidRDefault="00BA1DFB" w:rsidP="005875D6">
            <w:pPr>
              <w:pStyle w:val="TAL"/>
            </w:pPr>
            <w:r w:rsidRPr="00BA1DFB">
              <w:t>NR NTN (Non-Terrestrial Networks) enhancements</w:t>
            </w:r>
          </w:p>
        </w:tc>
      </w:tr>
      <w:tr w:rsidR="00113C61" w14:paraId="0DCB6EF6" w14:textId="77777777" w:rsidTr="00113C61">
        <w:trPr>
          <w:cantSplit/>
          <w:jc w:val="center"/>
        </w:trPr>
        <w:tc>
          <w:tcPr>
            <w:tcW w:w="1552" w:type="dxa"/>
          </w:tcPr>
          <w:p w14:paraId="0F0627EB" w14:textId="0A645C4C" w:rsidR="00113C61" w:rsidRPr="00905C96" w:rsidRDefault="00E667A2" w:rsidP="005875D6">
            <w:pPr>
              <w:pStyle w:val="TAL"/>
            </w:pPr>
            <w:r w:rsidRPr="00E667A2">
              <w:t>NR_NTN_enh-Core</w:t>
            </w:r>
          </w:p>
        </w:tc>
        <w:tc>
          <w:tcPr>
            <w:tcW w:w="992" w:type="dxa"/>
          </w:tcPr>
          <w:p w14:paraId="7A36153F" w14:textId="5C068651" w:rsidR="00113C61" w:rsidRDefault="00113C61" w:rsidP="005875D6">
            <w:pPr>
              <w:pStyle w:val="TAL"/>
            </w:pPr>
            <w:r>
              <w:t>RAN4</w:t>
            </w:r>
          </w:p>
        </w:tc>
        <w:tc>
          <w:tcPr>
            <w:tcW w:w="1134" w:type="dxa"/>
          </w:tcPr>
          <w:p w14:paraId="07D9F88B" w14:textId="0F356957" w:rsidR="00113C61" w:rsidRDefault="006B462B" w:rsidP="005875D6">
            <w:pPr>
              <w:pStyle w:val="TAL"/>
            </w:pPr>
            <w:r>
              <w:t>941106</w:t>
            </w:r>
          </w:p>
        </w:tc>
        <w:tc>
          <w:tcPr>
            <w:tcW w:w="5635" w:type="dxa"/>
          </w:tcPr>
          <w:p w14:paraId="50209A47" w14:textId="4F000F42" w:rsidR="00113C61" w:rsidRPr="00251D80" w:rsidRDefault="00BE11C4" w:rsidP="005875D6">
            <w:pPr>
              <w:pStyle w:val="TAL"/>
            </w:pPr>
            <w:r w:rsidRPr="00BE11C4">
              <w:t>Core part: NR NTN (Non-Terrestrial Networks) enhancements</w:t>
            </w:r>
          </w:p>
        </w:tc>
      </w:tr>
      <w:tr w:rsidR="008A43F6" w14:paraId="64DA465E" w14:textId="77777777" w:rsidTr="00113C61">
        <w:trPr>
          <w:cantSplit/>
          <w:jc w:val="center"/>
        </w:trPr>
        <w:tc>
          <w:tcPr>
            <w:tcW w:w="1552" w:type="dxa"/>
          </w:tcPr>
          <w:p w14:paraId="43F54241" w14:textId="2E892BF0" w:rsidR="008A43F6" w:rsidRPr="008A43F6" w:rsidRDefault="006B462B" w:rsidP="005875D6">
            <w:pPr>
              <w:pStyle w:val="TAL"/>
            </w:pPr>
            <w:r w:rsidRPr="00E667A2">
              <w:t>NR_NTN_enh</w:t>
            </w:r>
            <w:r w:rsidR="008A43F6" w:rsidRPr="008A43F6">
              <w:t>-Perf</w:t>
            </w:r>
          </w:p>
        </w:tc>
        <w:tc>
          <w:tcPr>
            <w:tcW w:w="992" w:type="dxa"/>
          </w:tcPr>
          <w:p w14:paraId="32FB8CCF" w14:textId="5D060B32" w:rsidR="008A43F6" w:rsidRDefault="008A43F6" w:rsidP="005875D6">
            <w:pPr>
              <w:pStyle w:val="TAL"/>
            </w:pPr>
            <w:r>
              <w:t>RAN4</w:t>
            </w:r>
          </w:p>
        </w:tc>
        <w:tc>
          <w:tcPr>
            <w:tcW w:w="1134" w:type="dxa"/>
          </w:tcPr>
          <w:p w14:paraId="7755A8D4" w14:textId="059C536F" w:rsidR="008A43F6" w:rsidRPr="00113C61" w:rsidRDefault="006B462B" w:rsidP="005875D6">
            <w:pPr>
              <w:pStyle w:val="TAL"/>
            </w:pPr>
            <w:r>
              <w:t>941206</w:t>
            </w:r>
          </w:p>
        </w:tc>
        <w:tc>
          <w:tcPr>
            <w:tcW w:w="5635" w:type="dxa"/>
          </w:tcPr>
          <w:p w14:paraId="2C3ABFBB" w14:textId="557F98E1" w:rsidR="008A43F6" w:rsidRPr="00113C61" w:rsidRDefault="00BE11C4" w:rsidP="005875D6">
            <w:pPr>
              <w:pStyle w:val="TAL"/>
            </w:pPr>
            <w:r w:rsidRPr="00BE11C4">
              <w:t>Perf. part: NR NTN (Non-Terrestrial Networks) enhancements</w:t>
            </w:r>
          </w:p>
        </w:tc>
      </w:tr>
      <w:tr w:rsidR="00DA44F6" w14:paraId="5BCAA8E4" w14:textId="77777777" w:rsidTr="00113C61">
        <w:trPr>
          <w:cantSplit/>
          <w:jc w:val="center"/>
        </w:trPr>
        <w:tc>
          <w:tcPr>
            <w:tcW w:w="1552" w:type="dxa"/>
          </w:tcPr>
          <w:p w14:paraId="7FB5A2A1" w14:textId="77C6484D" w:rsidR="00DA44F6" w:rsidRPr="00E667A2" w:rsidRDefault="0081549A" w:rsidP="005875D6">
            <w:pPr>
              <w:pStyle w:val="TAL"/>
            </w:pPr>
            <w:r w:rsidRPr="0081549A">
              <w:t>5GSAT_Ph2</w:t>
            </w:r>
          </w:p>
        </w:tc>
        <w:tc>
          <w:tcPr>
            <w:tcW w:w="992" w:type="dxa"/>
          </w:tcPr>
          <w:p w14:paraId="762D051A" w14:textId="778E062E" w:rsidR="00DA44F6" w:rsidRDefault="00DA44F6" w:rsidP="005875D6">
            <w:pPr>
              <w:pStyle w:val="TAL"/>
            </w:pPr>
            <w:r>
              <w:t>CT1</w:t>
            </w:r>
          </w:p>
        </w:tc>
        <w:tc>
          <w:tcPr>
            <w:tcW w:w="1134" w:type="dxa"/>
          </w:tcPr>
          <w:p w14:paraId="3829B826" w14:textId="2017FC59" w:rsidR="00DA44F6" w:rsidRDefault="00DA44F6" w:rsidP="005875D6">
            <w:pPr>
              <w:pStyle w:val="TAL"/>
            </w:pPr>
            <w:r>
              <w:t>990024</w:t>
            </w:r>
          </w:p>
        </w:tc>
        <w:tc>
          <w:tcPr>
            <w:tcW w:w="5635" w:type="dxa"/>
          </w:tcPr>
          <w:p w14:paraId="338A4D77" w14:textId="10C8E6ED" w:rsidR="00DA44F6" w:rsidRPr="00BE11C4" w:rsidRDefault="00DA44F6" w:rsidP="005875D6">
            <w:pPr>
              <w:pStyle w:val="TAL"/>
            </w:pPr>
            <w:r w:rsidRPr="00DA44F6">
              <w:t>CT1 aspects of 5GSAT_Ph2</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04F0F0A3" w:rsidR="001E489F" w:rsidRPr="00A3537F" w:rsidRDefault="001E489F" w:rsidP="005875D6">
            <w:pPr>
              <w:pStyle w:val="Guidance"/>
              <w:rPr>
                <w:i w:val="0"/>
                <w:iCs/>
              </w:rPr>
            </w:pP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770F8DFD" w14:textId="00DD403C" w:rsidR="002A4F79" w:rsidRPr="00134B7D" w:rsidRDefault="002A4F79" w:rsidP="002A4F79">
      <w:pPr>
        <w:spacing w:after="0"/>
        <w:rPr>
          <w:bCs/>
        </w:rPr>
      </w:pPr>
      <w:r w:rsidRPr="00134B7D">
        <w:rPr>
          <w:bCs/>
        </w:rPr>
        <w:t xml:space="preserve">In Release 17, a work item was carried out to define solutions enabling </w:t>
      </w:r>
      <w:r w:rsidR="00EA05B9">
        <w:rPr>
          <w:bCs/>
        </w:rPr>
        <w:t>NR</w:t>
      </w:r>
      <w:r w:rsidRPr="00134B7D">
        <w:rPr>
          <w:bCs/>
        </w:rPr>
        <w:t xml:space="preserve"> and NG-RAN to support Non-Terrestrial Networks (NTN):</w:t>
      </w:r>
    </w:p>
    <w:p w14:paraId="2AC70FB5" w14:textId="77777777" w:rsidR="002A4F79" w:rsidRPr="00134B7D" w:rsidRDefault="002A4F79" w:rsidP="002A4F79">
      <w:pPr>
        <w:spacing w:after="0"/>
        <w:rPr>
          <w:bCs/>
        </w:rPr>
      </w:pPr>
    </w:p>
    <w:p w14:paraId="31B262B4" w14:textId="7DB71948" w:rsidR="002A4F79" w:rsidRPr="00134B7D" w:rsidRDefault="002A4F79" w:rsidP="002A4F79">
      <w:pPr>
        <w:numPr>
          <w:ilvl w:val="0"/>
          <w:numId w:val="11"/>
        </w:numPr>
        <w:spacing w:after="0"/>
        <w:rPr>
          <w:bCs/>
        </w:rPr>
      </w:pPr>
      <w:r w:rsidRPr="00134B7D">
        <w:rPr>
          <w:bCs/>
        </w:rPr>
        <w:t xml:space="preserve">Transparent payload based GSO and NGSO network scenarios addressing 3GPP power class 3 UE in both Earth fixed and/or moving cell </w:t>
      </w:r>
      <w:r w:rsidR="00E25E05" w:rsidRPr="00134B7D">
        <w:rPr>
          <w:bCs/>
        </w:rPr>
        <w:t>configurations.</w:t>
      </w:r>
    </w:p>
    <w:p w14:paraId="238165F7" w14:textId="77777777" w:rsidR="002A4F79" w:rsidRPr="00134B7D" w:rsidRDefault="002A4F79" w:rsidP="002A4F79">
      <w:pPr>
        <w:spacing w:after="0"/>
        <w:rPr>
          <w:bCs/>
        </w:rPr>
      </w:pPr>
    </w:p>
    <w:p w14:paraId="36316EA7" w14:textId="1A177EF5" w:rsidR="002A4F79" w:rsidRPr="00134B7D" w:rsidRDefault="002A4F79" w:rsidP="002A4F79">
      <w:pPr>
        <w:spacing w:after="0"/>
        <w:rPr>
          <w:bCs/>
        </w:rPr>
      </w:pPr>
      <w:r w:rsidRPr="00134B7D">
        <w:rPr>
          <w:bCs/>
        </w:rPr>
        <w:t xml:space="preserve">As part of Release 18, </w:t>
      </w:r>
      <w:r w:rsidR="001439F5">
        <w:rPr>
          <w:bCs/>
        </w:rPr>
        <w:t>the parent</w:t>
      </w:r>
      <w:r w:rsidRPr="00134B7D">
        <w:rPr>
          <w:bCs/>
        </w:rPr>
        <w:t xml:space="preserve"> work item proposed enhancements for NG-RAN based Non-Terrestrial Networks in order to:</w:t>
      </w:r>
    </w:p>
    <w:p w14:paraId="216EBFCE" w14:textId="77777777" w:rsidR="002A4F79" w:rsidRPr="00134B7D" w:rsidRDefault="002A4F79" w:rsidP="002A4F79">
      <w:pPr>
        <w:spacing w:after="0"/>
        <w:rPr>
          <w:bCs/>
        </w:rPr>
      </w:pPr>
    </w:p>
    <w:p w14:paraId="30C11216" w14:textId="5B06E4FE" w:rsidR="002A4F79" w:rsidRPr="00134B7D" w:rsidRDefault="002A4F79" w:rsidP="002A4F79">
      <w:pPr>
        <w:numPr>
          <w:ilvl w:val="0"/>
          <w:numId w:val="10"/>
        </w:numPr>
        <w:spacing w:after="0"/>
        <w:rPr>
          <w:bCs/>
        </w:rPr>
      </w:pPr>
      <w:r w:rsidRPr="00134B7D">
        <w:rPr>
          <w:bCs/>
        </w:rPr>
        <w:t>Support new scenarios to cover deployments in frequency bands above 10 GHz</w:t>
      </w:r>
      <w:r w:rsidR="00E24629">
        <w:rPr>
          <w:bCs/>
        </w:rPr>
        <w:t xml:space="preserve"> for VSAT UE</w:t>
      </w:r>
    </w:p>
    <w:p w14:paraId="79DF9E12" w14:textId="77777777" w:rsidR="002A4F79" w:rsidRPr="00134B7D" w:rsidRDefault="002A4F79" w:rsidP="002A4F79">
      <w:pPr>
        <w:numPr>
          <w:ilvl w:val="0"/>
          <w:numId w:val="10"/>
        </w:numPr>
        <w:spacing w:after="0"/>
        <w:rPr>
          <w:bCs/>
        </w:rPr>
      </w:pPr>
      <w:r w:rsidRPr="00134B7D">
        <w:rPr>
          <w:bCs/>
        </w:rPr>
        <w:t xml:space="preserve">Offer optimized performance especially when addressing handset terminals (including smartphones with more realistic assumptions on antenna gains instead of 0 dBi antenna gain with the specific realistic antenna gain assumption to be determined at the working group level) w.r.t. coverage </w:t>
      </w:r>
      <w:bookmarkStart w:id="0" w:name="_Hlk89952957"/>
      <w:r w:rsidRPr="00134B7D">
        <w:rPr>
          <w:iCs/>
        </w:rPr>
        <w:t>considering the NTN characteristics such as large propagation delay and satellite movement</w:t>
      </w:r>
      <w:bookmarkEnd w:id="0"/>
      <w:r w:rsidRPr="00134B7D">
        <w:rPr>
          <w:iCs/>
        </w:rPr>
        <w:t>.</w:t>
      </w:r>
    </w:p>
    <w:p w14:paraId="12C00EB4" w14:textId="77777777" w:rsidR="002A4F79" w:rsidRPr="00134B7D" w:rsidRDefault="002A4F79" w:rsidP="002A4F79">
      <w:pPr>
        <w:numPr>
          <w:ilvl w:val="0"/>
          <w:numId w:val="10"/>
        </w:numPr>
        <w:spacing w:after="0"/>
        <w:rPr>
          <w:bCs/>
        </w:rPr>
      </w:pPr>
      <w:r w:rsidRPr="00134B7D">
        <w:rPr>
          <w:bCs/>
        </w:rPr>
        <w:t xml:space="preserve">Provide mobility and service continuity enhancements </w:t>
      </w:r>
      <w:r w:rsidRPr="00134B7D">
        <w:rPr>
          <w:iCs/>
        </w:rPr>
        <w:t>considering the NTN characteristics such as large propagation delay and satellite movement.</w:t>
      </w:r>
    </w:p>
    <w:p w14:paraId="6D00D419" w14:textId="77777777" w:rsidR="002A4F79" w:rsidRPr="00134B7D" w:rsidRDefault="002A4F79" w:rsidP="002A4F79">
      <w:pPr>
        <w:numPr>
          <w:ilvl w:val="0"/>
          <w:numId w:val="10"/>
        </w:numPr>
        <w:spacing w:after="0"/>
        <w:rPr>
          <w:bCs/>
        </w:rPr>
      </w:pPr>
      <w:r w:rsidRPr="00134B7D">
        <w:rPr>
          <w:bCs/>
        </w:rPr>
        <w:t xml:space="preserve">Address requirements, if needed based on the </w:t>
      </w:r>
      <w:r w:rsidRPr="00AE26DB">
        <w:rPr>
          <w:bCs/>
        </w:rPr>
        <w:t>FS_NR_NTN_netw_verif_UE_loc</w:t>
      </w:r>
      <w:r>
        <w:rPr>
          <w:bCs/>
        </w:rPr>
        <w:t xml:space="preserve"> </w:t>
      </w:r>
      <w:r w:rsidRPr="00134B7D">
        <w:rPr>
          <w:bCs/>
        </w:rPr>
        <w:t>study outcome, which mandate the network operator to cross check the UE location reported by the UE, which needs to be carried out in order to fulfil the regulatory requirements (e.g., Lawful intercept, emergency call, Public Warning System, …) regarding a network verified UE location i.e., to be able to check the UE reported location information (e.g. estimate UE location at the network side) and specify if needed mechanisms to fulfil the regulatory requirements.</w:t>
      </w:r>
    </w:p>
    <w:p w14:paraId="6D3FA01A" w14:textId="44CFE84C" w:rsidR="00113C61" w:rsidRDefault="00113C61" w:rsidP="008A43F6">
      <w:pPr>
        <w:spacing w:after="0"/>
        <w:rPr>
          <w:bCs/>
        </w:rPr>
      </w:pPr>
    </w:p>
    <w:p w14:paraId="4A2BDC03" w14:textId="77777777" w:rsidR="001E489F" w:rsidRPr="007861B8" w:rsidRDefault="001E489F" w:rsidP="007861B8">
      <w:pPr>
        <w:pStyle w:val="Heading1"/>
        <w:rPr>
          <w:b/>
          <w:lang w:eastAsia="ja-JP"/>
        </w:rPr>
      </w:pPr>
      <w:r w:rsidRPr="007861B8">
        <w:rPr>
          <w:lang w:eastAsia="ja-JP"/>
        </w:rPr>
        <w:lastRenderedPageBreak/>
        <w:t>4</w:t>
      </w:r>
      <w:r w:rsidRPr="007861B8">
        <w:rPr>
          <w:lang w:eastAsia="ja-JP"/>
        </w:rPr>
        <w:tab/>
        <w:t>Objective</w:t>
      </w:r>
    </w:p>
    <w:p w14:paraId="4FB05F87" w14:textId="27CD6BAF" w:rsidR="008212AD" w:rsidRPr="00113C61" w:rsidRDefault="008212AD" w:rsidP="008212AD">
      <w:pPr>
        <w:pStyle w:val="Guidance"/>
        <w:rPr>
          <w:bCs/>
          <w:i w:val="0"/>
          <w:color w:val="auto"/>
          <w:lang w:eastAsia="en-GB"/>
        </w:rPr>
      </w:pPr>
      <w:r w:rsidRPr="00113C61">
        <w:rPr>
          <w:bCs/>
          <w:i w:val="0"/>
          <w:color w:val="auto"/>
          <w:lang w:eastAsia="en-GB"/>
        </w:rPr>
        <w:t xml:space="preserve">The objective of this work item is to enable UE conformance testing for the Rel-18 </w:t>
      </w:r>
      <w:r w:rsidR="00F62827">
        <w:rPr>
          <w:bCs/>
          <w:i w:val="0"/>
          <w:color w:val="auto"/>
          <w:lang w:eastAsia="en-GB"/>
        </w:rPr>
        <w:t>NTN enhancements</w:t>
      </w:r>
      <w:r w:rsidRPr="00113C61">
        <w:rPr>
          <w:bCs/>
          <w:i w:val="0"/>
          <w:color w:val="auto"/>
          <w:lang w:eastAsia="en-GB"/>
        </w:rPr>
        <w:t xml:space="preserve"> WI which includes analysing the </w:t>
      </w:r>
      <w:r w:rsidR="00B97BAA">
        <w:rPr>
          <w:bCs/>
          <w:i w:val="0"/>
          <w:color w:val="auto"/>
          <w:lang w:eastAsia="en-GB"/>
        </w:rPr>
        <w:t>requirements</w:t>
      </w:r>
      <w:r w:rsidR="001C4691">
        <w:rPr>
          <w:bCs/>
          <w:i w:val="0"/>
          <w:color w:val="auto"/>
          <w:lang w:eastAsia="en-GB"/>
        </w:rPr>
        <w:t>, creation of</w:t>
      </w:r>
      <w:r w:rsidR="001D23E9">
        <w:rPr>
          <w:bCs/>
          <w:i w:val="0"/>
          <w:color w:val="auto"/>
          <w:lang w:eastAsia="en-GB"/>
        </w:rPr>
        <w:t xml:space="preserve"> corresponding test cases by</w:t>
      </w:r>
      <w:r w:rsidRPr="00113C61">
        <w:rPr>
          <w:bCs/>
          <w:i w:val="0"/>
          <w:color w:val="auto"/>
          <w:lang w:eastAsia="en-GB"/>
        </w:rPr>
        <w:t xml:space="preserve"> </w:t>
      </w:r>
      <w:r w:rsidR="00B97BAA">
        <w:rPr>
          <w:bCs/>
          <w:i w:val="0"/>
          <w:color w:val="auto"/>
          <w:lang w:eastAsia="en-GB"/>
        </w:rPr>
        <w:t>defining the</w:t>
      </w:r>
      <w:r w:rsidRPr="00113C61">
        <w:rPr>
          <w:bCs/>
          <w:i w:val="0"/>
          <w:color w:val="auto"/>
          <w:lang w:eastAsia="en-GB"/>
        </w:rPr>
        <w:t xml:space="preserve"> test environment,</w:t>
      </w:r>
      <w:r w:rsidR="004034FB">
        <w:rPr>
          <w:bCs/>
          <w:i w:val="0"/>
          <w:color w:val="auto"/>
          <w:lang w:eastAsia="en-GB"/>
        </w:rPr>
        <w:t xml:space="preserve"> special conformance testing function,</w:t>
      </w:r>
      <w:r w:rsidRPr="00113C61">
        <w:rPr>
          <w:bCs/>
          <w:i w:val="0"/>
          <w:color w:val="auto"/>
          <w:lang w:eastAsia="en-GB"/>
        </w:rPr>
        <w:t xml:space="preserve"> </w:t>
      </w:r>
      <w:r w:rsidR="001C4691">
        <w:rPr>
          <w:bCs/>
          <w:i w:val="0"/>
          <w:color w:val="auto"/>
          <w:lang w:eastAsia="en-GB"/>
        </w:rPr>
        <w:t>test procedure</w:t>
      </w:r>
      <w:r w:rsidR="00467CA5">
        <w:rPr>
          <w:bCs/>
          <w:i w:val="0"/>
          <w:color w:val="auto"/>
          <w:lang w:eastAsia="en-GB"/>
        </w:rPr>
        <w:t>, message contents, MU/TT analysis</w:t>
      </w:r>
      <w:r w:rsidR="00916717">
        <w:rPr>
          <w:bCs/>
          <w:i w:val="0"/>
          <w:color w:val="auto"/>
          <w:lang w:eastAsia="en-GB"/>
        </w:rPr>
        <w:t>, associated PICS, applicability</w:t>
      </w:r>
      <w:r w:rsidR="001C4691">
        <w:rPr>
          <w:bCs/>
          <w:i w:val="0"/>
          <w:color w:val="auto"/>
          <w:lang w:eastAsia="en-GB"/>
        </w:rPr>
        <w:t xml:space="preserve"> </w:t>
      </w:r>
      <w:r w:rsidRPr="00113C61">
        <w:rPr>
          <w:bCs/>
          <w:i w:val="0"/>
          <w:color w:val="auto"/>
          <w:lang w:eastAsia="en-GB"/>
        </w:rPr>
        <w:t xml:space="preserve">and updating the relevant conformance specifications. </w:t>
      </w:r>
    </w:p>
    <w:p w14:paraId="28402A1F" w14:textId="3A80F3C7" w:rsidR="001E489F" w:rsidRDefault="008212AD" w:rsidP="008212AD">
      <w:pPr>
        <w:rPr>
          <w:bCs/>
        </w:rPr>
      </w:pPr>
      <w:r w:rsidRPr="00113C61">
        <w:rPr>
          <w:bCs/>
        </w:rPr>
        <w:t xml:space="preserve">The conformance testing aspects for this WI would consist of </w:t>
      </w:r>
      <w:r w:rsidR="00273ED0">
        <w:rPr>
          <w:bCs/>
        </w:rPr>
        <w:t>below</w:t>
      </w:r>
      <w:r w:rsidRPr="00113C61">
        <w:rPr>
          <w:bCs/>
        </w:rPr>
        <w:t xml:space="preserve"> area</w:t>
      </w:r>
      <w:r w:rsidR="00273ED0">
        <w:rPr>
          <w:bCs/>
        </w:rPr>
        <w:t>s:</w:t>
      </w:r>
    </w:p>
    <w:p w14:paraId="1A2C0B74" w14:textId="44CE3C85" w:rsidR="00AF3222" w:rsidRPr="002308C2" w:rsidRDefault="00AF3222" w:rsidP="00AF3222">
      <w:pPr>
        <w:numPr>
          <w:ilvl w:val="0"/>
          <w:numId w:val="12"/>
        </w:numPr>
      </w:pPr>
      <w:r w:rsidRPr="002308C2">
        <w:t>Protocol test case</w:t>
      </w:r>
      <w:r>
        <w:t>s</w:t>
      </w:r>
      <w:r w:rsidRPr="002308C2">
        <w:t xml:space="preserve"> for </w:t>
      </w:r>
      <w:r w:rsidRPr="00E377ED">
        <w:rPr>
          <w:lang w:val="en-US" w:eastAsia="zh-Hans"/>
        </w:rPr>
        <w:t xml:space="preserve">NR </w:t>
      </w:r>
      <w:r>
        <w:rPr>
          <w:lang w:val="en-US" w:eastAsia="zh-Hans"/>
        </w:rPr>
        <w:t xml:space="preserve">NTN </w:t>
      </w:r>
      <w:r w:rsidR="00273ED0">
        <w:rPr>
          <w:lang w:val="en-US" w:eastAsia="zh-Hans"/>
        </w:rPr>
        <w:t>enhancements</w:t>
      </w:r>
    </w:p>
    <w:p w14:paraId="26C0269A" w14:textId="399BBC93" w:rsidR="00AF3222" w:rsidRPr="00071E64" w:rsidRDefault="00AF3222" w:rsidP="00AF3222">
      <w:pPr>
        <w:numPr>
          <w:ilvl w:val="0"/>
          <w:numId w:val="12"/>
        </w:numPr>
        <w:rPr>
          <w:bCs/>
        </w:rPr>
      </w:pPr>
      <w:r>
        <w:t xml:space="preserve">UE RF </w:t>
      </w:r>
      <w:r w:rsidRPr="002308C2">
        <w:t>test case</w:t>
      </w:r>
      <w:r>
        <w:t>s</w:t>
      </w:r>
      <w:r w:rsidRPr="002308C2">
        <w:t xml:space="preserve"> for </w:t>
      </w:r>
      <w:r w:rsidRPr="00E377ED">
        <w:rPr>
          <w:lang w:val="en-US" w:eastAsia="zh-Hans"/>
        </w:rPr>
        <w:t xml:space="preserve">NR </w:t>
      </w:r>
      <w:r>
        <w:rPr>
          <w:lang w:val="en-US" w:eastAsia="zh-Hans"/>
        </w:rPr>
        <w:t xml:space="preserve">NTN </w:t>
      </w:r>
      <w:r w:rsidR="00273ED0">
        <w:rPr>
          <w:lang w:val="en-US" w:eastAsia="zh-Hans"/>
        </w:rPr>
        <w:t>enhancements</w:t>
      </w:r>
    </w:p>
    <w:p w14:paraId="3495A408" w14:textId="5B29F9FC" w:rsidR="00AF3222" w:rsidRPr="00071E64" w:rsidRDefault="00AF3222" w:rsidP="00AF3222">
      <w:pPr>
        <w:numPr>
          <w:ilvl w:val="0"/>
          <w:numId w:val="12"/>
        </w:numPr>
        <w:rPr>
          <w:bCs/>
        </w:rPr>
      </w:pPr>
      <w:r>
        <w:rPr>
          <w:lang w:val="en-US" w:eastAsia="zh-Hans"/>
        </w:rPr>
        <w:t xml:space="preserve">UE DEMOD </w:t>
      </w:r>
      <w:r w:rsidRPr="002308C2">
        <w:t>test case</w:t>
      </w:r>
      <w:r>
        <w:t>s</w:t>
      </w:r>
      <w:r w:rsidRPr="002308C2">
        <w:t xml:space="preserve"> for </w:t>
      </w:r>
      <w:r w:rsidRPr="00E377ED">
        <w:rPr>
          <w:lang w:val="en-US" w:eastAsia="zh-Hans"/>
        </w:rPr>
        <w:t xml:space="preserve">NR </w:t>
      </w:r>
      <w:r>
        <w:rPr>
          <w:lang w:val="en-US" w:eastAsia="zh-Hans"/>
        </w:rPr>
        <w:t xml:space="preserve">NTN </w:t>
      </w:r>
      <w:r w:rsidR="00273ED0">
        <w:rPr>
          <w:lang w:val="en-US" w:eastAsia="zh-Hans"/>
        </w:rPr>
        <w:t>enhancements</w:t>
      </w:r>
      <w:r>
        <w:t xml:space="preserve"> </w:t>
      </w:r>
    </w:p>
    <w:p w14:paraId="6BC2A8AF" w14:textId="1EC8EB88" w:rsidR="00AF3222" w:rsidRPr="001975D4" w:rsidRDefault="00AF3222" w:rsidP="00AF3222">
      <w:pPr>
        <w:numPr>
          <w:ilvl w:val="0"/>
          <w:numId w:val="12"/>
        </w:numPr>
        <w:rPr>
          <w:bCs/>
        </w:rPr>
      </w:pPr>
      <w:r w:rsidRPr="002308C2">
        <w:rPr>
          <w:rFonts w:hint="eastAsia"/>
        </w:rPr>
        <w:t xml:space="preserve">RRM </w:t>
      </w:r>
      <w:r w:rsidRPr="002308C2">
        <w:t>test case</w:t>
      </w:r>
      <w:r>
        <w:t>s</w:t>
      </w:r>
      <w:r w:rsidRPr="002308C2">
        <w:t xml:space="preserve"> for </w:t>
      </w:r>
      <w:r w:rsidRPr="00E377ED">
        <w:rPr>
          <w:lang w:val="en-US" w:eastAsia="zh-Hans"/>
        </w:rPr>
        <w:t xml:space="preserve">NR </w:t>
      </w:r>
      <w:r>
        <w:rPr>
          <w:lang w:val="en-US" w:eastAsia="zh-Hans"/>
        </w:rPr>
        <w:t xml:space="preserve">NTN </w:t>
      </w:r>
      <w:r w:rsidR="00273ED0">
        <w:rPr>
          <w:lang w:val="en-US" w:eastAsia="zh-Hans"/>
        </w:rPr>
        <w:t>enhancements</w:t>
      </w:r>
    </w:p>
    <w:p w14:paraId="25CE435A" w14:textId="55AA1CF0" w:rsidR="00AF3222" w:rsidRPr="001975D4" w:rsidRDefault="00AF3222" w:rsidP="00AF3222">
      <w:pPr>
        <w:numPr>
          <w:ilvl w:val="0"/>
          <w:numId w:val="12"/>
        </w:numPr>
        <w:rPr>
          <w:bCs/>
        </w:rPr>
      </w:pPr>
      <w:r>
        <w:rPr>
          <w:lang w:val="en-US" w:eastAsia="zh-Hans"/>
        </w:rPr>
        <w:t>Functionality introduced by the CT</w:t>
      </w:r>
      <w:r w:rsidR="00273ED0">
        <w:rPr>
          <w:lang w:val="en-US" w:eastAsia="zh-Hans"/>
        </w:rPr>
        <w:t>1</w:t>
      </w:r>
      <w:r>
        <w:rPr>
          <w:lang w:val="en-US" w:eastAsia="zh-Hans"/>
        </w:rPr>
        <w:t xml:space="preserve"> WI on satellite access</w:t>
      </w:r>
      <w:r w:rsidR="00EA65BE">
        <w:rPr>
          <w:lang w:val="en-US" w:eastAsia="zh-Hans"/>
        </w:rPr>
        <w:t xml:space="preserve"> phase 2</w:t>
      </w:r>
    </w:p>
    <w:p w14:paraId="5263DC76" w14:textId="77777777" w:rsidR="000B4607" w:rsidRDefault="000B4607" w:rsidP="000B4607">
      <w:pPr>
        <w:pStyle w:val="Guidance"/>
        <w:numPr>
          <w:ilvl w:val="0"/>
          <w:numId w:val="13"/>
        </w:numPr>
        <w:rPr>
          <w:i w:val="0"/>
          <w:iCs/>
        </w:rPr>
      </w:pPr>
      <w:r>
        <w:rPr>
          <w:i w:val="0"/>
          <w:iCs/>
        </w:rPr>
        <w:t>Procedures for determining and negotiating out-of-coverage period due to discontinuous coverage and for power saving during coverage gaps:</w:t>
      </w:r>
    </w:p>
    <w:p w14:paraId="5C0D7D3F" w14:textId="77777777" w:rsidR="000B4607" w:rsidRDefault="000B4607" w:rsidP="000B4607">
      <w:pPr>
        <w:pStyle w:val="Guidance"/>
        <w:numPr>
          <w:ilvl w:val="1"/>
          <w:numId w:val="13"/>
        </w:numPr>
        <w:rPr>
          <w:i w:val="0"/>
          <w:iCs/>
        </w:rPr>
      </w:pPr>
      <w:r>
        <w:rPr>
          <w:i w:val="0"/>
          <w:iCs/>
        </w:rPr>
        <w:t>Negotiation of “discontinuous coverage support” capability between the UE and the AMF</w:t>
      </w:r>
    </w:p>
    <w:p w14:paraId="0C8AC6B0" w14:textId="77777777" w:rsidR="000B4607" w:rsidRDefault="000B4607" w:rsidP="000B4607">
      <w:pPr>
        <w:pStyle w:val="Guidance"/>
        <w:numPr>
          <w:ilvl w:val="1"/>
          <w:numId w:val="13"/>
        </w:numPr>
        <w:rPr>
          <w:i w:val="0"/>
          <w:iCs/>
        </w:rPr>
      </w:pPr>
      <w:r>
        <w:rPr>
          <w:i w:val="0"/>
          <w:iCs/>
        </w:rPr>
        <w:t>Negotiation of “out-of-coverage period” between the UE and the AMF</w:t>
      </w:r>
    </w:p>
    <w:p w14:paraId="42F4F786" w14:textId="77777777" w:rsidR="000B4607" w:rsidRDefault="000B4607" w:rsidP="000B4607">
      <w:pPr>
        <w:pStyle w:val="Guidance"/>
        <w:numPr>
          <w:ilvl w:val="1"/>
          <w:numId w:val="13"/>
        </w:numPr>
        <w:rPr>
          <w:i w:val="0"/>
          <w:iCs/>
        </w:rPr>
      </w:pPr>
      <w:r>
        <w:rPr>
          <w:i w:val="0"/>
          <w:iCs/>
        </w:rPr>
        <w:t>Indication of losing coverage by the UE</w:t>
      </w:r>
    </w:p>
    <w:p w14:paraId="4AC8A240" w14:textId="77777777" w:rsidR="000B4607" w:rsidRPr="00F16B94" w:rsidRDefault="000B4607" w:rsidP="000B4607">
      <w:pPr>
        <w:pStyle w:val="Guidance"/>
        <w:numPr>
          <w:ilvl w:val="1"/>
          <w:numId w:val="13"/>
        </w:numPr>
        <w:rPr>
          <w:i w:val="0"/>
          <w:iCs/>
        </w:rPr>
      </w:pPr>
      <w:r>
        <w:rPr>
          <w:i w:val="0"/>
          <w:iCs/>
        </w:rPr>
        <w:t>AMF requesting the UE to perform Registration update upon return to coverage</w:t>
      </w:r>
    </w:p>
    <w:p w14:paraId="5A8A4D83" w14:textId="3A1FFF0B" w:rsidR="00AF3222" w:rsidRPr="00113C61" w:rsidRDefault="000B4607" w:rsidP="00AF3222">
      <w:pPr>
        <w:pStyle w:val="B1"/>
        <w:numPr>
          <w:ilvl w:val="0"/>
          <w:numId w:val="13"/>
        </w:numPr>
      </w:pPr>
      <w:r w:rsidRPr="005D3196">
        <w:rPr>
          <w:iCs/>
        </w:rPr>
        <w:t>Handling signalling overload due to loss of coverage and return to coverage of many UEs at the same time.</w:t>
      </w: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194449B4" w14:textId="507B0FFD" w:rsidR="001E489F" w:rsidRPr="00113C61" w:rsidRDefault="001E489F" w:rsidP="005875D6">
            <w:pPr>
              <w:pStyle w:val="Guidance"/>
              <w:spacing w:after="0"/>
              <w:rPr>
                <w:i w:val="0"/>
                <w:iCs/>
              </w:rPr>
            </w:pPr>
          </w:p>
        </w:tc>
        <w:tc>
          <w:tcPr>
            <w:tcW w:w="1134" w:type="dxa"/>
          </w:tcPr>
          <w:p w14:paraId="1581EDBA" w14:textId="780770B0" w:rsidR="001E489F" w:rsidRPr="006C2E80" w:rsidRDefault="001E489F" w:rsidP="005875D6">
            <w:pPr>
              <w:pStyle w:val="Guidance"/>
              <w:spacing w:after="0"/>
            </w:pPr>
          </w:p>
        </w:tc>
        <w:tc>
          <w:tcPr>
            <w:tcW w:w="2409" w:type="dxa"/>
          </w:tcPr>
          <w:p w14:paraId="3489ADFF" w14:textId="1AE255EF" w:rsidR="001E489F" w:rsidRPr="006C2E80" w:rsidRDefault="001E489F" w:rsidP="005875D6">
            <w:pPr>
              <w:pStyle w:val="Guidance"/>
              <w:spacing w:after="0"/>
            </w:pPr>
          </w:p>
        </w:tc>
        <w:tc>
          <w:tcPr>
            <w:tcW w:w="993" w:type="dxa"/>
          </w:tcPr>
          <w:p w14:paraId="060C3F75" w14:textId="026940A9" w:rsidR="001E489F" w:rsidRPr="006C2E80" w:rsidRDefault="001E489F" w:rsidP="005875D6">
            <w:pPr>
              <w:pStyle w:val="Guidance"/>
              <w:spacing w:after="0"/>
            </w:pPr>
          </w:p>
        </w:tc>
        <w:tc>
          <w:tcPr>
            <w:tcW w:w="1074" w:type="dxa"/>
          </w:tcPr>
          <w:p w14:paraId="3CC87817" w14:textId="65AB9468" w:rsidR="001E489F" w:rsidRPr="006C2E80" w:rsidRDefault="001E489F" w:rsidP="005875D6">
            <w:pPr>
              <w:pStyle w:val="Guidance"/>
              <w:spacing w:after="0"/>
            </w:pPr>
          </w:p>
        </w:tc>
        <w:tc>
          <w:tcPr>
            <w:tcW w:w="2186" w:type="dxa"/>
          </w:tcPr>
          <w:p w14:paraId="71B3D7AE" w14:textId="4CC611F4" w:rsidR="001E489F" w:rsidRPr="006C2E80" w:rsidRDefault="001E489F" w:rsidP="005875D6">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lastRenderedPageBreak/>
              <w:t xml:space="preserve">Impacted </w:t>
            </w:r>
            <w:r w:rsidRPr="006E1FDA">
              <w:t xml:space="preserve">existing </w:t>
            </w:r>
            <w:r>
              <w:t xml:space="preserve">TS/TR </w:t>
            </w:r>
            <w:r w:rsidRPr="00CD3153">
              <w:t>{</w:t>
            </w:r>
            <w:r w:rsidRPr="00796100">
              <w:rPr>
                <w:b w:val="0"/>
                <w:bCs/>
                <w:i/>
                <w:iCs/>
              </w:rPr>
              <w:t>One line per specification. Create/delete lines as needed</w:t>
            </w:r>
            <w:r w:rsidRPr="00CD3153">
              <w:t>}</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3C30ED8C" w:rsidR="001E489F" w:rsidRPr="00700A51" w:rsidRDefault="00113C61" w:rsidP="005875D6">
            <w:pPr>
              <w:pStyle w:val="TAL"/>
              <w:rPr>
                <w:rFonts w:cs="Arial"/>
                <w:sz w:val="16"/>
                <w:szCs w:val="16"/>
              </w:rPr>
            </w:pPr>
            <w:r w:rsidRPr="00700A51">
              <w:rPr>
                <w:rFonts w:cs="Arial"/>
                <w:sz w:val="16"/>
                <w:szCs w:val="16"/>
              </w:rPr>
              <w:t>TS 38.508-1</w:t>
            </w:r>
          </w:p>
        </w:tc>
        <w:tc>
          <w:tcPr>
            <w:tcW w:w="4344" w:type="dxa"/>
            <w:tcBorders>
              <w:top w:val="single" w:sz="4" w:space="0" w:color="auto"/>
              <w:left w:val="single" w:sz="4" w:space="0" w:color="auto"/>
              <w:bottom w:val="single" w:sz="4" w:space="0" w:color="auto"/>
              <w:right w:val="single" w:sz="4" w:space="0" w:color="auto"/>
            </w:tcBorders>
          </w:tcPr>
          <w:p w14:paraId="5829B976" w14:textId="36B2DC36" w:rsidR="001E489F" w:rsidRPr="006C2E80" w:rsidRDefault="00113C61" w:rsidP="005875D6">
            <w:pPr>
              <w:pStyle w:val="TAL"/>
            </w:pPr>
            <w:r>
              <w:rPr>
                <w:rFonts w:cs="Arial"/>
                <w:sz w:val="16"/>
                <w:szCs w:val="16"/>
              </w:rPr>
              <w:t xml:space="preserve">Definition of common environment for </w:t>
            </w:r>
            <w:r w:rsidR="00B63696">
              <w:rPr>
                <w:rFonts w:cs="Arial"/>
                <w:sz w:val="16"/>
                <w:szCs w:val="16"/>
              </w:rPr>
              <w:t>NR NTN enhancements</w:t>
            </w:r>
          </w:p>
        </w:tc>
        <w:tc>
          <w:tcPr>
            <w:tcW w:w="1417" w:type="dxa"/>
            <w:tcBorders>
              <w:top w:val="single" w:sz="4" w:space="0" w:color="auto"/>
              <w:left w:val="single" w:sz="4" w:space="0" w:color="auto"/>
              <w:bottom w:val="single" w:sz="4" w:space="0" w:color="auto"/>
              <w:right w:val="single" w:sz="4" w:space="0" w:color="auto"/>
            </w:tcBorders>
          </w:tcPr>
          <w:p w14:paraId="3D9F2601" w14:textId="77777777" w:rsidR="00C55158" w:rsidRPr="00415F0A" w:rsidRDefault="00C55158" w:rsidP="00C55158">
            <w:pPr>
              <w:spacing w:after="0"/>
              <w:rPr>
                <w:rFonts w:ascii="Arial" w:hAnsi="Arial" w:cs="Arial"/>
                <w:sz w:val="16"/>
                <w:szCs w:val="16"/>
              </w:rPr>
            </w:pPr>
            <w:r w:rsidRPr="00415F0A">
              <w:rPr>
                <w:rFonts w:ascii="Arial" w:hAnsi="Arial" w:cs="Arial"/>
                <w:sz w:val="16"/>
                <w:szCs w:val="16"/>
              </w:rPr>
              <w:t>TSG RAN#110</w:t>
            </w:r>
          </w:p>
          <w:p w14:paraId="53BCD47C" w14:textId="1D81D493" w:rsidR="001E489F" w:rsidRPr="006C2E80" w:rsidRDefault="00C55158" w:rsidP="00C55158">
            <w:pPr>
              <w:pStyle w:val="TAL"/>
            </w:pPr>
            <w:r w:rsidRPr="00415F0A">
              <w:rPr>
                <w:rFonts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r w:rsidR="00C55158" w:rsidRPr="006C2E80" w14:paraId="1CD219C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2DCE1D7A" w14:textId="1B8E50E1" w:rsidR="00C55158" w:rsidRDefault="00C55158" w:rsidP="00C55158">
            <w:pPr>
              <w:pStyle w:val="TAL"/>
            </w:pPr>
            <w:r>
              <w:rPr>
                <w:rFonts w:cs="Arial"/>
                <w:sz w:val="16"/>
                <w:szCs w:val="16"/>
              </w:rPr>
              <w:t>TS 38.508-2</w:t>
            </w:r>
          </w:p>
        </w:tc>
        <w:tc>
          <w:tcPr>
            <w:tcW w:w="4344" w:type="dxa"/>
            <w:tcBorders>
              <w:top w:val="single" w:sz="4" w:space="0" w:color="auto"/>
              <w:left w:val="single" w:sz="4" w:space="0" w:color="auto"/>
              <w:bottom w:val="single" w:sz="4" w:space="0" w:color="auto"/>
              <w:right w:val="single" w:sz="4" w:space="0" w:color="auto"/>
            </w:tcBorders>
          </w:tcPr>
          <w:p w14:paraId="574DAA8F" w14:textId="763EBB66" w:rsidR="00C55158" w:rsidRDefault="00C55158" w:rsidP="00C55158">
            <w:pPr>
              <w:pStyle w:val="TAL"/>
              <w:rPr>
                <w:rFonts w:cs="Arial"/>
                <w:sz w:val="16"/>
                <w:szCs w:val="16"/>
              </w:rPr>
            </w:pPr>
            <w:r>
              <w:rPr>
                <w:rFonts w:cs="Arial"/>
                <w:sz w:val="16"/>
                <w:szCs w:val="16"/>
              </w:rPr>
              <w:t xml:space="preserve">Introduction of physical implementation capabilities for </w:t>
            </w:r>
            <w:r w:rsidR="00B63696">
              <w:rPr>
                <w:rFonts w:cs="Arial"/>
                <w:sz w:val="16"/>
                <w:szCs w:val="16"/>
              </w:rPr>
              <w:t>NR NTN enhancements</w:t>
            </w:r>
            <w:r>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44EB2445" w14:textId="77777777" w:rsidR="00C55158" w:rsidRPr="00415F0A" w:rsidRDefault="00C55158" w:rsidP="00C55158">
            <w:pPr>
              <w:spacing w:after="0"/>
              <w:rPr>
                <w:rFonts w:ascii="Arial" w:hAnsi="Arial" w:cs="Arial"/>
                <w:sz w:val="16"/>
                <w:szCs w:val="16"/>
              </w:rPr>
            </w:pPr>
            <w:r w:rsidRPr="00415F0A">
              <w:rPr>
                <w:rFonts w:ascii="Arial" w:hAnsi="Arial" w:cs="Arial"/>
                <w:sz w:val="16"/>
                <w:szCs w:val="16"/>
              </w:rPr>
              <w:t>TSG RAN#110</w:t>
            </w:r>
          </w:p>
          <w:p w14:paraId="5995169A" w14:textId="0BDB47C2" w:rsidR="00C55158" w:rsidRPr="00415F0A" w:rsidRDefault="00C55158" w:rsidP="00C55158">
            <w:pPr>
              <w:spacing w:after="0"/>
              <w:rPr>
                <w:rFonts w:ascii="Arial" w:hAnsi="Arial" w:cs="Arial"/>
                <w:sz w:val="16"/>
                <w:szCs w:val="16"/>
              </w:rPr>
            </w:pPr>
            <w:r w:rsidRPr="00415F0A">
              <w:rPr>
                <w:rFonts w:ascii="Arial" w:hAnsi="Arial"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4790E5F1" w14:textId="77777777" w:rsidR="00C55158" w:rsidRPr="006C2E80" w:rsidRDefault="00C55158" w:rsidP="00C55158">
            <w:pPr>
              <w:pStyle w:val="TAL"/>
            </w:pPr>
          </w:p>
        </w:tc>
      </w:tr>
      <w:tr w:rsidR="00E67C20" w:rsidRPr="006C2E80" w14:paraId="688D4344"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E7C5607" w14:textId="2C2AE96E" w:rsidR="00E67C20" w:rsidRDefault="00E67C20" w:rsidP="00C55158">
            <w:pPr>
              <w:pStyle w:val="TAL"/>
              <w:rPr>
                <w:rFonts w:cs="Arial"/>
                <w:sz w:val="16"/>
                <w:szCs w:val="16"/>
              </w:rPr>
            </w:pPr>
            <w:r>
              <w:rPr>
                <w:rFonts w:cs="Arial"/>
                <w:sz w:val="16"/>
                <w:szCs w:val="16"/>
              </w:rPr>
              <w:t>TS 38.509</w:t>
            </w:r>
          </w:p>
        </w:tc>
        <w:tc>
          <w:tcPr>
            <w:tcW w:w="4344" w:type="dxa"/>
            <w:tcBorders>
              <w:top w:val="single" w:sz="4" w:space="0" w:color="auto"/>
              <w:left w:val="single" w:sz="4" w:space="0" w:color="auto"/>
              <w:bottom w:val="single" w:sz="4" w:space="0" w:color="auto"/>
              <w:right w:val="single" w:sz="4" w:space="0" w:color="auto"/>
            </w:tcBorders>
          </w:tcPr>
          <w:p w14:paraId="32FD4E6B" w14:textId="152ECA0A" w:rsidR="00E67C20" w:rsidRDefault="009C517A" w:rsidP="00C55158">
            <w:pPr>
              <w:pStyle w:val="TAL"/>
              <w:rPr>
                <w:rFonts w:cs="Arial"/>
                <w:sz w:val="16"/>
                <w:szCs w:val="16"/>
              </w:rPr>
            </w:pPr>
            <w:r>
              <w:rPr>
                <w:rFonts w:cs="Arial"/>
                <w:sz w:val="16"/>
                <w:szCs w:val="16"/>
              </w:rPr>
              <w:t>Introduction of special conformance testing function</w:t>
            </w:r>
            <w:r w:rsidR="004034FB">
              <w:rPr>
                <w:rFonts w:cs="Arial"/>
                <w:sz w:val="16"/>
                <w:szCs w:val="16"/>
              </w:rPr>
              <w:t xml:space="preserve"> for </w:t>
            </w:r>
            <w:r w:rsidR="00B63696">
              <w:rPr>
                <w:rFonts w:cs="Arial"/>
                <w:sz w:val="16"/>
                <w:szCs w:val="16"/>
              </w:rPr>
              <w:t>NR NTN enhancements</w:t>
            </w:r>
          </w:p>
        </w:tc>
        <w:tc>
          <w:tcPr>
            <w:tcW w:w="1417" w:type="dxa"/>
            <w:tcBorders>
              <w:top w:val="single" w:sz="4" w:space="0" w:color="auto"/>
              <w:left w:val="single" w:sz="4" w:space="0" w:color="auto"/>
              <w:bottom w:val="single" w:sz="4" w:space="0" w:color="auto"/>
              <w:right w:val="single" w:sz="4" w:space="0" w:color="auto"/>
            </w:tcBorders>
          </w:tcPr>
          <w:p w14:paraId="72301B7D" w14:textId="77777777" w:rsidR="00E67C20" w:rsidRPr="00415F0A" w:rsidRDefault="00E67C20" w:rsidP="00E67C20">
            <w:pPr>
              <w:spacing w:after="0"/>
              <w:rPr>
                <w:rFonts w:ascii="Arial" w:hAnsi="Arial" w:cs="Arial"/>
                <w:sz w:val="16"/>
                <w:szCs w:val="16"/>
              </w:rPr>
            </w:pPr>
            <w:r w:rsidRPr="00415F0A">
              <w:rPr>
                <w:rFonts w:ascii="Arial" w:hAnsi="Arial" w:cs="Arial"/>
                <w:sz w:val="16"/>
                <w:szCs w:val="16"/>
              </w:rPr>
              <w:t>TSG RAN#110</w:t>
            </w:r>
          </w:p>
          <w:p w14:paraId="3AB62CB9" w14:textId="3A9B81FF" w:rsidR="00E67C20" w:rsidRPr="00415F0A" w:rsidRDefault="00E67C20" w:rsidP="00E67C20">
            <w:pPr>
              <w:spacing w:after="0"/>
              <w:rPr>
                <w:rFonts w:ascii="Arial" w:hAnsi="Arial" w:cs="Arial"/>
                <w:sz w:val="16"/>
                <w:szCs w:val="16"/>
              </w:rPr>
            </w:pPr>
            <w:r w:rsidRPr="00415F0A">
              <w:rPr>
                <w:rFonts w:ascii="Arial" w:hAnsi="Arial"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79DE847A" w14:textId="77777777" w:rsidR="00E67C20" w:rsidRPr="006C2E80" w:rsidRDefault="00E67C20" w:rsidP="00C55158">
            <w:pPr>
              <w:pStyle w:val="TAL"/>
            </w:pPr>
          </w:p>
        </w:tc>
      </w:tr>
      <w:tr w:rsidR="00C55158" w:rsidRPr="006C2E80" w14:paraId="1E4D77C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B3C0398" w14:textId="40FDC224" w:rsidR="00C55158" w:rsidRDefault="00C55158" w:rsidP="00C55158">
            <w:pPr>
              <w:pStyle w:val="TAL"/>
              <w:rPr>
                <w:rFonts w:cs="Arial"/>
                <w:sz w:val="16"/>
                <w:szCs w:val="16"/>
              </w:rPr>
            </w:pPr>
            <w:r>
              <w:rPr>
                <w:rFonts w:cs="Arial"/>
                <w:sz w:val="16"/>
                <w:szCs w:val="16"/>
              </w:rPr>
              <w:t>TS 38.521-</w:t>
            </w:r>
            <w:r w:rsidR="009533BF">
              <w:rPr>
                <w:rFonts w:cs="Arial"/>
                <w:sz w:val="16"/>
                <w:szCs w:val="16"/>
              </w:rPr>
              <w:t>5</w:t>
            </w:r>
          </w:p>
        </w:tc>
        <w:tc>
          <w:tcPr>
            <w:tcW w:w="4344" w:type="dxa"/>
            <w:tcBorders>
              <w:top w:val="single" w:sz="4" w:space="0" w:color="auto"/>
              <w:left w:val="single" w:sz="4" w:space="0" w:color="auto"/>
              <w:bottom w:val="single" w:sz="4" w:space="0" w:color="auto"/>
              <w:right w:val="single" w:sz="4" w:space="0" w:color="auto"/>
            </w:tcBorders>
          </w:tcPr>
          <w:p w14:paraId="4862DA00" w14:textId="7AFDAEA5" w:rsidR="00C55158" w:rsidRDefault="00C55158" w:rsidP="00C55158">
            <w:pPr>
              <w:pStyle w:val="TAL"/>
              <w:rPr>
                <w:rFonts w:cs="Arial"/>
                <w:sz w:val="16"/>
                <w:szCs w:val="16"/>
              </w:rPr>
            </w:pPr>
            <w:r>
              <w:rPr>
                <w:rFonts w:cs="Arial"/>
                <w:sz w:val="16"/>
                <w:szCs w:val="16"/>
              </w:rPr>
              <w:t>Introduction of UE RF</w:t>
            </w:r>
            <w:r w:rsidR="009533BF">
              <w:rPr>
                <w:rFonts w:cs="Arial"/>
                <w:sz w:val="16"/>
                <w:szCs w:val="16"/>
              </w:rPr>
              <w:t xml:space="preserve"> and UE Demodulation</w:t>
            </w:r>
            <w:r>
              <w:rPr>
                <w:rFonts w:cs="Arial"/>
                <w:sz w:val="16"/>
                <w:szCs w:val="16"/>
              </w:rPr>
              <w:t xml:space="preserve"> requirements for </w:t>
            </w:r>
            <w:r w:rsidR="00B63696">
              <w:rPr>
                <w:rFonts w:cs="Arial"/>
                <w:sz w:val="16"/>
                <w:szCs w:val="16"/>
              </w:rPr>
              <w:t>NR NTN enhancements</w:t>
            </w:r>
          </w:p>
        </w:tc>
        <w:tc>
          <w:tcPr>
            <w:tcW w:w="1417" w:type="dxa"/>
            <w:tcBorders>
              <w:top w:val="single" w:sz="4" w:space="0" w:color="auto"/>
              <w:left w:val="single" w:sz="4" w:space="0" w:color="auto"/>
              <w:bottom w:val="single" w:sz="4" w:space="0" w:color="auto"/>
              <w:right w:val="single" w:sz="4" w:space="0" w:color="auto"/>
            </w:tcBorders>
          </w:tcPr>
          <w:p w14:paraId="0E9A27DC" w14:textId="77777777" w:rsidR="00C55158" w:rsidRPr="00415F0A" w:rsidRDefault="00C55158" w:rsidP="00C55158">
            <w:pPr>
              <w:spacing w:after="0"/>
              <w:rPr>
                <w:rFonts w:ascii="Arial" w:hAnsi="Arial" w:cs="Arial"/>
                <w:sz w:val="16"/>
                <w:szCs w:val="16"/>
              </w:rPr>
            </w:pPr>
            <w:r w:rsidRPr="00415F0A">
              <w:rPr>
                <w:rFonts w:ascii="Arial" w:hAnsi="Arial" w:cs="Arial"/>
                <w:sz w:val="16"/>
                <w:szCs w:val="16"/>
              </w:rPr>
              <w:t>TSG RAN#110</w:t>
            </w:r>
          </w:p>
          <w:p w14:paraId="13520E8A" w14:textId="4AF7CFBB" w:rsidR="00C55158" w:rsidRPr="00415F0A" w:rsidRDefault="00C55158" w:rsidP="00C55158">
            <w:pPr>
              <w:spacing w:after="0"/>
              <w:rPr>
                <w:rFonts w:ascii="Arial" w:hAnsi="Arial" w:cs="Arial"/>
                <w:sz w:val="16"/>
                <w:szCs w:val="16"/>
              </w:rPr>
            </w:pPr>
            <w:r w:rsidRPr="00415F0A">
              <w:rPr>
                <w:rFonts w:ascii="Arial" w:hAnsi="Arial"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4E04841F" w14:textId="77777777" w:rsidR="00C55158" w:rsidRPr="006C2E80" w:rsidRDefault="00C55158" w:rsidP="00C55158">
            <w:pPr>
              <w:pStyle w:val="TAL"/>
            </w:pPr>
          </w:p>
        </w:tc>
      </w:tr>
      <w:tr w:rsidR="009533BF" w:rsidRPr="006C2E80" w14:paraId="594D4FC9"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4F6AF3D2" w14:textId="014A734E" w:rsidR="009533BF" w:rsidRDefault="009533BF" w:rsidP="009533BF">
            <w:pPr>
              <w:pStyle w:val="TAL"/>
              <w:rPr>
                <w:rFonts w:cs="Arial"/>
                <w:sz w:val="16"/>
                <w:szCs w:val="16"/>
              </w:rPr>
            </w:pPr>
            <w:r>
              <w:rPr>
                <w:sz w:val="16"/>
                <w:szCs w:val="16"/>
              </w:rPr>
              <w:t>TS 38.523-1</w:t>
            </w:r>
          </w:p>
        </w:tc>
        <w:tc>
          <w:tcPr>
            <w:tcW w:w="4344" w:type="dxa"/>
            <w:tcBorders>
              <w:top w:val="single" w:sz="4" w:space="0" w:color="auto"/>
              <w:left w:val="single" w:sz="4" w:space="0" w:color="auto"/>
              <w:bottom w:val="single" w:sz="4" w:space="0" w:color="auto"/>
              <w:right w:val="single" w:sz="4" w:space="0" w:color="auto"/>
            </w:tcBorders>
          </w:tcPr>
          <w:p w14:paraId="55188CC4" w14:textId="0A2EDC55" w:rsidR="009533BF" w:rsidRDefault="009533BF" w:rsidP="009533BF">
            <w:pPr>
              <w:pStyle w:val="TAL"/>
              <w:rPr>
                <w:rFonts w:cs="Arial"/>
                <w:sz w:val="16"/>
                <w:szCs w:val="16"/>
              </w:rPr>
            </w:pPr>
            <w:r>
              <w:rPr>
                <w:sz w:val="16"/>
                <w:szCs w:val="16"/>
              </w:rPr>
              <w:t xml:space="preserve">Introduction of Protocol test cases for NR NTN </w:t>
            </w:r>
            <w:r w:rsidR="008B663C">
              <w:rPr>
                <w:sz w:val="16"/>
                <w:szCs w:val="16"/>
              </w:rPr>
              <w:t>enhancements</w:t>
            </w:r>
          </w:p>
        </w:tc>
        <w:tc>
          <w:tcPr>
            <w:tcW w:w="1417" w:type="dxa"/>
            <w:tcBorders>
              <w:top w:val="single" w:sz="4" w:space="0" w:color="auto"/>
              <w:left w:val="single" w:sz="4" w:space="0" w:color="auto"/>
              <w:bottom w:val="single" w:sz="4" w:space="0" w:color="auto"/>
              <w:right w:val="single" w:sz="4" w:space="0" w:color="auto"/>
            </w:tcBorders>
          </w:tcPr>
          <w:p w14:paraId="29DD0E00" w14:textId="61525BBE" w:rsidR="009533BF" w:rsidRPr="00415F0A" w:rsidRDefault="009533BF" w:rsidP="009533BF">
            <w:pPr>
              <w:spacing w:after="0"/>
              <w:rPr>
                <w:rFonts w:ascii="Arial" w:hAnsi="Arial" w:cs="Arial"/>
                <w:sz w:val="16"/>
                <w:szCs w:val="16"/>
              </w:rPr>
            </w:pPr>
            <w:r w:rsidRPr="002308C2">
              <w:rPr>
                <w:rFonts w:ascii="Arial" w:hAnsi="Arial" w:cs="Arial"/>
                <w:sz w:val="16"/>
                <w:szCs w:val="16"/>
              </w:rPr>
              <w:t>TSG RAN#</w:t>
            </w:r>
            <w:r>
              <w:rPr>
                <w:rFonts w:ascii="Arial" w:hAnsi="Arial" w:cs="Arial"/>
                <w:sz w:val="16"/>
                <w:szCs w:val="16"/>
              </w:rPr>
              <w:t>1</w:t>
            </w:r>
            <w:r w:rsidR="008B663C">
              <w:rPr>
                <w:rFonts w:ascii="Arial" w:hAnsi="Arial" w:cs="Arial"/>
                <w:sz w:val="16"/>
                <w:szCs w:val="16"/>
              </w:rPr>
              <w:t>10</w:t>
            </w:r>
            <w:r w:rsidRPr="002308C2">
              <w:rPr>
                <w:rFonts w:ascii="Arial" w:hAnsi="Arial" w:cs="Arial"/>
                <w:sz w:val="16"/>
                <w:szCs w:val="16"/>
              </w:rPr>
              <w:br/>
              <w:t>(</w:t>
            </w:r>
            <w:r>
              <w:rPr>
                <w:rFonts w:ascii="Arial" w:hAnsi="Arial" w:cs="Arial"/>
                <w:sz w:val="16"/>
                <w:szCs w:val="16"/>
              </w:rPr>
              <w:t>Dec</w:t>
            </w:r>
            <w:r w:rsidRPr="002308C2">
              <w:rPr>
                <w:rFonts w:ascii="Arial" w:hAnsi="Arial" w:cs="Arial"/>
                <w:sz w:val="16"/>
                <w:szCs w:val="16"/>
              </w:rPr>
              <w:t>-2</w:t>
            </w:r>
            <w:r w:rsidR="008B663C">
              <w:rPr>
                <w:rFonts w:ascii="Arial" w:hAnsi="Arial" w:cs="Arial"/>
                <w:sz w:val="16"/>
                <w:szCs w:val="16"/>
              </w:rPr>
              <w:t>5</w:t>
            </w:r>
            <w:r w:rsidRPr="002308C2">
              <w:rPr>
                <w:rFonts w:ascii="Arial" w:hAnsi="Arial" w:cs="Arial"/>
                <w:sz w:val="16"/>
                <w:szCs w:val="16"/>
              </w:rPr>
              <w:t>)</w:t>
            </w:r>
          </w:p>
        </w:tc>
        <w:tc>
          <w:tcPr>
            <w:tcW w:w="2101" w:type="dxa"/>
            <w:tcBorders>
              <w:top w:val="single" w:sz="4" w:space="0" w:color="auto"/>
              <w:left w:val="single" w:sz="4" w:space="0" w:color="auto"/>
              <w:bottom w:val="single" w:sz="4" w:space="0" w:color="auto"/>
              <w:right w:val="single" w:sz="4" w:space="0" w:color="auto"/>
            </w:tcBorders>
          </w:tcPr>
          <w:p w14:paraId="206EE4D4" w14:textId="77777777" w:rsidR="009533BF" w:rsidRPr="006C2E80" w:rsidRDefault="009533BF" w:rsidP="009533BF">
            <w:pPr>
              <w:pStyle w:val="TAL"/>
            </w:pPr>
          </w:p>
        </w:tc>
      </w:tr>
      <w:tr w:rsidR="009533BF" w:rsidRPr="006C2E80" w14:paraId="0EA36CDD"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558509B1" w14:textId="6E3A4F78" w:rsidR="009533BF" w:rsidRDefault="009533BF" w:rsidP="009533BF">
            <w:pPr>
              <w:pStyle w:val="TAL"/>
              <w:rPr>
                <w:rFonts w:cs="Arial"/>
                <w:sz w:val="16"/>
                <w:szCs w:val="16"/>
              </w:rPr>
            </w:pPr>
            <w:r>
              <w:rPr>
                <w:sz w:val="16"/>
                <w:szCs w:val="16"/>
              </w:rPr>
              <w:t>TS 38.523-2</w:t>
            </w:r>
          </w:p>
        </w:tc>
        <w:tc>
          <w:tcPr>
            <w:tcW w:w="4344" w:type="dxa"/>
            <w:tcBorders>
              <w:top w:val="single" w:sz="4" w:space="0" w:color="auto"/>
              <w:left w:val="single" w:sz="4" w:space="0" w:color="auto"/>
              <w:bottom w:val="single" w:sz="4" w:space="0" w:color="auto"/>
              <w:right w:val="single" w:sz="4" w:space="0" w:color="auto"/>
            </w:tcBorders>
          </w:tcPr>
          <w:p w14:paraId="6BD1B9AB" w14:textId="6EF24B02" w:rsidR="009533BF" w:rsidRDefault="009533BF" w:rsidP="009533BF">
            <w:pPr>
              <w:pStyle w:val="TAL"/>
              <w:rPr>
                <w:rFonts w:cs="Arial"/>
                <w:sz w:val="16"/>
                <w:szCs w:val="16"/>
              </w:rPr>
            </w:pPr>
            <w:r>
              <w:rPr>
                <w:sz w:val="16"/>
                <w:szCs w:val="16"/>
              </w:rPr>
              <w:t xml:space="preserve">Applicability statements for Protocol test cases for NR NTN </w:t>
            </w:r>
            <w:r w:rsidR="008B663C">
              <w:rPr>
                <w:sz w:val="16"/>
                <w:szCs w:val="16"/>
              </w:rPr>
              <w:t>enhancements</w:t>
            </w:r>
          </w:p>
        </w:tc>
        <w:tc>
          <w:tcPr>
            <w:tcW w:w="1417" w:type="dxa"/>
            <w:tcBorders>
              <w:top w:val="single" w:sz="4" w:space="0" w:color="auto"/>
              <w:left w:val="single" w:sz="4" w:space="0" w:color="auto"/>
              <w:bottom w:val="single" w:sz="4" w:space="0" w:color="auto"/>
              <w:right w:val="single" w:sz="4" w:space="0" w:color="auto"/>
            </w:tcBorders>
          </w:tcPr>
          <w:p w14:paraId="67CCC450" w14:textId="410AF4B4" w:rsidR="009533BF" w:rsidRPr="00415F0A" w:rsidRDefault="009533BF" w:rsidP="009533BF">
            <w:pPr>
              <w:spacing w:after="0"/>
              <w:rPr>
                <w:rFonts w:ascii="Arial" w:hAnsi="Arial" w:cs="Arial"/>
                <w:sz w:val="16"/>
                <w:szCs w:val="16"/>
              </w:rPr>
            </w:pPr>
            <w:r w:rsidRPr="002308C2">
              <w:rPr>
                <w:rFonts w:ascii="Arial" w:hAnsi="Arial" w:cs="Arial"/>
                <w:sz w:val="16"/>
                <w:szCs w:val="16"/>
              </w:rPr>
              <w:t>TSG RAN#</w:t>
            </w:r>
            <w:r>
              <w:rPr>
                <w:rFonts w:ascii="Arial" w:hAnsi="Arial" w:cs="Arial"/>
                <w:sz w:val="16"/>
                <w:szCs w:val="16"/>
              </w:rPr>
              <w:t>1</w:t>
            </w:r>
            <w:r w:rsidR="008B663C">
              <w:rPr>
                <w:rFonts w:ascii="Arial" w:hAnsi="Arial" w:cs="Arial"/>
                <w:sz w:val="16"/>
                <w:szCs w:val="16"/>
              </w:rPr>
              <w:t>10</w:t>
            </w:r>
            <w:r w:rsidRPr="002308C2">
              <w:rPr>
                <w:rFonts w:ascii="Arial" w:hAnsi="Arial" w:cs="Arial"/>
                <w:sz w:val="16"/>
                <w:szCs w:val="16"/>
              </w:rPr>
              <w:br/>
              <w:t>(</w:t>
            </w:r>
            <w:r>
              <w:rPr>
                <w:rFonts w:ascii="Arial" w:hAnsi="Arial" w:cs="Arial"/>
                <w:sz w:val="16"/>
                <w:szCs w:val="16"/>
              </w:rPr>
              <w:t>Dec</w:t>
            </w:r>
            <w:r w:rsidRPr="002308C2">
              <w:rPr>
                <w:rFonts w:ascii="Arial" w:hAnsi="Arial" w:cs="Arial"/>
                <w:sz w:val="16"/>
                <w:szCs w:val="16"/>
              </w:rPr>
              <w:t>-2</w:t>
            </w:r>
            <w:r w:rsidR="008B663C">
              <w:rPr>
                <w:rFonts w:ascii="Arial" w:hAnsi="Arial" w:cs="Arial"/>
                <w:sz w:val="16"/>
                <w:szCs w:val="16"/>
              </w:rPr>
              <w:t>5</w:t>
            </w:r>
            <w:r w:rsidRPr="002308C2">
              <w:rPr>
                <w:rFonts w:ascii="Arial" w:hAnsi="Arial" w:cs="Arial"/>
                <w:sz w:val="16"/>
                <w:szCs w:val="16"/>
              </w:rPr>
              <w:t>)</w:t>
            </w:r>
          </w:p>
        </w:tc>
        <w:tc>
          <w:tcPr>
            <w:tcW w:w="2101" w:type="dxa"/>
            <w:tcBorders>
              <w:top w:val="single" w:sz="4" w:space="0" w:color="auto"/>
              <w:left w:val="single" w:sz="4" w:space="0" w:color="auto"/>
              <w:bottom w:val="single" w:sz="4" w:space="0" w:color="auto"/>
              <w:right w:val="single" w:sz="4" w:space="0" w:color="auto"/>
            </w:tcBorders>
          </w:tcPr>
          <w:p w14:paraId="3594202F" w14:textId="77777777" w:rsidR="009533BF" w:rsidRPr="006C2E80" w:rsidRDefault="009533BF" w:rsidP="009533BF">
            <w:pPr>
              <w:pStyle w:val="TAL"/>
            </w:pPr>
          </w:p>
        </w:tc>
      </w:tr>
      <w:tr w:rsidR="009533BF" w:rsidRPr="006C2E80" w14:paraId="31E67E52"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3A0716C3" w14:textId="79DC872E" w:rsidR="009533BF" w:rsidRDefault="009533BF" w:rsidP="009533BF">
            <w:pPr>
              <w:pStyle w:val="TAL"/>
              <w:rPr>
                <w:rFonts w:cs="Arial"/>
                <w:sz w:val="16"/>
                <w:szCs w:val="16"/>
              </w:rPr>
            </w:pPr>
            <w:r>
              <w:rPr>
                <w:sz w:val="16"/>
                <w:szCs w:val="16"/>
              </w:rPr>
              <w:t>TS 38.523-3</w:t>
            </w:r>
          </w:p>
        </w:tc>
        <w:tc>
          <w:tcPr>
            <w:tcW w:w="4344" w:type="dxa"/>
            <w:tcBorders>
              <w:top w:val="single" w:sz="4" w:space="0" w:color="auto"/>
              <w:left w:val="single" w:sz="4" w:space="0" w:color="auto"/>
              <w:bottom w:val="single" w:sz="4" w:space="0" w:color="auto"/>
              <w:right w:val="single" w:sz="4" w:space="0" w:color="auto"/>
            </w:tcBorders>
          </w:tcPr>
          <w:p w14:paraId="3D010A76" w14:textId="193CBA61" w:rsidR="009533BF" w:rsidRDefault="009533BF" w:rsidP="009533BF">
            <w:pPr>
              <w:pStyle w:val="TAL"/>
              <w:rPr>
                <w:rFonts w:cs="Arial"/>
                <w:sz w:val="16"/>
                <w:szCs w:val="16"/>
              </w:rPr>
            </w:pPr>
            <w:r>
              <w:rPr>
                <w:rFonts w:cs="Arial"/>
                <w:sz w:val="16"/>
                <w:szCs w:val="16"/>
              </w:rPr>
              <w:t xml:space="preserve">Introduction of test model </w:t>
            </w:r>
            <w:r>
              <w:rPr>
                <w:sz w:val="16"/>
                <w:szCs w:val="16"/>
              </w:rPr>
              <w:t xml:space="preserve">NR NTN </w:t>
            </w:r>
            <w:r w:rsidR="008B663C">
              <w:rPr>
                <w:sz w:val="16"/>
                <w:szCs w:val="16"/>
              </w:rPr>
              <w:t>enhancements</w:t>
            </w:r>
            <w:r>
              <w:rPr>
                <w:sz w:val="16"/>
                <w:szCs w:val="16"/>
              </w:rPr>
              <w:t xml:space="preserve"> test cases</w:t>
            </w:r>
          </w:p>
        </w:tc>
        <w:tc>
          <w:tcPr>
            <w:tcW w:w="1417" w:type="dxa"/>
            <w:tcBorders>
              <w:top w:val="single" w:sz="4" w:space="0" w:color="auto"/>
              <w:left w:val="single" w:sz="4" w:space="0" w:color="auto"/>
              <w:bottom w:val="single" w:sz="4" w:space="0" w:color="auto"/>
              <w:right w:val="single" w:sz="4" w:space="0" w:color="auto"/>
            </w:tcBorders>
          </w:tcPr>
          <w:p w14:paraId="6BFB1F9D" w14:textId="7BDE07FF" w:rsidR="009533BF" w:rsidRPr="00415F0A" w:rsidRDefault="009533BF" w:rsidP="009533BF">
            <w:pPr>
              <w:spacing w:after="0"/>
              <w:rPr>
                <w:rFonts w:ascii="Arial" w:hAnsi="Arial" w:cs="Arial"/>
                <w:sz w:val="16"/>
                <w:szCs w:val="16"/>
              </w:rPr>
            </w:pPr>
            <w:r w:rsidRPr="002308C2">
              <w:rPr>
                <w:rFonts w:ascii="Arial" w:hAnsi="Arial" w:cs="Arial"/>
                <w:sz w:val="16"/>
                <w:szCs w:val="16"/>
              </w:rPr>
              <w:t>TSG RAN#</w:t>
            </w:r>
            <w:r>
              <w:rPr>
                <w:rFonts w:ascii="Arial" w:hAnsi="Arial" w:cs="Arial"/>
                <w:sz w:val="16"/>
                <w:szCs w:val="16"/>
              </w:rPr>
              <w:t>1</w:t>
            </w:r>
            <w:r w:rsidR="008B663C">
              <w:rPr>
                <w:rFonts w:ascii="Arial" w:hAnsi="Arial" w:cs="Arial"/>
                <w:sz w:val="16"/>
                <w:szCs w:val="16"/>
              </w:rPr>
              <w:t>10</w:t>
            </w:r>
            <w:r w:rsidRPr="002308C2">
              <w:rPr>
                <w:rFonts w:ascii="Arial" w:hAnsi="Arial" w:cs="Arial"/>
                <w:sz w:val="16"/>
                <w:szCs w:val="16"/>
              </w:rPr>
              <w:br/>
              <w:t>(</w:t>
            </w:r>
            <w:r>
              <w:rPr>
                <w:rFonts w:ascii="Arial" w:hAnsi="Arial" w:cs="Arial"/>
                <w:sz w:val="16"/>
                <w:szCs w:val="16"/>
              </w:rPr>
              <w:t>Dec</w:t>
            </w:r>
            <w:r w:rsidRPr="002308C2">
              <w:rPr>
                <w:rFonts w:ascii="Arial" w:hAnsi="Arial" w:cs="Arial"/>
                <w:sz w:val="16"/>
                <w:szCs w:val="16"/>
              </w:rPr>
              <w:t>-2</w:t>
            </w:r>
            <w:r w:rsidR="008B663C">
              <w:rPr>
                <w:rFonts w:ascii="Arial" w:hAnsi="Arial" w:cs="Arial"/>
                <w:sz w:val="16"/>
                <w:szCs w:val="16"/>
              </w:rPr>
              <w:t>5</w:t>
            </w:r>
            <w:r w:rsidRPr="002308C2">
              <w:rPr>
                <w:rFonts w:ascii="Arial" w:hAnsi="Arial" w:cs="Arial"/>
                <w:sz w:val="16"/>
                <w:szCs w:val="16"/>
              </w:rPr>
              <w:t>)</w:t>
            </w:r>
          </w:p>
        </w:tc>
        <w:tc>
          <w:tcPr>
            <w:tcW w:w="2101" w:type="dxa"/>
            <w:tcBorders>
              <w:top w:val="single" w:sz="4" w:space="0" w:color="auto"/>
              <w:left w:val="single" w:sz="4" w:space="0" w:color="auto"/>
              <w:bottom w:val="single" w:sz="4" w:space="0" w:color="auto"/>
              <w:right w:val="single" w:sz="4" w:space="0" w:color="auto"/>
            </w:tcBorders>
          </w:tcPr>
          <w:p w14:paraId="1BF8C692" w14:textId="3CF10BD1" w:rsidR="009533BF" w:rsidRPr="006C2E80" w:rsidRDefault="009533BF" w:rsidP="009533BF">
            <w:pPr>
              <w:pStyle w:val="TAL"/>
            </w:pPr>
            <w:r>
              <w:rPr>
                <w:sz w:val="16"/>
                <w:szCs w:val="16"/>
              </w:rPr>
              <w:t>Progress of TTCN development of the new protocol test cases is tracked in MCC TF160 reports to RAN5/RAN.</w:t>
            </w:r>
          </w:p>
        </w:tc>
      </w:tr>
      <w:tr w:rsidR="009533BF" w:rsidRPr="006C2E80" w14:paraId="4E82AB0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A71D5F9" w14:textId="19934A74" w:rsidR="009533BF" w:rsidRDefault="009533BF" w:rsidP="009533BF">
            <w:pPr>
              <w:pStyle w:val="TAL"/>
              <w:rPr>
                <w:rFonts w:cs="Arial"/>
                <w:sz w:val="16"/>
                <w:szCs w:val="16"/>
              </w:rPr>
            </w:pPr>
            <w:r>
              <w:rPr>
                <w:rFonts w:cs="Arial"/>
                <w:sz w:val="16"/>
                <w:szCs w:val="16"/>
              </w:rPr>
              <w:t>TR 38.903</w:t>
            </w:r>
          </w:p>
        </w:tc>
        <w:tc>
          <w:tcPr>
            <w:tcW w:w="4344" w:type="dxa"/>
            <w:tcBorders>
              <w:top w:val="single" w:sz="4" w:space="0" w:color="auto"/>
              <w:left w:val="single" w:sz="4" w:space="0" w:color="auto"/>
              <w:bottom w:val="single" w:sz="4" w:space="0" w:color="auto"/>
              <w:right w:val="single" w:sz="4" w:space="0" w:color="auto"/>
            </w:tcBorders>
          </w:tcPr>
          <w:p w14:paraId="2C2AA573" w14:textId="429BFA04" w:rsidR="009533BF" w:rsidRDefault="009533BF" w:rsidP="009533BF">
            <w:pPr>
              <w:pStyle w:val="TAL"/>
              <w:rPr>
                <w:rFonts w:cs="Arial"/>
                <w:sz w:val="16"/>
                <w:szCs w:val="16"/>
              </w:rPr>
            </w:pPr>
            <w:r>
              <w:rPr>
                <w:rFonts w:cs="Arial"/>
                <w:sz w:val="16"/>
                <w:szCs w:val="16"/>
              </w:rPr>
              <w:t>Derivation of test tolerances and measurement uncertainty for User Equipment (UE) conformance test cases</w:t>
            </w:r>
          </w:p>
        </w:tc>
        <w:tc>
          <w:tcPr>
            <w:tcW w:w="1417" w:type="dxa"/>
            <w:tcBorders>
              <w:top w:val="single" w:sz="4" w:space="0" w:color="auto"/>
              <w:left w:val="single" w:sz="4" w:space="0" w:color="auto"/>
              <w:bottom w:val="single" w:sz="4" w:space="0" w:color="auto"/>
              <w:right w:val="single" w:sz="4" w:space="0" w:color="auto"/>
            </w:tcBorders>
          </w:tcPr>
          <w:p w14:paraId="74D335EE" w14:textId="77777777" w:rsidR="009533BF" w:rsidRPr="00415F0A" w:rsidRDefault="009533BF" w:rsidP="009533BF">
            <w:pPr>
              <w:spacing w:after="0"/>
              <w:rPr>
                <w:rFonts w:ascii="Arial" w:hAnsi="Arial" w:cs="Arial"/>
                <w:sz w:val="16"/>
                <w:szCs w:val="16"/>
              </w:rPr>
            </w:pPr>
            <w:r w:rsidRPr="00415F0A">
              <w:rPr>
                <w:rFonts w:ascii="Arial" w:hAnsi="Arial" w:cs="Arial"/>
                <w:sz w:val="16"/>
                <w:szCs w:val="16"/>
              </w:rPr>
              <w:t>TSG RAN#110</w:t>
            </w:r>
          </w:p>
          <w:p w14:paraId="7B19E725" w14:textId="65C8DA6E" w:rsidR="009533BF" w:rsidRPr="00415F0A" w:rsidRDefault="009533BF" w:rsidP="009533BF">
            <w:pPr>
              <w:spacing w:after="0"/>
              <w:rPr>
                <w:rFonts w:ascii="Arial" w:hAnsi="Arial" w:cs="Arial"/>
                <w:sz w:val="16"/>
                <w:szCs w:val="16"/>
              </w:rPr>
            </w:pPr>
            <w:r w:rsidRPr="00415F0A">
              <w:rPr>
                <w:rFonts w:ascii="Arial" w:hAnsi="Arial"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2BC56364" w14:textId="77777777" w:rsidR="009533BF" w:rsidRPr="006C2E80" w:rsidRDefault="009533BF" w:rsidP="009533BF">
            <w:pPr>
              <w:pStyle w:val="TAL"/>
            </w:pPr>
          </w:p>
        </w:tc>
      </w:tr>
      <w:tr w:rsidR="009533BF" w:rsidRPr="006C2E80" w14:paraId="31A8E987"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7BBB46C" w14:textId="38DCD5F8" w:rsidR="009533BF" w:rsidRDefault="009533BF" w:rsidP="009533BF">
            <w:pPr>
              <w:pStyle w:val="TAL"/>
              <w:rPr>
                <w:rFonts w:cs="Arial"/>
                <w:sz w:val="16"/>
                <w:szCs w:val="16"/>
              </w:rPr>
            </w:pPr>
            <w:r>
              <w:rPr>
                <w:rFonts w:cs="Arial"/>
                <w:sz w:val="16"/>
                <w:szCs w:val="16"/>
              </w:rPr>
              <w:t>TR 38.905</w:t>
            </w:r>
          </w:p>
        </w:tc>
        <w:tc>
          <w:tcPr>
            <w:tcW w:w="4344" w:type="dxa"/>
            <w:tcBorders>
              <w:top w:val="single" w:sz="4" w:space="0" w:color="auto"/>
              <w:left w:val="single" w:sz="4" w:space="0" w:color="auto"/>
              <w:bottom w:val="single" w:sz="4" w:space="0" w:color="auto"/>
              <w:right w:val="single" w:sz="4" w:space="0" w:color="auto"/>
            </w:tcBorders>
          </w:tcPr>
          <w:p w14:paraId="77058AF7" w14:textId="0B0969F5" w:rsidR="009533BF" w:rsidRDefault="009533BF" w:rsidP="009533BF">
            <w:pPr>
              <w:pStyle w:val="TAL"/>
              <w:rPr>
                <w:rFonts w:cs="Arial"/>
                <w:sz w:val="16"/>
                <w:szCs w:val="16"/>
              </w:rPr>
            </w:pPr>
            <w:r>
              <w:rPr>
                <w:rFonts w:cs="Arial"/>
                <w:sz w:val="16"/>
                <w:szCs w:val="16"/>
              </w:rPr>
              <w:t>Derivation of test points for NR performance enhancement in radio transmission and reception User Equipment (UE) conformance test cases.</w:t>
            </w:r>
          </w:p>
        </w:tc>
        <w:tc>
          <w:tcPr>
            <w:tcW w:w="1417" w:type="dxa"/>
            <w:tcBorders>
              <w:top w:val="single" w:sz="4" w:space="0" w:color="auto"/>
              <w:left w:val="single" w:sz="4" w:space="0" w:color="auto"/>
              <w:bottom w:val="single" w:sz="4" w:space="0" w:color="auto"/>
              <w:right w:val="single" w:sz="4" w:space="0" w:color="auto"/>
            </w:tcBorders>
          </w:tcPr>
          <w:p w14:paraId="03328DD6" w14:textId="77777777" w:rsidR="009533BF" w:rsidRPr="00415F0A" w:rsidRDefault="009533BF" w:rsidP="009533BF">
            <w:pPr>
              <w:spacing w:after="0"/>
              <w:rPr>
                <w:rFonts w:ascii="Arial" w:hAnsi="Arial" w:cs="Arial"/>
                <w:sz w:val="16"/>
                <w:szCs w:val="16"/>
              </w:rPr>
            </w:pPr>
            <w:r w:rsidRPr="00415F0A">
              <w:rPr>
                <w:rFonts w:ascii="Arial" w:hAnsi="Arial" w:cs="Arial"/>
                <w:sz w:val="16"/>
                <w:szCs w:val="16"/>
              </w:rPr>
              <w:t>TSG RAN#110</w:t>
            </w:r>
          </w:p>
          <w:p w14:paraId="2AB13020" w14:textId="4577F633" w:rsidR="009533BF" w:rsidRPr="00415F0A" w:rsidRDefault="009533BF" w:rsidP="009533BF">
            <w:pPr>
              <w:spacing w:after="0"/>
              <w:rPr>
                <w:rFonts w:ascii="Arial" w:hAnsi="Arial" w:cs="Arial"/>
                <w:sz w:val="16"/>
                <w:szCs w:val="16"/>
              </w:rPr>
            </w:pPr>
            <w:r w:rsidRPr="00415F0A">
              <w:rPr>
                <w:rFonts w:ascii="Arial" w:hAnsi="Arial" w:cs="Arial"/>
                <w:sz w:val="16"/>
                <w:szCs w:val="16"/>
              </w:rPr>
              <w:t>(Dec-25)</w:t>
            </w:r>
          </w:p>
        </w:tc>
        <w:tc>
          <w:tcPr>
            <w:tcW w:w="2101" w:type="dxa"/>
            <w:tcBorders>
              <w:top w:val="single" w:sz="4" w:space="0" w:color="auto"/>
              <w:left w:val="single" w:sz="4" w:space="0" w:color="auto"/>
              <w:bottom w:val="single" w:sz="4" w:space="0" w:color="auto"/>
              <w:right w:val="single" w:sz="4" w:space="0" w:color="auto"/>
            </w:tcBorders>
          </w:tcPr>
          <w:p w14:paraId="6A9001FB" w14:textId="77777777" w:rsidR="009533BF" w:rsidRPr="006C2E80" w:rsidRDefault="009533BF" w:rsidP="009533BF">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250CADCC" w14:textId="317DE1E5" w:rsidR="001E489F" w:rsidRDefault="00113C61" w:rsidP="001E489F">
      <w:pPr>
        <w:rPr>
          <w:rStyle w:val="Hyperlink"/>
          <w:sz w:val="22"/>
          <w:szCs w:val="22"/>
        </w:rPr>
      </w:pPr>
      <w:r w:rsidRPr="00833A60">
        <w:rPr>
          <w:sz w:val="22"/>
          <w:szCs w:val="22"/>
        </w:rPr>
        <w:t>Vijay</w:t>
      </w:r>
      <w:r w:rsidR="00527653">
        <w:rPr>
          <w:sz w:val="22"/>
          <w:szCs w:val="22"/>
        </w:rPr>
        <w:t xml:space="preserve"> Balasubramanian</w:t>
      </w:r>
      <w:r w:rsidRPr="00833A60">
        <w:rPr>
          <w:sz w:val="22"/>
          <w:szCs w:val="22"/>
        </w:rPr>
        <w:t xml:space="preserve">, Qualcomm Inc, </w:t>
      </w:r>
      <w:hyperlink r:id="rId11" w:history="1">
        <w:r w:rsidRPr="00833A60">
          <w:rPr>
            <w:rStyle w:val="Hyperlink"/>
            <w:sz w:val="22"/>
            <w:szCs w:val="22"/>
          </w:rPr>
          <w:t>vijayb@qti.qualcomm.com</w:t>
        </w:r>
      </w:hyperlink>
    </w:p>
    <w:p w14:paraId="5CA01EEA" w14:textId="1C0330F3" w:rsidR="007572EA" w:rsidRDefault="00527653" w:rsidP="001E489F">
      <w:pPr>
        <w:rPr>
          <w:sz w:val="22"/>
          <w:szCs w:val="22"/>
        </w:rPr>
      </w:pPr>
      <w:r>
        <w:rPr>
          <w:sz w:val="22"/>
          <w:szCs w:val="22"/>
        </w:rPr>
        <w:t xml:space="preserve">Yu Shi, China Unicom, </w:t>
      </w:r>
      <w:hyperlink r:id="rId12" w:tooltip="mailto:shiyu19@chinaunicom.cn" w:history="1">
        <w:r w:rsidR="0025497E" w:rsidRPr="00C36F48">
          <w:rPr>
            <w:rStyle w:val="Hyperlink"/>
            <w:sz w:val="22"/>
            <w:szCs w:val="22"/>
          </w:rPr>
          <w:t>shiyu19@chinaunicom.cn</w:t>
        </w:r>
      </w:hyperlink>
    </w:p>
    <w:p w14:paraId="07219F80" w14:textId="5A656481" w:rsidR="00527653" w:rsidRPr="00833A60" w:rsidRDefault="00527653" w:rsidP="001E489F">
      <w:pPr>
        <w:rPr>
          <w:sz w:val="22"/>
          <w:szCs w:val="22"/>
        </w:rPr>
      </w:pPr>
      <w:r>
        <w:rPr>
          <w:sz w:val="22"/>
          <w:szCs w:val="22"/>
        </w:rPr>
        <w:t>Allen</w:t>
      </w:r>
      <w:r w:rsidR="002F6928">
        <w:rPr>
          <w:sz w:val="22"/>
          <w:szCs w:val="22"/>
        </w:rPr>
        <w:t xml:space="preserve"> Zhang</w:t>
      </w:r>
      <w:r w:rsidR="00636AA5">
        <w:rPr>
          <w:sz w:val="22"/>
          <w:szCs w:val="22"/>
        </w:rPr>
        <w:t xml:space="preserve">, Mediatek, </w:t>
      </w:r>
      <w:hyperlink r:id="rId13" w:history="1">
        <w:r w:rsidR="002F6928" w:rsidRPr="00D612D8">
          <w:rPr>
            <w:rStyle w:val="Hyperlink"/>
            <w:sz w:val="22"/>
            <w:szCs w:val="22"/>
          </w:rPr>
          <w:t>Allen.Zhang@mediatek.com</w:t>
        </w:r>
      </w:hyperlink>
      <w:r w:rsidR="002F6928">
        <w:rPr>
          <w:sz w:val="22"/>
          <w:szCs w:val="22"/>
        </w:rPr>
        <w:t xml:space="preserve"> </w:t>
      </w: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4D189A40" w:rsidR="001E489F" w:rsidRPr="00113C61" w:rsidRDefault="00113C61" w:rsidP="001E489F">
      <w:pPr>
        <w:pStyle w:val="Guidance"/>
        <w:rPr>
          <w:i w:val="0"/>
          <w:iCs/>
        </w:rPr>
      </w:pPr>
      <w:r w:rsidRPr="00113C61">
        <w:rPr>
          <w:i w:val="0"/>
          <w:iCs/>
        </w:rPr>
        <w:t>RAN5</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18411D6A" w:rsidR="001E489F" w:rsidRPr="00557B2E" w:rsidRDefault="00113C61" w:rsidP="001E489F">
      <w:r>
        <w:t>None</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20698C64" w:rsidR="001E489F" w:rsidRDefault="00113C61" w:rsidP="005875D6">
            <w:pPr>
              <w:pStyle w:val="TAL"/>
            </w:pPr>
            <w:r>
              <w:t>Qualcomm Inc</w:t>
            </w:r>
          </w:p>
        </w:tc>
      </w:tr>
      <w:tr w:rsidR="001E489F" w14:paraId="2C5796E3" w14:textId="77777777" w:rsidTr="005875D6">
        <w:trPr>
          <w:cantSplit/>
          <w:jc w:val="center"/>
        </w:trPr>
        <w:tc>
          <w:tcPr>
            <w:tcW w:w="5029" w:type="dxa"/>
            <w:shd w:val="clear" w:color="auto" w:fill="auto"/>
          </w:tcPr>
          <w:p w14:paraId="3ABE29D5" w14:textId="23849C49" w:rsidR="001E489F" w:rsidRDefault="002F6928" w:rsidP="005875D6">
            <w:pPr>
              <w:pStyle w:val="TAL"/>
            </w:pPr>
            <w:r>
              <w:t>China Unicom</w:t>
            </w:r>
          </w:p>
        </w:tc>
      </w:tr>
      <w:tr w:rsidR="001E489F" w14:paraId="5425D30D" w14:textId="77777777" w:rsidTr="005875D6">
        <w:trPr>
          <w:cantSplit/>
          <w:jc w:val="center"/>
        </w:trPr>
        <w:tc>
          <w:tcPr>
            <w:tcW w:w="5029" w:type="dxa"/>
            <w:shd w:val="clear" w:color="auto" w:fill="auto"/>
          </w:tcPr>
          <w:p w14:paraId="37445962" w14:textId="69DB1086" w:rsidR="001E489F" w:rsidRDefault="002F6928" w:rsidP="005875D6">
            <w:pPr>
              <w:pStyle w:val="TAL"/>
            </w:pPr>
            <w:r>
              <w:t>Media</w:t>
            </w:r>
            <w:r w:rsidR="00025C43">
              <w:t>T</w:t>
            </w:r>
            <w:r>
              <w:t>ek</w:t>
            </w:r>
          </w:p>
        </w:tc>
      </w:tr>
      <w:tr w:rsidR="001E489F" w14:paraId="0E49C138" w14:textId="77777777" w:rsidTr="005875D6">
        <w:trPr>
          <w:cantSplit/>
          <w:jc w:val="center"/>
        </w:trPr>
        <w:tc>
          <w:tcPr>
            <w:tcW w:w="5029" w:type="dxa"/>
            <w:shd w:val="clear" w:color="auto" w:fill="auto"/>
          </w:tcPr>
          <w:p w14:paraId="4A1E7A61" w14:textId="302C83EF" w:rsidR="001E489F" w:rsidRDefault="00025C43" w:rsidP="005875D6">
            <w:pPr>
              <w:pStyle w:val="TAL"/>
            </w:pPr>
            <w:r>
              <w:t>Thales</w:t>
            </w: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6635B8">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A95E" w14:textId="77777777" w:rsidR="006635B8" w:rsidRDefault="006635B8">
      <w:r>
        <w:separator/>
      </w:r>
    </w:p>
  </w:endnote>
  <w:endnote w:type="continuationSeparator" w:id="0">
    <w:p w14:paraId="2EBAE89F" w14:textId="77777777" w:rsidR="006635B8" w:rsidRDefault="0066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6977" w14:textId="77777777" w:rsidR="006635B8" w:rsidRDefault="006635B8">
      <w:r>
        <w:separator/>
      </w:r>
    </w:p>
  </w:footnote>
  <w:footnote w:type="continuationSeparator" w:id="0">
    <w:p w14:paraId="53CC1F6F" w14:textId="77777777" w:rsidR="006635B8" w:rsidRDefault="0066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486"/>
    <w:multiLevelType w:val="hybridMultilevel"/>
    <w:tmpl w:val="DD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7F57"/>
    <w:multiLevelType w:val="multilevel"/>
    <w:tmpl w:val="12D47F57"/>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19EB0B61"/>
    <w:multiLevelType w:val="hybridMultilevel"/>
    <w:tmpl w:val="871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DFF5258"/>
    <w:multiLevelType w:val="hybridMultilevel"/>
    <w:tmpl w:val="AAE0E3DC"/>
    <w:lvl w:ilvl="0" w:tplc="5FA2285C">
      <w:start w:val="1"/>
      <w:numFmt w:val="decimal"/>
      <w:lvlText w:val="%1."/>
      <w:lvlJc w:val="left"/>
      <w:pPr>
        <w:ind w:left="405" w:hanging="360"/>
      </w:pPr>
      <w:rPr>
        <w:rFonts w:hint="default"/>
      </w:rPr>
    </w:lvl>
    <w:lvl w:ilvl="1" w:tplc="44E4756A">
      <w:start w:val="4"/>
      <w:numFmt w:val="bullet"/>
      <w:lvlText w:val="-"/>
      <w:lvlJc w:val="left"/>
      <w:pPr>
        <w:ind w:left="1125" w:hanging="360"/>
      </w:pPr>
      <w:rPr>
        <w:rFonts w:ascii="Times New Roman" w:eastAsia="Malgun Gothic" w:hAnsi="Times New Roman" w:cs="Times New Roman"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21010A5"/>
    <w:multiLevelType w:val="hybridMultilevel"/>
    <w:tmpl w:val="F400401C"/>
    <w:lvl w:ilvl="0" w:tplc="FFFFFFFF">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1EE6173"/>
    <w:multiLevelType w:val="multilevel"/>
    <w:tmpl w:val="3E72F4CE"/>
    <w:lvl w:ilvl="0">
      <w:start w:val="1"/>
      <w:numFmt w:val="bullet"/>
      <w:lvlText w:val=""/>
      <w:lvlJc w:val="left"/>
      <w:pPr>
        <w:ind w:left="1560" w:hanging="42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400" w:hanging="420"/>
      </w:pPr>
      <w:rPr>
        <w:rFonts w:ascii="Wingdings" w:hAnsi="Wingdings" w:hint="default"/>
      </w:rPr>
    </w:lvl>
    <w:lvl w:ilvl="3">
      <w:start w:val="1"/>
      <w:numFmt w:val="bullet"/>
      <w:lvlText w:val=""/>
      <w:lvlJc w:val="left"/>
      <w:pPr>
        <w:ind w:left="2820" w:hanging="420"/>
      </w:pPr>
      <w:rPr>
        <w:rFonts w:ascii="Wingdings" w:hAnsi="Wingdings" w:hint="default"/>
      </w:rPr>
    </w:lvl>
    <w:lvl w:ilvl="4">
      <w:start w:val="1"/>
      <w:numFmt w:val="bullet"/>
      <w:lvlText w:val=""/>
      <w:lvlJc w:val="left"/>
      <w:pPr>
        <w:ind w:left="3240" w:hanging="420"/>
      </w:pPr>
      <w:rPr>
        <w:rFonts w:ascii="Wingdings" w:hAnsi="Wingdings" w:hint="default"/>
      </w:rPr>
    </w:lvl>
    <w:lvl w:ilvl="5">
      <w:start w:val="1"/>
      <w:numFmt w:val="bullet"/>
      <w:lvlText w:val=""/>
      <w:lvlJc w:val="left"/>
      <w:pPr>
        <w:ind w:left="3660" w:hanging="420"/>
      </w:pPr>
      <w:rPr>
        <w:rFonts w:ascii="Wingdings" w:hAnsi="Wingdings" w:hint="default"/>
      </w:rPr>
    </w:lvl>
    <w:lvl w:ilvl="6">
      <w:start w:val="1"/>
      <w:numFmt w:val="bullet"/>
      <w:lvlText w:val=""/>
      <w:lvlJc w:val="left"/>
      <w:pPr>
        <w:ind w:left="4080" w:hanging="420"/>
      </w:pPr>
      <w:rPr>
        <w:rFonts w:ascii="Wingdings" w:hAnsi="Wingdings" w:hint="default"/>
      </w:rPr>
    </w:lvl>
    <w:lvl w:ilvl="7">
      <w:start w:val="1"/>
      <w:numFmt w:val="bullet"/>
      <w:lvlText w:val=""/>
      <w:lvlJc w:val="left"/>
      <w:pPr>
        <w:ind w:left="4500" w:hanging="420"/>
      </w:pPr>
      <w:rPr>
        <w:rFonts w:ascii="Wingdings" w:hAnsi="Wingdings" w:hint="default"/>
      </w:rPr>
    </w:lvl>
    <w:lvl w:ilvl="8">
      <w:start w:val="1"/>
      <w:numFmt w:val="bullet"/>
      <w:lvlText w:val=""/>
      <w:lvlJc w:val="left"/>
      <w:pPr>
        <w:ind w:left="4920" w:hanging="420"/>
      </w:pPr>
      <w:rPr>
        <w:rFonts w:ascii="Wingdings" w:hAnsi="Wingdings" w:hint="default"/>
      </w:rPr>
    </w:lvl>
  </w:abstractNum>
  <w:num w:numId="1" w16cid:durableId="1866752377">
    <w:abstractNumId w:val="11"/>
  </w:num>
  <w:num w:numId="2" w16cid:durableId="1735663239">
    <w:abstractNumId w:val="7"/>
  </w:num>
  <w:num w:numId="3" w16cid:durableId="81998126">
    <w:abstractNumId w:val="5"/>
  </w:num>
  <w:num w:numId="4" w16cid:durableId="996229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3"/>
  </w:num>
  <w:num w:numId="6" w16cid:durableId="1932006563">
    <w:abstractNumId w:val="4"/>
  </w:num>
  <w:num w:numId="7" w16cid:durableId="731074823">
    <w:abstractNumId w:val="9"/>
  </w:num>
  <w:num w:numId="8" w16cid:durableId="498347070">
    <w:abstractNumId w:val="10"/>
  </w:num>
  <w:num w:numId="9" w16cid:durableId="1753971486">
    <w:abstractNumId w:val="8"/>
  </w:num>
  <w:num w:numId="10" w16cid:durableId="284312708">
    <w:abstractNumId w:val="2"/>
  </w:num>
  <w:num w:numId="11" w16cid:durableId="2131321649">
    <w:abstractNumId w:val="0"/>
  </w:num>
  <w:num w:numId="12" w16cid:durableId="183911023">
    <w:abstractNumId w:val="1"/>
  </w:num>
  <w:num w:numId="13" w16cid:durableId="1461921194">
    <w:abstractNumId w:val="12"/>
  </w:num>
  <w:num w:numId="14" w16cid:durableId="579290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25C43"/>
    <w:rsid w:val="00027219"/>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1BFB"/>
    <w:rsid w:val="00094F23"/>
    <w:rsid w:val="000967F4"/>
    <w:rsid w:val="000A6432"/>
    <w:rsid w:val="000B1F70"/>
    <w:rsid w:val="000B4607"/>
    <w:rsid w:val="000D6D78"/>
    <w:rsid w:val="000D7F56"/>
    <w:rsid w:val="000E0429"/>
    <w:rsid w:val="000E0437"/>
    <w:rsid w:val="000F54CB"/>
    <w:rsid w:val="000F6E51"/>
    <w:rsid w:val="00102A24"/>
    <w:rsid w:val="00113C61"/>
    <w:rsid w:val="001207CB"/>
    <w:rsid w:val="001244C2"/>
    <w:rsid w:val="0013259C"/>
    <w:rsid w:val="00135831"/>
    <w:rsid w:val="001376A6"/>
    <w:rsid w:val="00140489"/>
    <w:rsid w:val="001424CD"/>
    <w:rsid w:val="001428FE"/>
    <w:rsid w:val="0014389B"/>
    <w:rsid w:val="001439F5"/>
    <w:rsid w:val="0014413C"/>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691"/>
    <w:rsid w:val="001C4D9B"/>
    <w:rsid w:val="001D0B09"/>
    <w:rsid w:val="001D23E9"/>
    <w:rsid w:val="001E489F"/>
    <w:rsid w:val="001E6729"/>
    <w:rsid w:val="001F6E33"/>
    <w:rsid w:val="001F7653"/>
    <w:rsid w:val="002059C6"/>
    <w:rsid w:val="002070CB"/>
    <w:rsid w:val="00207402"/>
    <w:rsid w:val="0021380A"/>
    <w:rsid w:val="00221438"/>
    <w:rsid w:val="002336A6"/>
    <w:rsid w:val="002336BF"/>
    <w:rsid w:val="00235F9B"/>
    <w:rsid w:val="00236BBA"/>
    <w:rsid w:val="00236D1F"/>
    <w:rsid w:val="002407FF"/>
    <w:rsid w:val="00241A03"/>
    <w:rsid w:val="00243051"/>
    <w:rsid w:val="00250F58"/>
    <w:rsid w:val="00253892"/>
    <w:rsid w:val="002541D3"/>
    <w:rsid w:val="0025497E"/>
    <w:rsid w:val="00256429"/>
    <w:rsid w:val="0026253E"/>
    <w:rsid w:val="00272D61"/>
    <w:rsid w:val="00273ED0"/>
    <w:rsid w:val="002914AB"/>
    <w:rsid w:val="002919B7"/>
    <w:rsid w:val="00291EF2"/>
    <w:rsid w:val="00295D61"/>
    <w:rsid w:val="00297C1F"/>
    <w:rsid w:val="002A4F79"/>
    <w:rsid w:val="002B074C"/>
    <w:rsid w:val="002B2FE7"/>
    <w:rsid w:val="002B34EA"/>
    <w:rsid w:val="002B5361"/>
    <w:rsid w:val="002C1BA4"/>
    <w:rsid w:val="002C47B8"/>
    <w:rsid w:val="002E397B"/>
    <w:rsid w:val="002E3AE2"/>
    <w:rsid w:val="002F6928"/>
    <w:rsid w:val="002F7CCB"/>
    <w:rsid w:val="00301992"/>
    <w:rsid w:val="003057FD"/>
    <w:rsid w:val="003101C6"/>
    <w:rsid w:val="00310E70"/>
    <w:rsid w:val="00313F3E"/>
    <w:rsid w:val="00320536"/>
    <w:rsid w:val="00325E33"/>
    <w:rsid w:val="003275E6"/>
    <w:rsid w:val="00345054"/>
    <w:rsid w:val="00354553"/>
    <w:rsid w:val="0036102C"/>
    <w:rsid w:val="003715B7"/>
    <w:rsid w:val="00376C60"/>
    <w:rsid w:val="00385CF4"/>
    <w:rsid w:val="00392C87"/>
    <w:rsid w:val="003A5FFA"/>
    <w:rsid w:val="003A67E1"/>
    <w:rsid w:val="003A7108"/>
    <w:rsid w:val="003B2166"/>
    <w:rsid w:val="003B41ED"/>
    <w:rsid w:val="003D4593"/>
    <w:rsid w:val="003D7050"/>
    <w:rsid w:val="003E29F7"/>
    <w:rsid w:val="003E2C8B"/>
    <w:rsid w:val="003E4AC7"/>
    <w:rsid w:val="003E5604"/>
    <w:rsid w:val="003E57A1"/>
    <w:rsid w:val="003E710B"/>
    <w:rsid w:val="003F1C0E"/>
    <w:rsid w:val="004008D7"/>
    <w:rsid w:val="0040145D"/>
    <w:rsid w:val="004034FB"/>
    <w:rsid w:val="00411339"/>
    <w:rsid w:val="004131BD"/>
    <w:rsid w:val="004159BE"/>
    <w:rsid w:val="00416CEA"/>
    <w:rsid w:val="00421AFD"/>
    <w:rsid w:val="004246F2"/>
    <w:rsid w:val="00432048"/>
    <w:rsid w:val="00442C65"/>
    <w:rsid w:val="00451122"/>
    <w:rsid w:val="004518DB"/>
    <w:rsid w:val="004562FC"/>
    <w:rsid w:val="004663C2"/>
    <w:rsid w:val="00467CA5"/>
    <w:rsid w:val="00477EBC"/>
    <w:rsid w:val="00482246"/>
    <w:rsid w:val="00484421"/>
    <w:rsid w:val="00491391"/>
    <w:rsid w:val="004A01BD"/>
    <w:rsid w:val="004A0A73"/>
    <w:rsid w:val="004A180A"/>
    <w:rsid w:val="004A53F8"/>
    <w:rsid w:val="004A661C"/>
    <w:rsid w:val="004A79C4"/>
    <w:rsid w:val="004C4C9B"/>
    <w:rsid w:val="004D2FA0"/>
    <w:rsid w:val="004E1010"/>
    <w:rsid w:val="004F4172"/>
    <w:rsid w:val="0050202A"/>
    <w:rsid w:val="00507903"/>
    <w:rsid w:val="0052032E"/>
    <w:rsid w:val="00521896"/>
    <w:rsid w:val="00522A80"/>
    <w:rsid w:val="00527653"/>
    <w:rsid w:val="00535A39"/>
    <w:rsid w:val="00544D8F"/>
    <w:rsid w:val="00553BDE"/>
    <w:rsid w:val="00556F13"/>
    <w:rsid w:val="00562495"/>
    <w:rsid w:val="0057401B"/>
    <w:rsid w:val="00577727"/>
    <w:rsid w:val="0057773E"/>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196"/>
    <w:rsid w:val="005D37AC"/>
    <w:rsid w:val="005D60FD"/>
    <w:rsid w:val="005E07CB"/>
    <w:rsid w:val="005E0BF8"/>
    <w:rsid w:val="005E32BB"/>
    <w:rsid w:val="005E7235"/>
    <w:rsid w:val="005F041C"/>
    <w:rsid w:val="005F2E94"/>
    <w:rsid w:val="005F4B34"/>
    <w:rsid w:val="006163D8"/>
    <w:rsid w:val="00616E18"/>
    <w:rsid w:val="00620287"/>
    <w:rsid w:val="00623AED"/>
    <w:rsid w:val="0062580F"/>
    <w:rsid w:val="00632157"/>
    <w:rsid w:val="00633971"/>
    <w:rsid w:val="006341C6"/>
    <w:rsid w:val="00636AA5"/>
    <w:rsid w:val="0064121E"/>
    <w:rsid w:val="00642894"/>
    <w:rsid w:val="00660354"/>
    <w:rsid w:val="006606DB"/>
    <w:rsid w:val="006635B8"/>
    <w:rsid w:val="0066550F"/>
    <w:rsid w:val="00665B9B"/>
    <w:rsid w:val="0067616E"/>
    <w:rsid w:val="00686392"/>
    <w:rsid w:val="00690725"/>
    <w:rsid w:val="00693606"/>
    <w:rsid w:val="00693D70"/>
    <w:rsid w:val="006975AE"/>
    <w:rsid w:val="006A0E66"/>
    <w:rsid w:val="006A32D1"/>
    <w:rsid w:val="006A3CF5"/>
    <w:rsid w:val="006B462B"/>
    <w:rsid w:val="006B4BC6"/>
    <w:rsid w:val="006D03E2"/>
    <w:rsid w:val="006D0A8E"/>
    <w:rsid w:val="006D3D54"/>
    <w:rsid w:val="006E0D1B"/>
    <w:rsid w:val="006E1A49"/>
    <w:rsid w:val="006E3A55"/>
    <w:rsid w:val="006F1B00"/>
    <w:rsid w:val="006F2EEB"/>
    <w:rsid w:val="006F4B7A"/>
    <w:rsid w:val="00700A51"/>
    <w:rsid w:val="00700A59"/>
    <w:rsid w:val="00710142"/>
    <w:rsid w:val="00712E81"/>
    <w:rsid w:val="00715590"/>
    <w:rsid w:val="00723919"/>
    <w:rsid w:val="007261D3"/>
    <w:rsid w:val="0073180B"/>
    <w:rsid w:val="00733E86"/>
    <w:rsid w:val="0074596C"/>
    <w:rsid w:val="00750D12"/>
    <w:rsid w:val="00756BBB"/>
    <w:rsid w:val="007572EA"/>
    <w:rsid w:val="00761952"/>
    <w:rsid w:val="00761B9B"/>
    <w:rsid w:val="00762474"/>
    <w:rsid w:val="0076439E"/>
    <w:rsid w:val="007655AE"/>
    <w:rsid w:val="007814A8"/>
    <w:rsid w:val="00781A62"/>
    <w:rsid w:val="00781F2F"/>
    <w:rsid w:val="00783C0E"/>
    <w:rsid w:val="007861B8"/>
    <w:rsid w:val="00787383"/>
    <w:rsid w:val="00791B51"/>
    <w:rsid w:val="00795AD1"/>
    <w:rsid w:val="00796100"/>
    <w:rsid w:val="007B16F3"/>
    <w:rsid w:val="007B5456"/>
    <w:rsid w:val="007B5F65"/>
    <w:rsid w:val="007C767B"/>
    <w:rsid w:val="007D3C7C"/>
    <w:rsid w:val="007D687A"/>
    <w:rsid w:val="007E1BA0"/>
    <w:rsid w:val="007F2297"/>
    <w:rsid w:val="007F55EC"/>
    <w:rsid w:val="007F6574"/>
    <w:rsid w:val="007F7100"/>
    <w:rsid w:val="00810F82"/>
    <w:rsid w:val="0081549A"/>
    <w:rsid w:val="008212AD"/>
    <w:rsid w:val="00827D52"/>
    <w:rsid w:val="00831057"/>
    <w:rsid w:val="00833A60"/>
    <w:rsid w:val="00837EF8"/>
    <w:rsid w:val="0084119C"/>
    <w:rsid w:val="00850CD4"/>
    <w:rsid w:val="00854A49"/>
    <w:rsid w:val="008578D0"/>
    <w:rsid w:val="008624DE"/>
    <w:rsid w:val="008634EB"/>
    <w:rsid w:val="00866945"/>
    <w:rsid w:val="00876BD5"/>
    <w:rsid w:val="00897C84"/>
    <w:rsid w:val="008A06BE"/>
    <w:rsid w:val="008A43F6"/>
    <w:rsid w:val="008A56FD"/>
    <w:rsid w:val="008B663C"/>
    <w:rsid w:val="008C534C"/>
    <w:rsid w:val="008D3DA6"/>
    <w:rsid w:val="008D5DA3"/>
    <w:rsid w:val="008E70F7"/>
    <w:rsid w:val="008F1D3B"/>
    <w:rsid w:val="008F7444"/>
    <w:rsid w:val="008F7A15"/>
    <w:rsid w:val="0091321C"/>
    <w:rsid w:val="00913788"/>
    <w:rsid w:val="0091399A"/>
    <w:rsid w:val="00916717"/>
    <w:rsid w:val="00922D75"/>
    <w:rsid w:val="00926791"/>
    <w:rsid w:val="0093661C"/>
    <w:rsid w:val="00940736"/>
    <w:rsid w:val="00941253"/>
    <w:rsid w:val="0095038B"/>
    <w:rsid w:val="00950CF7"/>
    <w:rsid w:val="009533BF"/>
    <w:rsid w:val="00960A44"/>
    <w:rsid w:val="00970864"/>
    <w:rsid w:val="009736D5"/>
    <w:rsid w:val="00975084"/>
    <w:rsid w:val="009768C3"/>
    <w:rsid w:val="00977C43"/>
    <w:rsid w:val="0098195A"/>
    <w:rsid w:val="00990EEE"/>
    <w:rsid w:val="00996533"/>
    <w:rsid w:val="009A0093"/>
    <w:rsid w:val="009A3833"/>
    <w:rsid w:val="009A5EAD"/>
    <w:rsid w:val="009A5F57"/>
    <w:rsid w:val="009A62E2"/>
    <w:rsid w:val="009B110B"/>
    <w:rsid w:val="009B13F0"/>
    <w:rsid w:val="009B196A"/>
    <w:rsid w:val="009C517A"/>
    <w:rsid w:val="009D5E48"/>
    <w:rsid w:val="009D6D9F"/>
    <w:rsid w:val="009E0B41"/>
    <w:rsid w:val="009E1910"/>
    <w:rsid w:val="009E5DBA"/>
    <w:rsid w:val="009F3E6E"/>
    <w:rsid w:val="009F6047"/>
    <w:rsid w:val="00A03D2A"/>
    <w:rsid w:val="00A10ADB"/>
    <w:rsid w:val="00A144AB"/>
    <w:rsid w:val="00A151A1"/>
    <w:rsid w:val="00A17F01"/>
    <w:rsid w:val="00A24557"/>
    <w:rsid w:val="00A248B2"/>
    <w:rsid w:val="00A267D7"/>
    <w:rsid w:val="00A27A64"/>
    <w:rsid w:val="00A3537F"/>
    <w:rsid w:val="00A37F80"/>
    <w:rsid w:val="00A46B3F"/>
    <w:rsid w:val="00A46F30"/>
    <w:rsid w:val="00A61169"/>
    <w:rsid w:val="00A63024"/>
    <w:rsid w:val="00A65602"/>
    <w:rsid w:val="00A66368"/>
    <w:rsid w:val="00A82FCC"/>
    <w:rsid w:val="00A8479D"/>
    <w:rsid w:val="00A906A4"/>
    <w:rsid w:val="00A97953"/>
    <w:rsid w:val="00AA574E"/>
    <w:rsid w:val="00AB7308"/>
    <w:rsid w:val="00AD324E"/>
    <w:rsid w:val="00AD5B51"/>
    <w:rsid w:val="00AD7B78"/>
    <w:rsid w:val="00AE07DA"/>
    <w:rsid w:val="00AF3222"/>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3696"/>
    <w:rsid w:val="00B66297"/>
    <w:rsid w:val="00B75CE0"/>
    <w:rsid w:val="00B84B54"/>
    <w:rsid w:val="00B92B0A"/>
    <w:rsid w:val="00B92C7D"/>
    <w:rsid w:val="00B93BB2"/>
    <w:rsid w:val="00B9697B"/>
    <w:rsid w:val="00B97BAA"/>
    <w:rsid w:val="00BA1DFB"/>
    <w:rsid w:val="00BA46C7"/>
    <w:rsid w:val="00BA4DA4"/>
    <w:rsid w:val="00BA677D"/>
    <w:rsid w:val="00BB6D15"/>
    <w:rsid w:val="00BB7B45"/>
    <w:rsid w:val="00BC137E"/>
    <w:rsid w:val="00BC2E5F"/>
    <w:rsid w:val="00BC3C3C"/>
    <w:rsid w:val="00BC481E"/>
    <w:rsid w:val="00BC5AF6"/>
    <w:rsid w:val="00BD3369"/>
    <w:rsid w:val="00BD3E51"/>
    <w:rsid w:val="00BE11C4"/>
    <w:rsid w:val="00BE262D"/>
    <w:rsid w:val="00BE3E87"/>
    <w:rsid w:val="00BF0A84"/>
    <w:rsid w:val="00BF4326"/>
    <w:rsid w:val="00C03706"/>
    <w:rsid w:val="00C03F46"/>
    <w:rsid w:val="00C159BC"/>
    <w:rsid w:val="00C15A54"/>
    <w:rsid w:val="00C21559"/>
    <w:rsid w:val="00C2214E"/>
    <w:rsid w:val="00C247CD"/>
    <w:rsid w:val="00C2519B"/>
    <w:rsid w:val="00C278EB"/>
    <w:rsid w:val="00C36F48"/>
    <w:rsid w:val="00C3782E"/>
    <w:rsid w:val="00C404D1"/>
    <w:rsid w:val="00C42176"/>
    <w:rsid w:val="00C42344"/>
    <w:rsid w:val="00C45FBF"/>
    <w:rsid w:val="00C505EB"/>
    <w:rsid w:val="00C52914"/>
    <w:rsid w:val="00C55158"/>
    <w:rsid w:val="00C5567D"/>
    <w:rsid w:val="00C63F06"/>
    <w:rsid w:val="00C64C07"/>
    <w:rsid w:val="00C6590B"/>
    <w:rsid w:val="00C7131F"/>
    <w:rsid w:val="00C76753"/>
    <w:rsid w:val="00C8586A"/>
    <w:rsid w:val="00CA2B4F"/>
    <w:rsid w:val="00CA5DB0"/>
    <w:rsid w:val="00CC084E"/>
    <w:rsid w:val="00CC58ED"/>
    <w:rsid w:val="00CD0E62"/>
    <w:rsid w:val="00CD13D1"/>
    <w:rsid w:val="00D0135E"/>
    <w:rsid w:val="00D145EC"/>
    <w:rsid w:val="00D355FB"/>
    <w:rsid w:val="00D43C0B"/>
    <w:rsid w:val="00D44A74"/>
    <w:rsid w:val="00D57CD2"/>
    <w:rsid w:val="00D57E66"/>
    <w:rsid w:val="00D73350"/>
    <w:rsid w:val="00D82231"/>
    <w:rsid w:val="00D8756E"/>
    <w:rsid w:val="00D938DD"/>
    <w:rsid w:val="00D95EAB"/>
    <w:rsid w:val="00D974EA"/>
    <w:rsid w:val="00DA0500"/>
    <w:rsid w:val="00DA29AC"/>
    <w:rsid w:val="00DA329A"/>
    <w:rsid w:val="00DA44F6"/>
    <w:rsid w:val="00DB521B"/>
    <w:rsid w:val="00DC0F52"/>
    <w:rsid w:val="00DC4726"/>
    <w:rsid w:val="00DD0AAB"/>
    <w:rsid w:val="00DD3C66"/>
    <w:rsid w:val="00DD40D2"/>
    <w:rsid w:val="00DE4965"/>
    <w:rsid w:val="00DE5BBF"/>
    <w:rsid w:val="00DF01BE"/>
    <w:rsid w:val="00E013A9"/>
    <w:rsid w:val="00E03A99"/>
    <w:rsid w:val="00E041CD"/>
    <w:rsid w:val="00E06534"/>
    <w:rsid w:val="00E126A5"/>
    <w:rsid w:val="00E1463F"/>
    <w:rsid w:val="00E24629"/>
    <w:rsid w:val="00E25E05"/>
    <w:rsid w:val="00E34AA9"/>
    <w:rsid w:val="00E363A9"/>
    <w:rsid w:val="00E413E0"/>
    <w:rsid w:val="00E53AE3"/>
    <w:rsid w:val="00E5574A"/>
    <w:rsid w:val="00E64FB2"/>
    <w:rsid w:val="00E667A2"/>
    <w:rsid w:val="00E67B7D"/>
    <w:rsid w:val="00E67C20"/>
    <w:rsid w:val="00E81E2C"/>
    <w:rsid w:val="00E82FBF"/>
    <w:rsid w:val="00EA05B9"/>
    <w:rsid w:val="00EA65BE"/>
    <w:rsid w:val="00EA662E"/>
    <w:rsid w:val="00EB045F"/>
    <w:rsid w:val="00EB5D2F"/>
    <w:rsid w:val="00EC10EC"/>
    <w:rsid w:val="00EC456C"/>
    <w:rsid w:val="00ED166C"/>
    <w:rsid w:val="00ED5FA6"/>
    <w:rsid w:val="00ED6080"/>
    <w:rsid w:val="00ED77FF"/>
    <w:rsid w:val="00EE0176"/>
    <w:rsid w:val="00EF0942"/>
    <w:rsid w:val="00EF291F"/>
    <w:rsid w:val="00EF584C"/>
    <w:rsid w:val="00F0218C"/>
    <w:rsid w:val="00F0251A"/>
    <w:rsid w:val="00F0393B"/>
    <w:rsid w:val="00F15D08"/>
    <w:rsid w:val="00F313DD"/>
    <w:rsid w:val="00F378BE"/>
    <w:rsid w:val="00F43120"/>
    <w:rsid w:val="00F44FF2"/>
    <w:rsid w:val="00F557C6"/>
    <w:rsid w:val="00F62827"/>
    <w:rsid w:val="00F64378"/>
    <w:rsid w:val="00F67FC3"/>
    <w:rsid w:val="00F763A4"/>
    <w:rsid w:val="00F80D67"/>
    <w:rsid w:val="00F81CF2"/>
    <w:rsid w:val="00F82A04"/>
    <w:rsid w:val="00F83DF3"/>
    <w:rsid w:val="00F8529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link w:val="B1Char"/>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link w:val="CRCoverPageChar"/>
    <w:qFormat/>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link w:val="TAL0"/>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CRCoverPageChar">
    <w:name w:val="CR Cover Page Char"/>
    <w:link w:val="CRCoverPage"/>
    <w:qFormat/>
    <w:locked/>
    <w:rsid w:val="00113C61"/>
    <w:rPr>
      <w:rFonts w:ascii="Arial" w:hAnsi="Arial"/>
      <w:lang w:eastAsia="en-US"/>
    </w:rPr>
  </w:style>
  <w:style w:type="character" w:customStyle="1" w:styleId="TAL0">
    <w:name w:val="TAL (文字)"/>
    <w:link w:val="TAL"/>
    <w:locked/>
    <w:rsid w:val="00113C61"/>
    <w:rPr>
      <w:rFonts w:ascii="Arial" w:hAnsi="Arial"/>
      <w:sz w:val="18"/>
    </w:rPr>
  </w:style>
  <w:style w:type="character" w:styleId="Hyperlink">
    <w:name w:val="Hyperlink"/>
    <w:rsid w:val="00113C61"/>
    <w:rPr>
      <w:color w:val="0000FF"/>
      <w:u w:val="single"/>
    </w:rPr>
  </w:style>
  <w:style w:type="character" w:styleId="UnresolvedMention">
    <w:name w:val="Unresolved Mention"/>
    <w:basedOn w:val="DefaultParagraphFont"/>
    <w:uiPriority w:val="99"/>
    <w:semiHidden/>
    <w:unhideWhenUsed/>
    <w:rsid w:val="002F6928"/>
    <w:rPr>
      <w:color w:val="605E5C"/>
      <w:shd w:val="clear" w:color="auto" w:fill="E1DFDD"/>
    </w:rPr>
  </w:style>
  <w:style w:type="character" w:customStyle="1" w:styleId="B1Char">
    <w:name w:val="B1 Char"/>
    <w:link w:val="B1"/>
    <w:qFormat/>
    <w:locked/>
    <w:rsid w:val="000B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Allen.Zhang@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yu19@chinaunicom.cn"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vijayb@qti.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jayb\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107</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Vijay Balasubramanian (QCT)</cp:lastModifiedBy>
  <cp:revision>92</cp:revision>
  <cp:lastPrinted>2001-04-23T09:30:00Z</cp:lastPrinted>
  <dcterms:created xsi:type="dcterms:W3CDTF">2023-01-04T14:27:00Z</dcterms:created>
  <dcterms:modified xsi:type="dcterms:W3CDTF">2024-05-14T05:55:00Z</dcterms:modified>
</cp:coreProperties>
</file>