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hint="default"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1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11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 xml:space="preserve">               R4-240xxxx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hint="eastAsia" w:ascii="Arial" w:hAnsi="Arial" w:cs="Arial" w:eastAsiaTheme="minorEastAsia"/>
          <w:b/>
          <w:bCs/>
          <w:sz w:val="24"/>
          <w:szCs w:val="24"/>
          <w:lang w:val="en-US" w:eastAsia="zh-CN"/>
        </w:rPr>
        <w:t>Fukuoka City, Fukuoka , Japan, 20th – 24th May, 2024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hint="default" w:ascii="Arial" w:hAnsi="Arial" w:eastAsia="宋体" w:cs="Arial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宋体" w:cs="Arial"/>
          <w:b/>
          <w:color w:val="000000"/>
          <w:sz w:val="22"/>
          <w:lang w:val="en-US" w:eastAsia="zh-CN"/>
        </w:rPr>
        <w:t>7</w:t>
      </w:r>
      <w:r>
        <w:rPr>
          <w:rFonts w:hint="eastAsia" w:ascii="Arial" w:hAnsi="Arial" w:cs="Arial"/>
          <w:b/>
          <w:color w:val="000000"/>
          <w:sz w:val="22"/>
          <w:lang w:val="en-US" w:eastAsia="zh-CN"/>
        </w:rPr>
        <w:t>.18.7</w:t>
      </w:r>
    </w:p>
    <w:p>
      <w:pPr>
        <w:spacing w:after="120"/>
        <w:ind w:left="1985" w:hanging="1985"/>
        <w:rPr>
          <w:rFonts w:hint="default"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hint="eastAsia" w:ascii="Arial" w:hAnsi="Arial" w:cs="Arial"/>
          <w:color w:val="000000"/>
          <w:sz w:val="22"/>
          <w:highlight w:val="none"/>
          <w:lang w:val="en-US" w:eastAsia="zh-CN"/>
        </w:rPr>
        <w:t>ZTE Corporation, Sanechips</w:t>
      </w:r>
    </w:p>
    <w:p>
      <w:pPr>
        <w:spacing w:after="120"/>
        <w:ind w:left="1985" w:hanging="1985"/>
        <w:rPr>
          <w:rFonts w:hint="default" w:ascii="Arial" w:hAnsi="Arial" w:cs="Arial" w:eastAsiaTheme="minorEastAsia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Topic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[1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11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327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]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 xml:space="preserve"> NR_netcon_repeater_Demod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This email discussion focuses on demodulation requirements for Rel-18 NCR-MT, including agenda </w:t>
      </w:r>
      <w:r>
        <w:rPr>
          <w:rFonts w:hint="eastAsia"/>
          <w:i/>
          <w:color w:val="0070C0"/>
          <w:lang w:val="en-US" w:eastAsia="zh-CN"/>
        </w:rPr>
        <w:t>7.18.7</w:t>
      </w:r>
      <w:r>
        <w:rPr>
          <w:rFonts w:hint="eastAsia"/>
          <w:i/>
          <w:color w:val="0070C0"/>
          <w:lang w:eastAsia="zh-CN"/>
        </w:rPr>
        <w:t xml:space="preserve"> .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ja-JP"/>
        </w:rPr>
        <w:t>NCR-MT demodulation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R4-2409413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Nokia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Proposal 1: RAN4 to use the prefix “M-FRx-NCR” in the FRC numbering to associate the FRC numbers with the feature (NCR) instead of the corresponding Annex. This will allow the FRC number to be aligned across NCR specifications.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Proposal 2: The Sections allocated for FRCs across the NCR specifications themselves shall be rearranged to avoid any Voids sections.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Proposal 3: The FRCs for QPSK and 16QAM could be merged into one table, and hence, the sections across NCR specifications for FR1 and FR2 could be well aligned.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>Before</w:t>
      </w:r>
      <w:r>
        <w:rPr>
          <w:i/>
          <w:color w:val="0070C0"/>
        </w:rPr>
        <w:t xml:space="preserve"> </w:t>
      </w:r>
      <w:r>
        <w:rPr>
          <w:rFonts w:hint="eastAsia"/>
          <w:i/>
          <w:color w:val="0070C0"/>
        </w:rPr>
        <w:t xml:space="preserve">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 w:eastAsia="zh-CN"/>
        </w:rPr>
        <w:t>1 FRC numbers for NCR</w:t>
      </w:r>
    </w:p>
    <w:p>
      <w:pPr>
        <w:rPr>
          <w:b/>
          <w:color w:val="auto"/>
          <w:u w:val="single"/>
          <w:lang w:eastAsia="ko-KR"/>
        </w:rPr>
      </w:pPr>
    </w:p>
    <w:p>
      <w:pPr>
        <w:rPr>
          <w:rFonts w:hint="eastAsia"/>
          <w:b/>
          <w:color w:val="auto"/>
          <w:u w:val="single"/>
          <w:lang w:val="en-US" w:eastAsia="zh-CN"/>
        </w:rPr>
      </w:pPr>
      <w:r>
        <w:rPr>
          <w:b/>
          <w:color w:val="auto"/>
          <w:u w:val="single"/>
          <w:lang w:eastAsia="ko-KR"/>
        </w:rPr>
        <w:t>Issue 1-</w:t>
      </w:r>
      <w:r>
        <w:rPr>
          <w:rFonts w:hint="eastAsia"/>
          <w:b/>
          <w:color w:val="auto"/>
          <w:u w:val="single"/>
          <w:lang w:val="en-US" w:eastAsia="zh-CN"/>
        </w:rPr>
        <w:t>1-1</w:t>
      </w:r>
      <w:r>
        <w:rPr>
          <w:b/>
          <w:color w:val="auto"/>
          <w:u w:val="single"/>
          <w:lang w:eastAsia="ko-KR"/>
        </w:rPr>
        <w:t xml:space="preserve">: </w:t>
      </w:r>
      <w:r>
        <w:rPr>
          <w:rFonts w:hint="eastAsia"/>
          <w:b/>
          <w:color w:val="auto"/>
          <w:u w:val="single"/>
          <w:lang w:val="en-US" w:eastAsia="zh-CN"/>
        </w:rPr>
        <w:t>FRC numbers for NCR between core part and  conformance testing part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eastAsia="宋体"/>
          <w:color w:val="auto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eastAsia="宋体"/>
          <w:color w:val="auto"/>
          <w:szCs w:val="24"/>
          <w:lang w:eastAsia="zh-CN"/>
        </w:rPr>
        <w:t xml:space="preserve">Option 1: </w:t>
      </w:r>
      <w:r>
        <w:rPr>
          <w:rFonts w:hint="eastAsia" w:eastAsia="宋体"/>
          <w:color w:val="auto"/>
          <w:szCs w:val="24"/>
          <w:lang w:val="en-US" w:eastAsia="zh-CN"/>
        </w:rPr>
        <w:t xml:space="preserve"> RAN4 to use the prefix “M-FRx-NCR” in the FRC numbering to associate the FRC numbers with the feature (NCR) instead of the corresponding Annex. This will allow the FRC number to be aligned across NCR specifications. (Nokia)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left="1860" w:leftChars="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hint="eastAsia" w:eastAsia="宋体"/>
          <w:color w:val="auto"/>
          <w:szCs w:val="24"/>
          <w:lang w:val="en-US" w:eastAsia="zh-CN"/>
        </w:rPr>
        <w:t>Option 1A: The FRCs for QPSK and 16QAM could be merged into one table, and hence, the sections across NCR specifications for FR1 and FR2 could be well aligned. (Nokia)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auto"/>
          <w:szCs w:val="24"/>
          <w:lang w:eastAsia="zh-CN"/>
        </w:rPr>
      </w:pPr>
      <w:r>
        <w:rPr>
          <w:rFonts w:eastAsia="宋体"/>
          <w:color w:val="auto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auto"/>
          <w:szCs w:val="24"/>
          <w:lang w:val="en-US" w:eastAsia="zh-CN"/>
        </w:rPr>
      </w:pPr>
      <w:r>
        <w:rPr>
          <w:rFonts w:hint="eastAsia" w:eastAsia="宋体"/>
          <w:color w:val="auto"/>
          <w:szCs w:val="24"/>
          <w:lang w:val="en-US" w:eastAsia="zh-CN"/>
        </w:rPr>
        <w:t>Check whether Option 1 can be agreed.</w:t>
      </w:r>
    </w:p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eastAsia" w:eastAsia="宋体"/>
          <w:color w:val="auto"/>
          <w:szCs w:val="24"/>
          <w:lang w:val="en-US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val="en-US" w:eastAsia="zh-CN"/>
        </w:rPr>
        <w:t>2</w:t>
      </w:r>
      <w:r>
        <w:rPr>
          <w:lang w:eastAsia="ja-JP"/>
        </w:rPr>
        <w:t xml:space="preserve">: </w:t>
      </w:r>
      <w:r>
        <w:rPr>
          <w:rFonts w:hint="eastAsia"/>
          <w:lang w:val="en-US" w:eastAsia="zh-CN"/>
        </w:rPr>
        <w:t xml:space="preserve"> CRs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  <w:rPr>
          <w:rFonts w:hint="eastAsia" w:eastAsia="宋体"/>
          <w:color w:val="auto"/>
          <w:szCs w:val="24"/>
          <w:lang w:val="en-US" w:eastAsia="zh-CN"/>
        </w:rPr>
      </w:pPr>
      <w:r>
        <w:rPr>
          <w:rFonts w:hint="eastAsia"/>
          <w:lang w:val="en-US" w:eastAsia="zh-CN"/>
        </w:rPr>
        <w:t>Companies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contributions summary</w:t>
      </w:r>
    </w:p>
    <w:p>
      <w:pPr>
        <w:rPr>
          <w:lang w:val="sv-SE" w:eastAsia="zh-CN"/>
        </w:rPr>
      </w:pPr>
      <w:r>
        <w:rPr>
          <w:lang w:val="sv-SE" w:eastAsia="zh-CN"/>
        </w:rPr>
        <w:t>Moderator: companies are encouraged to check the recommendation for each contributions.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39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03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01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lang w:val="en-US"/>
              </w:rPr>
            </w:pPr>
            <w:r>
              <w:rPr>
                <w:rFonts w:hint="default" w:eastAsia="Yu Mincho"/>
                <w:lang w:val="en-US"/>
              </w:rPr>
              <w:t>R4-2408972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/>
              </w:rPr>
              <w:t>Huawei, HiSilicon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Draft big CR was Endorsed in 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lang w:val="en-US"/>
              </w:rPr>
            </w:pPr>
            <w:r>
              <w:rPr>
                <w:rFonts w:hint="eastAsia"/>
              </w:rPr>
              <w:t>R4-2409414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/>
              </w:rPr>
              <w:t>Nokia, ZTE Corporation, Ericsson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-New FRC naming in Appendix B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-Updates the corresponding FRCs naming for Conductance Testing (8.2.2, 8.2.3)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Updates the corresponding FRCs naming for Radiated Testing (9.3)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Nokia, ZTE Corporation, Ericsson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-New FRC naming in Appendix F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Updates the corresponding FRCs naming for Conductance Testing (7.1.2, 7.1.3)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Nokia, ZTE Corporation, Ericsson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-New FRC naming in Appendix H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Updates the corresponding FRCs naming for Radiated Testing (7.1.2, 7.1.3)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宋体"/>
                <w:lang w:val="en-US" w:eastAsia="zh-CN"/>
              </w:rPr>
              <w:t xml:space="preserve">Draft CR was Endorsed </w:t>
            </w:r>
            <w:r>
              <w:rPr>
                <w:rFonts w:hint="eastAsia"/>
                <w:lang w:val="en-US" w:eastAsia="zh-CN"/>
              </w:rPr>
              <w:t xml:space="preserve">in </w:t>
            </w:r>
            <w:r>
              <w:rPr>
                <w:rFonts w:hint="eastAsia" w:eastAsia="宋体"/>
                <w:lang w:val="en-US" w:eastAsia="zh-CN"/>
              </w:rPr>
              <w:t>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宋体"/>
                <w:lang w:val="en-US" w:eastAsia="zh-CN"/>
              </w:rPr>
              <w:t xml:space="preserve">Draft CR was Endorsed </w:t>
            </w:r>
            <w:r>
              <w:rPr>
                <w:rFonts w:hint="eastAsia"/>
                <w:lang w:val="en-US" w:eastAsia="zh-CN"/>
              </w:rPr>
              <w:t xml:space="preserve">in </w:t>
            </w:r>
            <w:r>
              <w:rPr>
                <w:rFonts w:hint="eastAsia" w:eastAsia="宋体"/>
                <w:lang w:val="en-US" w:eastAsia="zh-CN"/>
              </w:rPr>
              <w:t>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R4-240941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3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Nokia</w:t>
            </w:r>
          </w:p>
        </w:tc>
        <w:tc>
          <w:tcPr>
            <w:tcW w:w="501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Draft CR was Endorsed last RAN4#110</w:t>
            </w:r>
            <w:r>
              <w:rPr>
                <w:rFonts w:hint="eastAsia"/>
                <w:lang w:val="en-US" w:eastAsia="zh-CN"/>
              </w:rPr>
              <w:t>bis</w:t>
            </w:r>
            <w:r>
              <w:rPr>
                <w:rFonts w:hint="eastAsia" w:eastAsia="宋体"/>
                <w:lang w:val="en-US" w:eastAsia="zh-CN"/>
              </w:rPr>
              <w:t xml:space="preserve"> meeting.</w:t>
            </w:r>
            <w:r>
              <w:rPr>
                <w:rFonts w:hint="eastAsia"/>
                <w:lang w:val="en-US" w:eastAsia="zh-CN"/>
              </w:rPr>
              <w:t xml:space="preserve"> And  merged with big CR (</w:t>
            </w:r>
            <w:r>
              <w:rPr>
                <w:rFonts w:hint="default" w:eastAsia="Yu Mincho"/>
                <w:lang w:val="en-US"/>
              </w:rPr>
              <w:t>R4-2408972</w:t>
            </w:r>
            <w:r>
              <w:rPr>
                <w:rFonts w:hint="eastAsia" w:eastAsia="宋体"/>
                <w:lang w:val="en-US" w:eastAsia="zh-CN"/>
              </w:rPr>
              <w:t>)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p>
      <w:pPr>
        <w:rPr>
          <w:rFonts w:hint="default"/>
          <w:color w:val="0070C0"/>
          <w:lang w:val="en-US" w:eastAsia="zh-CN"/>
        </w:rPr>
      </w:pPr>
    </w:p>
    <w:p>
      <w:pPr>
        <w:rPr>
          <w:rFonts w:hint="default"/>
          <w:color w:val="0070C0"/>
          <w:lang w:val="en-US" w:eastAsia="zh-CN"/>
        </w:rPr>
      </w:pPr>
    </w:p>
    <w:p>
      <w:pPr>
        <w:pStyle w:val="3"/>
      </w:pPr>
      <w:r>
        <w:rPr>
          <w:rFonts w:hint="eastAsia"/>
          <w:lang w:val="en-US" w:eastAsia="zh-CN"/>
        </w:rPr>
        <w:t>Background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NR_netcon_repeater_Demod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has undergone the bigCR approach, whereby the following companies have been responsible for the bigCRs for the relevant specifications with potential impact from the Work Item.</w:t>
      </w:r>
    </w:p>
    <w:tbl>
      <w:tblPr>
        <w:tblStyle w:val="5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6" w:type="dxa"/>
            <w:gridSpan w:val="2"/>
            <w:vAlign w:val="center"/>
          </w:tcPr>
          <w:p>
            <w:pPr>
              <w:pStyle w:val="67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CR Split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vAlign w:val="center"/>
          </w:tcPr>
          <w:p>
            <w:pPr>
              <w:pStyle w:val="67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zh-CN"/>
              </w:rPr>
              <w:t>Specification</w:t>
            </w:r>
          </w:p>
        </w:tc>
        <w:tc>
          <w:tcPr>
            <w:tcW w:w="2408" w:type="dxa"/>
            <w:vAlign w:val="center"/>
          </w:tcPr>
          <w:p>
            <w:pPr>
              <w:pStyle w:val="67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zh-CN"/>
              </w:rPr>
              <w:t>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eastAsia="Yu Mincho"/>
              </w:rPr>
              <w:t>38.10</w:t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2408" w:type="dxa"/>
            <w:vAlign w:val="center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 Sanechips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eastAsia="Yu Mincho"/>
              </w:rPr>
              <w:t>38.1</w:t>
            </w:r>
            <w:r>
              <w:rPr>
                <w:rFonts w:hint="eastAsia" w:eastAsia="宋体"/>
                <w:lang w:val="en-US" w:eastAsia="zh-CN"/>
              </w:rPr>
              <w:t>15-1</w:t>
            </w:r>
          </w:p>
        </w:tc>
        <w:tc>
          <w:tcPr>
            <w:tcW w:w="2408" w:type="dxa"/>
            <w:vAlign w:val="center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ja-JP"/>
              </w:rPr>
            </w:pPr>
            <w:r>
              <w:rPr>
                <w:rFonts w:eastAsia="Yu Mincho"/>
                <w:szCs w:val="24"/>
                <w:lang w:eastAsia="zh-CN"/>
              </w:rPr>
              <w:t>Nokia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38.1</w:t>
            </w:r>
            <w:r>
              <w:rPr>
                <w:rFonts w:hint="eastAsia" w:eastAsia="宋体"/>
                <w:lang w:val="en-US" w:eastAsia="zh-CN"/>
              </w:rPr>
              <w:t>15-</w:t>
            </w:r>
            <w:r>
              <w:rPr>
                <w:rFonts w:eastAsia="Yu Mincho"/>
              </w:rPr>
              <w:t>-2</w:t>
            </w:r>
          </w:p>
        </w:tc>
        <w:tc>
          <w:tcPr>
            <w:tcW w:w="2408" w:type="dxa"/>
            <w:vAlign w:val="center"/>
          </w:tcPr>
          <w:p>
            <w:pPr>
              <w:pStyle w:val="68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szCs w:val="24"/>
                <w:lang w:eastAsia="zh-CN"/>
              </w:rPr>
            </w:pPr>
            <w:r>
              <w:rPr>
                <w:rFonts w:hint="eastAsia" w:eastAsia="Yu Mincho"/>
                <w:szCs w:val="24"/>
                <w:lang w:eastAsia="zh-CN"/>
              </w:rPr>
              <w:t>Huawei, HiSilicon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color w:val="0070C0"/>
          <w:lang w:val="en-US" w:eastAsia="zh-CN"/>
        </w:rPr>
      </w:pPr>
      <w:r>
        <w:rPr>
          <w:rFonts w:hint="eastAsia"/>
          <w:lang w:val="en-US" w:eastAsia="zh-CN"/>
        </w:rPr>
        <w:t>To avoid sending several CRs for each specification to Plenary it is proposed that companies can combine their contributions based on the open issues to be discussed at the meeting.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Note： Depending on Issue 1-1-1 it is possible, and no big CR numbers reserved  for TS 38.106 and 38.115-1.</w:t>
      </w:r>
    </w:p>
    <w:p>
      <w:pPr>
        <w:rPr>
          <w:rFonts w:hint="default"/>
          <w:color w:val="0070C0"/>
          <w:lang w:val="en-US" w:eastAsia="zh-CN"/>
        </w:rPr>
      </w:pPr>
    </w:p>
    <w:p>
      <w:pPr>
        <w:pStyle w:val="2"/>
        <w:rPr>
          <w:lang w:eastAsia="ja-JP"/>
        </w:rPr>
      </w:pPr>
      <w:r>
        <w:rPr>
          <w:rFonts w:hint="eastAsia"/>
          <w:lang w:val="en-US" w:eastAsia="zh-CN"/>
        </w:rPr>
        <w:t xml:space="preserve">Topic #3: </w:t>
      </w:r>
      <w:r>
        <w:rPr>
          <w:lang w:eastAsia="ja-JP"/>
        </w:rPr>
        <w:t>Recommendation for Tdocs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If Issue 1-1-1can be agreed, three CRs need to be revised and three CRs need to be merged.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883"/>
        <w:gridCol w:w="6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Suggested status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R4-2408972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 xml:space="preserve">Revised 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Times New Roman" w:hAnsi="Times New Roman" w:eastAsia="宋体" w:cs="Times New Roman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R4-2409413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Noted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hint="default" w:ascii="Times New Roman" w:hAnsi="Times New Roman" w:eastAsia="宋体" w:cs="Times New Roman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R4-2409414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 xml:space="preserve">Revised 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R4-2409415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Revised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R4-2409416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 xml:space="preserve">Merged (with </w:t>
            </w:r>
            <w:r>
              <w:rPr>
                <w:rFonts w:hint="default" w:eastAsia="Yu Mincho" w:cs="Times New Roman"/>
                <w:lang w:val="en-US" w:eastAsia="zh-CN"/>
              </w:rPr>
              <w:t>R4-240</w:t>
            </w:r>
            <w:r>
              <w:rPr>
                <w:rFonts w:hint="eastAsia" w:eastAsia="Yu Mincho" w:cs="Times New Roman"/>
                <w:lang w:val="en-US" w:eastAsia="zh-CN"/>
              </w:rPr>
              <w:t>8972)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R4-2409417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ascii="Times New Roman" w:hAnsi="Times New Roman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 xml:space="preserve">Merged (with </w:t>
            </w:r>
            <w:r>
              <w:rPr>
                <w:rFonts w:hint="default" w:eastAsia="Yu Mincho" w:cs="Times New Roman"/>
                <w:lang w:val="en-US" w:eastAsia="zh-CN"/>
              </w:rPr>
              <w:t>R4-2409414</w:t>
            </w:r>
            <w:r>
              <w:rPr>
                <w:rFonts w:hint="eastAsia" w:eastAsia="Yu Mincho" w:cs="Times New Roman"/>
                <w:lang w:val="en-US" w:eastAsia="zh-CN"/>
              </w:rPr>
              <w:t>)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R4-2409418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 xml:space="preserve">Merged (with </w:t>
            </w:r>
            <w:r>
              <w:rPr>
                <w:rFonts w:hint="default" w:eastAsia="Yu Mincho" w:cs="Times New Roman"/>
                <w:lang w:val="en-US" w:eastAsia="zh-CN"/>
              </w:rPr>
              <w:t>R4-240941</w:t>
            </w:r>
            <w:r>
              <w:rPr>
                <w:rFonts w:hint="eastAsia" w:eastAsia="Yu Mincho" w:cs="Times New Roman"/>
                <w:lang w:val="en-US" w:eastAsia="zh-CN"/>
              </w:rPr>
              <w:t>5)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Depending on Issue 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autoSpaceDE w:val="0"/>
              <w:autoSpaceDN w:val="0"/>
              <w:adjustRightInd w:val="0"/>
              <w:jc w:val="left"/>
              <w:textAlignment w:val="top"/>
              <w:rPr>
                <w:rFonts w:eastAsia="Yu Mincho"/>
                <w:b/>
                <w:bCs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800080"/>
                <w:sz w:val="16"/>
                <w:szCs w:val="16"/>
                <w:u w:val="single"/>
                <w:lang w:val="en-US" w:eastAsia="zh-CN" w:bidi="ar-SA"/>
              </w:rPr>
              <w:t>R4-2409419</w:t>
            </w:r>
          </w:p>
        </w:tc>
        <w:tc>
          <w:tcPr>
            <w:tcW w:w="18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ascii="Times New Roman" w:hAnsi="Times New Roman" w:eastAsia="Yu Mincho" w:cs="Times New Roman"/>
                <w:lang w:val="en-US" w:eastAsia="zh-CN"/>
              </w:rPr>
            </w:pPr>
            <w:r>
              <w:rPr>
                <w:rFonts w:hint="eastAsia" w:eastAsia="Yu Mincho" w:cs="Times New Roman"/>
                <w:lang w:val="en-US" w:eastAsia="zh-CN"/>
              </w:rPr>
              <w:t>Agreement</w:t>
            </w:r>
          </w:p>
        </w:tc>
        <w:tc>
          <w:tcPr>
            <w:tcW w:w="61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</w:p>
        </w:tc>
      </w:tr>
    </w:tbl>
    <w:p>
      <w:pPr>
        <w:rPr>
          <w:rFonts w:hint="default"/>
          <w:color w:val="0070C0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1851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  <w:color w:val="auto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  <w:color w:val="auto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65"/>
    <w:rsid w:val="0000223C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C4549"/>
    <w:rsid w:val="000D09FD"/>
    <w:rsid w:val="000D19DE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28E7"/>
    <w:rsid w:val="00117BD6"/>
    <w:rsid w:val="001206C2"/>
    <w:rsid w:val="00121978"/>
    <w:rsid w:val="00123422"/>
    <w:rsid w:val="00124B6A"/>
    <w:rsid w:val="00130462"/>
    <w:rsid w:val="00136D4C"/>
    <w:rsid w:val="00142538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B7991"/>
    <w:rsid w:val="001C1409"/>
    <w:rsid w:val="001C2AE6"/>
    <w:rsid w:val="001C4A89"/>
    <w:rsid w:val="001C6177"/>
    <w:rsid w:val="001D0363"/>
    <w:rsid w:val="001D12B4"/>
    <w:rsid w:val="001D1B07"/>
    <w:rsid w:val="001D7D94"/>
    <w:rsid w:val="001E0A28"/>
    <w:rsid w:val="001E4218"/>
    <w:rsid w:val="001E6C4D"/>
    <w:rsid w:val="001F0B20"/>
    <w:rsid w:val="00200A62"/>
    <w:rsid w:val="00203740"/>
    <w:rsid w:val="002138EA"/>
    <w:rsid w:val="002139EA"/>
    <w:rsid w:val="00213F84"/>
    <w:rsid w:val="00214FBD"/>
    <w:rsid w:val="00221E08"/>
    <w:rsid w:val="00222897"/>
    <w:rsid w:val="00222B0C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4E25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052D"/>
    <w:rsid w:val="00336697"/>
    <w:rsid w:val="003418CB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4AD5"/>
    <w:rsid w:val="0039642D"/>
    <w:rsid w:val="003A2B9E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16713"/>
    <w:rsid w:val="00424F8C"/>
    <w:rsid w:val="00426275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17E9"/>
    <w:rsid w:val="004A495F"/>
    <w:rsid w:val="004A7544"/>
    <w:rsid w:val="004B6B0F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0A1A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60042C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18C7"/>
    <w:rsid w:val="00642BC6"/>
    <w:rsid w:val="00644790"/>
    <w:rsid w:val="006501AF"/>
    <w:rsid w:val="00650DDE"/>
    <w:rsid w:val="00653BCF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4176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35C6"/>
    <w:rsid w:val="007655D5"/>
    <w:rsid w:val="007763C1"/>
    <w:rsid w:val="00777E82"/>
    <w:rsid w:val="00781359"/>
    <w:rsid w:val="00786921"/>
    <w:rsid w:val="007A1EAA"/>
    <w:rsid w:val="007A79FD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04B4"/>
    <w:rsid w:val="00805BE8"/>
    <w:rsid w:val="00816078"/>
    <w:rsid w:val="008177E3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A51C9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5580F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443"/>
    <w:rsid w:val="009B1DF8"/>
    <w:rsid w:val="009B3D20"/>
    <w:rsid w:val="009B5418"/>
    <w:rsid w:val="009B61B4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A0758F"/>
    <w:rsid w:val="00A1570A"/>
    <w:rsid w:val="00A17866"/>
    <w:rsid w:val="00A211B4"/>
    <w:rsid w:val="00A223CF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052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049B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2D12"/>
    <w:rsid w:val="00BD6404"/>
    <w:rsid w:val="00BE33AE"/>
    <w:rsid w:val="00BF046F"/>
    <w:rsid w:val="00C01D50"/>
    <w:rsid w:val="00C056DC"/>
    <w:rsid w:val="00C1329B"/>
    <w:rsid w:val="00C1572F"/>
    <w:rsid w:val="00C24C05"/>
    <w:rsid w:val="00C24D2F"/>
    <w:rsid w:val="00C26222"/>
    <w:rsid w:val="00C31283"/>
    <w:rsid w:val="00C33C48"/>
    <w:rsid w:val="00C340E5"/>
    <w:rsid w:val="00C35AA7"/>
    <w:rsid w:val="00C404C3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6AC9"/>
    <w:rsid w:val="00C724D3"/>
    <w:rsid w:val="00C72951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0411"/>
    <w:rsid w:val="00CF4156"/>
    <w:rsid w:val="00D0036C"/>
    <w:rsid w:val="00D03D00"/>
    <w:rsid w:val="00D05C30"/>
    <w:rsid w:val="00D10052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4F72"/>
    <w:rsid w:val="00DC77DC"/>
    <w:rsid w:val="00DD0453"/>
    <w:rsid w:val="00DD0C2C"/>
    <w:rsid w:val="00DD19DE"/>
    <w:rsid w:val="00DD28BC"/>
    <w:rsid w:val="00DE31F0"/>
    <w:rsid w:val="00DE3D1C"/>
    <w:rsid w:val="00E01C41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2CF1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E1080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F3D"/>
    <w:rsid w:val="00FB38D8"/>
    <w:rsid w:val="00FC051F"/>
    <w:rsid w:val="00FC06FF"/>
    <w:rsid w:val="00FC45F4"/>
    <w:rsid w:val="00FC69B4"/>
    <w:rsid w:val="00FD0694"/>
    <w:rsid w:val="00FD25BE"/>
    <w:rsid w:val="00FD2E70"/>
    <w:rsid w:val="00FD34A0"/>
    <w:rsid w:val="00FD3EE5"/>
    <w:rsid w:val="00FD7AA7"/>
    <w:rsid w:val="00FF1FCB"/>
    <w:rsid w:val="00FF52D4"/>
    <w:rsid w:val="00FF6AA4"/>
    <w:rsid w:val="00FF6B09"/>
    <w:rsid w:val="01FF5342"/>
    <w:rsid w:val="02497F4C"/>
    <w:rsid w:val="027B0409"/>
    <w:rsid w:val="06013C2B"/>
    <w:rsid w:val="08DC3A2F"/>
    <w:rsid w:val="08EC02E8"/>
    <w:rsid w:val="0B434407"/>
    <w:rsid w:val="0C2E6645"/>
    <w:rsid w:val="104148C0"/>
    <w:rsid w:val="10983D7E"/>
    <w:rsid w:val="122D69FA"/>
    <w:rsid w:val="18243851"/>
    <w:rsid w:val="18E60420"/>
    <w:rsid w:val="19076B38"/>
    <w:rsid w:val="19164A57"/>
    <w:rsid w:val="1A01569C"/>
    <w:rsid w:val="1C96758B"/>
    <w:rsid w:val="1CD908D9"/>
    <w:rsid w:val="1E1F336D"/>
    <w:rsid w:val="1ED00D5E"/>
    <w:rsid w:val="1EE6330F"/>
    <w:rsid w:val="1F396B0D"/>
    <w:rsid w:val="20421F62"/>
    <w:rsid w:val="224805CD"/>
    <w:rsid w:val="279B097B"/>
    <w:rsid w:val="287D51FA"/>
    <w:rsid w:val="29A4050A"/>
    <w:rsid w:val="2B493D04"/>
    <w:rsid w:val="2D14247A"/>
    <w:rsid w:val="2E4A7A16"/>
    <w:rsid w:val="2F3307B9"/>
    <w:rsid w:val="31A20306"/>
    <w:rsid w:val="332D4680"/>
    <w:rsid w:val="369574AD"/>
    <w:rsid w:val="3758509B"/>
    <w:rsid w:val="37F36BE7"/>
    <w:rsid w:val="392E0789"/>
    <w:rsid w:val="3AB31AA7"/>
    <w:rsid w:val="3C665EB9"/>
    <w:rsid w:val="3CFA09F9"/>
    <w:rsid w:val="41E740AD"/>
    <w:rsid w:val="42653957"/>
    <w:rsid w:val="42972733"/>
    <w:rsid w:val="42B67652"/>
    <w:rsid w:val="4324797B"/>
    <w:rsid w:val="44BC3967"/>
    <w:rsid w:val="4738061F"/>
    <w:rsid w:val="480676B6"/>
    <w:rsid w:val="481F360A"/>
    <w:rsid w:val="48337277"/>
    <w:rsid w:val="4E7623D8"/>
    <w:rsid w:val="52054A9D"/>
    <w:rsid w:val="5251410C"/>
    <w:rsid w:val="53AA0D5A"/>
    <w:rsid w:val="55D52548"/>
    <w:rsid w:val="561A16CF"/>
    <w:rsid w:val="56E973F4"/>
    <w:rsid w:val="58E85C7D"/>
    <w:rsid w:val="59F87A2E"/>
    <w:rsid w:val="5A910924"/>
    <w:rsid w:val="5D3610DD"/>
    <w:rsid w:val="5F9C30F8"/>
    <w:rsid w:val="61EB79F4"/>
    <w:rsid w:val="63D842CF"/>
    <w:rsid w:val="63E85300"/>
    <w:rsid w:val="64610263"/>
    <w:rsid w:val="67C44F61"/>
    <w:rsid w:val="6A4576E6"/>
    <w:rsid w:val="6B2E287D"/>
    <w:rsid w:val="6E3A5B24"/>
    <w:rsid w:val="70B305F7"/>
    <w:rsid w:val="721627E3"/>
    <w:rsid w:val="74CE7B30"/>
    <w:rsid w:val="74D66000"/>
    <w:rsid w:val="750141CC"/>
    <w:rsid w:val="765D0E00"/>
    <w:rsid w:val="772E3E17"/>
    <w:rsid w:val="78801A87"/>
    <w:rsid w:val="79C066CF"/>
    <w:rsid w:val="7A4778AC"/>
    <w:rsid w:val="7BE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2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  <w:style w:type="table" w:customStyle="1" w:styleId="153">
    <w:name w:val="Tabellengitternetz112"/>
    <w:qFormat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E933-F120-44EA-A05D-652E3CFCF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3</Pages>
  <Words>274</Words>
  <Characters>1564</Characters>
  <Lines>13</Lines>
  <Paragraphs>3</Paragraphs>
  <TotalTime>1</TotalTime>
  <ScaleCrop>false</ScaleCrop>
  <LinksUpToDate>false</LinksUpToDate>
  <CharactersWithSpaces>1835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양윤오/책임연구원/미래기술센터 C&amp;M표준(연)5G무선통신표준Task(yoonoh.yang@lge.com)</dc:creator>
  <cp:lastModifiedBy>ZTE-Kun Yao</cp:lastModifiedBy>
  <cp:lastPrinted>2019-04-25T01:09:00Z</cp:lastPrinted>
  <dcterms:modified xsi:type="dcterms:W3CDTF">2024-05-16T00:47:30Z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2052-11.8.2.12085</vt:lpwstr>
  </property>
  <property fmtid="{D5CDD505-2E9C-101B-9397-08002B2CF9AE}" pid="17" name="ICV">
    <vt:lpwstr>0FDE5C4A65CC4676AAAB51035B4AAB1D</vt:lpwstr>
  </property>
</Properties>
</file>