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F0D24B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921078" w:rsidRPr="00921078">
        <w:rPr>
          <w:rFonts w:ascii="Arial" w:hAnsi="Arial" w:cs="Arial"/>
          <w:b/>
          <w:sz w:val="24"/>
          <w:lang w:val="en-US" w:eastAsia="zh-CN"/>
        </w:rPr>
        <w:t>R4-2419151</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202DE34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1C1C" w:rsidRPr="00A81C1C">
        <w:rPr>
          <w:rFonts w:ascii="Arial" w:eastAsia="宋体" w:hAnsi="Arial"/>
          <w:b/>
          <w:sz w:val="24"/>
          <w:lang w:val="en-US" w:eastAsia="zh-CN"/>
        </w:rPr>
        <w:t>Discussion on other RRM requirements for Rel-19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49BD99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A75F4">
        <w:rPr>
          <w:rFonts w:ascii="Arial" w:eastAsia="宋体" w:hAnsi="Arial"/>
          <w:b/>
          <w:sz w:val="24"/>
          <w:lang w:val="en-US" w:eastAsia="zh-CN"/>
        </w:rPr>
        <w:t>7.2</w:t>
      </w:r>
      <w:r w:rsidR="00A81C1C">
        <w:rPr>
          <w:rFonts w:ascii="Arial" w:eastAsia="宋体" w:hAnsi="Arial"/>
          <w:b/>
          <w:sz w:val="24"/>
          <w:lang w:val="en-US" w:eastAsia="zh-CN"/>
        </w:rPr>
        <w:t>6.4.2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606B188" w14:textId="701DB867" w:rsidR="00C42202" w:rsidRP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Rel-19 NTN are discussed in RAN4#112</w:t>
      </w:r>
      <w:r w:rsidR="00E15EAE">
        <w:rPr>
          <w:rFonts w:eastAsia="宋体"/>
          <w:lang w:eastAsia="zh-CN"/>
        </w:rPr>
        <w:t>-bis</w:t>
      </w:r>
      <w:r w:rsidRPr="00C42202">
        <w:rPr>
          <w:rFonts w:eastAsia="宋体"/>
          <w:lang w:eastAsia="zh-CN"/>
        </w:rPr>
        <w:t>, and the outcomes are captured in WF [1]. Based on the discussions, RAN4 needs to further discuss the RRM requirements for following objectives.</w:t>
      </w:r>
    </w:p>
    <w:p w14:paraId="69D57D14" w14:textId="77777777" w:rsidR="00C42202" w:rsidRPr="00C42202" w:rsidRDefault="00C42202"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sidRPr="00C42202">
        <w:rPr>
          <w:rFonts w:eastAsia="宋体"/>
          <w:szCs w:val="24"/>
          <w:lang w:val="en-US" w:eastAsia="zh-CN"/>
        </w:rPr>
        <w:t>Downlink coverage enhancements</w:t>
      </w:r>
    </w:p>
    <w:p w14:paraId="02A11A96" w14:textId="0E4C6E9F"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 other RRM requirements for Rel-19 NTN.</w:t>
      </w:r>
    </w:p>
    <w:p w14:paraId="0D6E96EF" w14:textId="0205B23A"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C536D4" w14:paraId="2EE67A9A" w14:textId="77777777" w:rsidTr="00C536D4">
        <w:tc>
          <w:tcPr>
            <w:tcW w:w="9621" w:type="dxa"/>
          </w:tcPr>
          <w:p w14:paraId="69D7BBEA" w14:textId="77777777" w:rsidR="00C536D4" w:rsidRPr="00C536D4" w:rsidRDefault="00C536D4" w:rsidP="00C536D4">
            <w:pPr>
              <w:spacing w:beforeLines="0" w:before="0" w:afterLines="0" w:after="180" w:line="276" w:lineRule="auto"/>
              <w:outlineLvl w:val="2"/>
              <w:rPr>
                <w:rFonts w:eastAsia="宋体"/>
                <w:b/>
                <w:sz w:val="20"/>
                <w:u w:val="single"/>
                <w:lang w:eastAsia="ko-KR"/>
              </w:rPr>
            </w:pPr>
            <w:r w:rsidRPr="00C536D4">
              <w:rPr>
                <w:rFonts w:eastAsia="宋体"/>
                <w:b/>
                <w:sz w:val="20"/>
                <w:u w:val="single"/>
                <w:lang w:eastAsia="ko-KR"/>
              </w:rPr>
              <w:t>Issue 1-1: SSB periodicity enhancement</w:t>
            </w:r>
          </w:p>
          <w:p w14:paraId="1450FA38" w14:textId="77777777" w:rsidR="00C536D4" w:rsidRPr="00C536D4" w:rsidRDefault="00C536D4" w:rsidP="00C536D4">
            <w:pPr>
              <w:spacing w:beforeLines="0" w:before="0" w:afterLines="0" w:after="120" w:line="252" w:lineRule="auto"/>
              <w:rPr>
                <w:rFonts w:eastAsia="Malgun Gothic"/>
                <w:b/>
                <w:bCs/>
                <w:color w:val="0070C0"/>
                <w:sz w:val="20"/>
                <w:lang w:eastAsia="ko-KR"/>
              </w:rPr>
            </w:pPr>
            <w:r w:rsidRPr="00C536D4">
              <w:rPr>
                <w:rFonts w:eastAsia="Malgun Gothic"/>
                <w:b/>
                <w:bCs/>
                <w:color w:val="0070C0"/>
                <w:sz w:val="20"/>
                <w:highlight w:val="green"/>
                <w:lang w:eastAsia="ko-KR"/>
              </w:rPr>
              <w:t>Agreement:</w:t>
            </w:r>
          </w:p>
          <w:p w14:paraId="019BF3A4" w14:textId="77777777" w:rsidR="00C536D4" w:rsidRPr="00C536D4" w:rsidRDefault="00C536D4" w:rsidP="00C536D4">
            <w:pPr>
              <w:numPr>
                <w:ilvl w:val="0"/>
                <w:numId w:val="37"/>
              </w:numPr>
              <w:overflowPunct w:val="0"/>
              <w:autoSpaceDE w:val="0"/>
              <w:autoSpaceDN w:val="0"/>
              <w:adjustRightInd w:val="0"/>
              <w:spacing w:beforeLines="0" w:before="0" w:afterLines="0" w:after="180" w:line="276" w:lineRule="auto"/>
              <w:ind w:left="360"/>
              <w:textAlignment w:val="baseline"/>
              <w:rPr>
                <w:sz w:val="20"/>
                <w:lang w:eastAsia="ja-JP"/>
              </w:rPr>
            </w:pPr>
            <w:r w:rsidRPr="00C536D4">
              <w:rPr>
                <w:sz w:val="20"/>
                <w:lang w:eastAsia="ja-JP"/>
              </w:rPr>
              <w:t>RAN4 to wait for RAN1’s definitive decision on the maximum periodicity of SSB and the range of SMTC before discussing whether and how to modify the relevant RRM requirements</w:t>
            </w:r>
            <w:r w:rsidRPr="00C536D4">
              <w:rPr>
                <w:rFonts w:hint="eastAsia"/>
                <w:sz w:val="20"/>
                <w:lang w:eastAsia="ja-JP"/>
              </w:rPr>
              <w:t xml:space="preserve">. FFS </w:t>
            </w:r>
            <w:r w:rsidRPr="00C536D4">
              <w:rPr>
                <w:sz w:val="20"/>
                <w:lang w:eastAsia="ja-JP"/>
              </w:rPr>
              <w:t>on the detailed list of RRM requirements to be affected</w:t>
            </w:r>
            <w:r w:rsidRPr="00C536D4">
              <w:rPr>
                <w:rFonts w:hint="eastAsia"/>
                <w:sz w:val="20"/>
                <w:lang w:eastAsia="ja-JP"/>
              </w:rPr>
              <w:t>, e.g.,</w:t>
            </w:r>
          </w:p>
          <w:p w14:paraId="3D7AE66B" w14:textId="714EC7E7" w:rsidR="00C536D4" w:rsidRPr="00C536D4" w:rsidRDefault="00C536D4" w:rsidP="00C536D4">
            <w:pPr>
              <w:numPr>
                <w:ilvl w:val="1"/>
                <w:numId w:val="37"/>
              </w:numPr>
              <w:overflowPunct w:val="0"/>
              <w:autoSpaceDE w:val="0"/>
              <w:autoSpaceDN w:val="0"/>
              <w:adjustRightInd w:val="0"/>
              <w:spacing w:beforeLines="0" w:before="0" w:afterLines="0" w:after="180" w:line="276" w:lineRule="auto"/>
              <w:textAlignment w:val="baseline"/>
              <w:rPr>
                <w:sz w:val="20"/>
                <w:lang w:eastAsia="ja-JP"/>
              </w:rPr>
            </w:pPr>
            <w:r w:rsidRPr="00C536D4">
              <w:rPr>
                <w:rFonts w:hint="eastAsia"/>
                <w:sz w:val="20"/>
                <w:lang w:eastAsia="ja-JP"/>
              </w:rPr>
              <w:t xml:space="preserve">uplink timing requirements, RRM requirements during transmission between different SSB periodicities, default assumption on the SSB and SMTC periodicities in handover/satellite </w:t>
            </w:r>
            <w:r w:rsidRPr="00C536D4">
              <w:rPr>
                <w:sz w:val="20"/>
                <w:lang w:eastAsia="ja-JP"/>
              </w:rPr>
              <w:t>switch</w:t>
            </w:r>
            <w:r w:rsidRPr="00C536D4">
              <w:rPr>
                <w:rFonts w:hint="eastAsia"/>
                <w:sz w:val="20"/>
                <w:lang w:eastAsia="ja-JP"/>
              </w:rPr>
              <w:t xml:space="preserve"> with re-sync/RRC re-establishment/RRC connection release with redirection, cell </w:t>
            </w:r>
            <w:r w:rsidRPr="00C536D4">
              <w:rPr>
                <w:sz w:val="20"/>
                <w:lang w:eastAsia="ja-JP"/>
              </w:rPr>
              <w:t>identification</w:t>
            </w:r>
            <w:r w:rsidRPr="00C536D4">
              <w:rPr>
                <w:rFonts w:hint="eastAsia"/>
                <w:sz w:val="20"/>
                <w:lang w:eastAsia="ja-JP"/>
              </w:rPr>
              <w:t>, measurements, etc.</w:t>
            </w:r>
          </w:p>
        </w:tc>
      </w:tr>
    </w:tbl>
    <w:p w14:paraId="553F137B" w14:textId="41D73235" w:rsidR="002B73BB" w:rsidRDefault="002B73BB" w:rsidP="002B73BB">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RAN1#118</w:t>
      </w:r>
      <w:r>
        <w:rPr>
          <w:rFonts w:eastAsiaTheme="minorEastAsia"/>
          <w:lang w:eastAsia="zh-CN"/>
        </w:rPr>
        <w:t>-bis the following is agreed related to DL coverage enhancement.</w:t>
      </w:r>
    </w:p>
    <w:tbl>
      <w:tblPr>
        <w:tblStyle w:val="afa"/>
        <w:tblW w:w="0" w:type="auto"/>
        <w:tblLook w:val="04A0" w:firstRow="1" w:lastRow="0" w:firstColumn="1" w:lastColumn="0" w:noHBand="0" w:noVBand="1"/>
      </w:tblPr>
      <w:tblGrid>
        <w:gridCol w:w="9621"/>
      </w:tblGrid>
      <w:tr w:rsidR="002B73BB" w14:paraId="5C5396D9" w14:textId="77777777" w:rsidTr="0064144E">
        <w:tc>
          <w:tcPr>
            <w:tcW w:w="9621" w:type="dxa"/>
          </w:tcPr>
          <w:p w14:paraId="78ECF01B" w14:textId="77777777" w:rsidR="002B73BB" w:rsidRPr="002B73BB" w:rsidRDefault="002B73BB" w:rsidP="002B73BB">
            <w:pPr>
              <w:spacing w:beforeLines="0" w:before="0" w:afterLines="0" w:after="0"/>
              <w:rPr>
                <w:rFonts w:eastAsia="Batang"/>
                <w:sz w:val="20"/>
              </w:rPr>
            </w:pPr>
            <w:r w:rsidRPr="002B73BB">
              <w:rPr>
                <w:rFonts w:eastAsia="Batang"/>
                <w:sz w:val="20"/>
                <w:highlight w:val="green"/>
              </w:rPr>
              <w:t>Agreement</w:t>
            </w:r>
          </w:p>
          <w:p w14:paraId="34C44407" w14:textId="77777777" w:rsidR="002B73BB" w:rsidRPr="002B73BB" w:rsidRDefault="002B73BB" w:rsidP="002B73BB">
            <w:pPr>
              <w:spacing w:beforeLines="0" w:before="0" w:afterLines="0" w:after="0"/>
              <w:rPr>
                <w:rFonts w:eastAsia="Batang"/>
                <w:sz w:val="20"/>
              </w:rPr>
            </w:pPr>
            <w:r w:rsidRPr="002B73BB">
              <w:rPr>
                <w:rFonts w:eastAsia="Batang"/>
                <w:sz w:val="20"/>
              </w:rPr>
              <w:t xml:space="preserve">For NR NTN, support extended periodicity of the half frames with SS/PBCH blocks assumed by UE during initial access. </w:t>
            </w:r>
          </w:p>
          <w:p w14:paraId="6872A312" w14:textId="77777777" w:rsidR="002B73BB" w:rsidRPr="002B73BB" w:rsidRDefault="002B73BB" w:rsidP="002B73BB">
            <w:pPr>
              <w:numPr>
                <w:ilvl w:val="0"/>
                <w:numId w:val="36"/>
              </w:numPr>
              <w:suppressAutoHyphens/>
              <w:spacing w:beforeLines="0" w:before="0" w:afterLines="0" w:after="0"/>
              <w:rPr>
                <w:rFonts w:eastAsia="Batang"/>
                <w:sz w:val="20"/>
                <w:lang w:eastAsia="x-none"/>
              </w:rPr>
            </w:pPr>
            <w:r w:rsidRPr="002B73BB">
              <w:rPr>
                <w:rFonts w:eastAsia="Batang"/>
                <w:sz w:val="20"/>
                <w:lang w:eastAsia="x-none"/>
              </w:rPr>
              <w:t xml:space="preserve">The maximum of the additional default value (apart from the existing 20ms value) is at least 160 </w:t>
            </w:r>
            <w:proofErr w:type="spellStart"/>
            <w:r w:rsidRPr="002B73BB">
              <w:rPr>
                <w:rFonts w:eastAsia="Batang"/>
                <w:sz w:val="20"/>
                <w:lang w:eastAsia="x-none"/>
              </w:rPr>
              <w:t>ms</w:t>
            </w:r>
            <w:proofErr w:type="spellEnd"/>
            <w:r w:rsidRPr="002B73BB">
              <w:rPr>
                <w:rFonts w:eastAsia="Batang"/>
                <w:sz w:val="20"/>
                <w:lang w:eastAsia="x-none"/>
              </w:rPr>
              <w:t>.</w:t>
            </w:r>
          </w:p>
          <w:p w14:paraId="19047D9C" w14:textId="2F157087" w:rsidR="002B73BB" w:rsidRPr="002B73BB" w:rsidRDefault="002B73BB" w:rsidP="002B73BB">
            <w:pPr>
              <w:numPr>
                <w:ilvl w:val="1"/>
                <w:numId w:val="36"/>
              </w:numPr>
              <w:suppressAutoHyphens/>
              <w:spacing w:beforeLines="0" w:before="0" w:afterLines="0" w:after="0"/>
              <w:rPr>
                <w:rFonts w:eastAsia="Batang"/>
                <w:sz w:val="20"/>
                <w:lang w:eastAsia="x-none"/>
              </w:rPr>
            </w:pPr>
            <w:r w:rsidRPr="002B73BB">
              <w:rPr>
                <w:rFonts w:eastAsia="Batang"/>
                <w:sz w:val="20"/>
                <w:lang w:eastAsia="x-none"/>
              </w:rPr>
              <w:t>FFS: whether 320ms can be supported as the maximum of the additional default value instead of or in addition to 160ms</w:t>
            </w:r>
          </w:p>
        </w:tc>
      </w:tr>
    </w:tbl>
    <w:p w14:paraId="0DCEE01F" w14:textId="648565A6" w:rsidR="002B73BB" w:rsidRDefault="002B73BB" w:rsidP="002B73BB">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2</w:t>
      </w:r>
      <w:r>
        <w:rPr>
          <w:rFonts w:eastAsiaTheme="minorEastAsia" w:hint="eastAsia"/>
          <w:lang w:eastAsia="zh-CN"/>
        </w:rPr>
        <w:t>#1</w:t>
      </w:r>
      <w:r>
        <w:rPr>
          <w:rFonts w:eastAsiaTheme="minorEastAsia"/>
          <w:lang w:eastAsia="zh-CN"/>
        </w:rPr>
        <w:t>27 the following is agreed related to DL coverage enhancement.</w:t>
      </w:r>
    </w:p>
    <w:tbl>
      <w:tblPr>
        <w:tblStyle w:val="afa"/>
        <w:tblW w:w="0" w:type="auto"/>
        <w:tblLook w:val="04A0" w:firstRow="1" w:lastRow="0" w:firstColumn="1" w:lastColumn="0" w:noHBand="0" w:noVBand="1"/>
      </w:tblPr>
      <w:tblGrid>
        <w:gridCol w:w="9621"/>
      </w:tblGrid>
      <w:tr w:rsidR="002B73BB" w14:paraId="3B3495F0" w14:textId="77777777" w:rsidTr="0064144E">
        <w:tc>
          <w:tcPr>
            <w:tcW w:w="9621" w:type="dxa"/>
          </w:tcPr>
          <w:p w14:paraId="5478BE35" w14:textId="77777777" w:rsidR="002B73BB" w:rsidRPr="00FD0DEB" w:rsidRDefault="002B73BB" w:rsidP="002B73BB">
            <w:pPr>
              <w:pStyle w:val="afe"/>
              <w:numPr>
                <w:ilvl w:val="0"/>
                <w:numId w:val="34"/>
              </w:numPr>
              <w:tabs>
                <w:tab w:val="left" w:pos="1619"/>
              </w:tabs>
              <w:spacing w:beforeLines="0" w:before="60" w:afterLines="0" w:after="0"/>
              <w:rPr>
                <w:rFonts w:ascii="Arial" w:hAnsi="Arial"/>
                <w:sz w:val="20"/>
                <w:lang w:eastAsia="ja-JP"/>
              </w:rPr>
            </w:pPr>
            <w:r w:rsidRPr="00FD0DEB">
              <w:rPr>
                <w:rFonts w:ascii="Arial" w:hAnsi="Arial"/>
                <w:sz w:val="20"/>
                <w:lang w:eastAsia="ja-JP"/>
              </w:rPr>
              <w:t>From RAN2 point of view, if the SSB periodicity is no larger than 160ms, there is no RAN2 impact on SSB configuration (there might still be impacts on DTX aspects)</w:t>
            </w:r>
          </w:p>
          <w:p w14:paraId="3725D2E4" w14:textId="77777777" w:rsidR="002B73BB" w:rsidRPr="00FD0DEB" w:rsidRDefault="002B73BB" w:rsidP="002B73BB">
            <w:pPr>
              <w:pStyle w:val="afe"/>
              <w:numPr>
                <w:ilvl w:val="0"/>
                <w:numId w:val="34"/>
              </w:numPr>
              <w:tabs>
                <w:tab w:val="left" w:pos="1619"/>
              </w:tabs>
              <w:spacing w:beforeLines="0" w:before="60" w:afterLines="0" w:after="0"/>
              <w:rPr>
                <w:rFonts w:ascii="Arial" w:hAnsi="Arial"/>
                <w:sz w:val="20"/>
                <w:lang w:eastAsia="ja-JP"/>
              </w:rPr>
            </w:pPr>
            <w:r w:rsidRPr="00FD0DEB">
              <w:rPr>
                <w:rFonts w:ascii="Arial" w:hAnsi="Arial"/>
                <w:sz w:val="20"/>
                <w:lang w:eastAsia="ja-JP"/>
              </w:rPr>
              <w:t xml:space="preserve">From RAN2 point of view, If the SSB periodicity is larger than 160ms, for example </w:t>
            </w:r>
            <w:proofErr w:type="spellStart"/>
            <w:r w:rsidRPr="00FD0DEB">
              <w:rPr>
                <w:rFonts w:ascii="Arial" w:hAnsi="Arial"/>
                <w:sz w:val="20"/>
                <w:lang w:eastAsia="ja-JP"/>
              </w:rPr>
              <w:t>ssb-PeriodicityServingCell</w:t>
            </w:r>
            <w:proofErr w:type="spellEnd"/>
            <w:r w:rsidRPr="00FD0DEB">
              <w:rPr>
                <w:rFonts w:ascii="Arial" w:hAnsi="Arial"/>
                <w:sz w:val="20"/>
                <w:lang w:eastAsia="ja-JP"/>
              </w:rPr>
              <w:t xml:space="preserve">, measurement gap periodicity, SMTC configuration, ssb-Periodicity-r17 for NonCellDefiningSSB-r17 may need to be extended. And the field description of </w:t>
            </w:r>
            <w:proofErr w:type="spellStart"/>
            <w:r w:rsidRPr="00FD0DEB">
              <w:rPr>
                <w:rFonts w:ascii="Arial" w:hAnsi="Arial"/>
                <w:sz w:val="20"/>
                <w:lang w:eastAsia="ja-JP"/>
              </w:rPr>
              <w:t>nAndPagingFrameOffset</w:t>
            </w:r>
            <w:proofErr w:type="spellEnd"/>
            <w:r w:rsidRPr="00FD0DEB">
              <w:rPr>
                <w:rFonts w:ascii="Arial" w:hAnsi="Arial"/>
                <w:sz w:val="20"/>
                <w:lang w:eastAsia="ja-JP"/>
              </w:rPr>
              <w:t xml:space="preserve"> may need to be enhanced to consider the SSB periodicity higher than 160ms.</w:t>
            </w:r>
          </w:p>
          <w:p w14:paraId="41185449" w14:textId="77777777" w:rsidR="002B73BB" w:rsidRPr="00FD0DEB" w:rsidRDefault="002B73BB" w:rsidP="002B73BB">
            <w:pPr>
              <w:pStyle w:val="afe"/>
              <w:numPr>
                <w:ilvl w:val="0"/>
                <w:numId w:val="34"/>
              </w:numPr>
              <w:tabs>
                <w:tab w:val="left" w:pos="1619"/>
              </w:tabs>
              <w:spacing w:beforeLines="0" w:before="60" w:afterLines="0" w:after="0"/>
              <w:rPr>
                <w:rFonts w:ascii="Arial" w:hAnsi="Arial"/>
                <w:sz w:val="20"/>
                <w:lang w:eastAsia="ja-JP"/>
              </w:rPr>
            </w:pPr>
            <w:r w:rsidRPr="00FD0DEB">
              <w:rPr>
                <w:rFonts w:ascii="Arial" w:hAnsi="Arial"/>
                <w:sz w:val="20"/>
                <w:lang w:eastAsia="ja-JP"/>
              </w:rPr>
              <w:t>RAN2 can further consider SMTC impacts due to beam-hopping / larger SSB periodicity</w:t>
            </w:r>
          </w:p>
          <w:p w14:paraId="5D665E18" w14:textId="77777777" w:rsidR="002B73BB" w:rsidRPr="00FD0DEB" w:rsidRDefault="002B73BB" w:rsidP="002B73BB">
            <w:pPr>
              <w:pStyle w:val="afe"/>
              <w:numPr>
                <w:ilvl w:val="0"/>
                <w:numId w:val="34"/>
              </w:numPr>
              <w:tabs>
                <w:tab w:val="left" w:pos="1619"/>
              </w:tabs>
              <w:spacing w:beforeLines="0" w:before="60" w:afterLines="0" w:after="0"/>
              <w:rPr>
                <w:rFonts w:ascii="Arial" w:hAnsi="Arial"/>
                <w:b/>
                <w:sz w:val="20"/>
                <w:lang w:eastAsia="ja-JP"/>
              </w:rPr>
            </w:pPr>
            <w:r w:rsidRPr="00FD0DEB">
              <w:rPr>
                <w:rFonts w:ascii="Arial" w:hAnsi="Arial"/>
                <w:sz w:val="20"/>
                <w:lang w:eastAsia="ja-JP"/>
              </w:rPr>
              <w:t xml:space="preserve">If there is a need to bar pre-Rel19 NTN UEs from accessing a cell operating with DL coverage enhancement (e.g. because of extreme SSB periodicity) the existing NTN bar bit can be used. FFS about the </w:t>
            </w:r>
            <w:proofErr w:type="spellStart"/>
            <w:r w:rsidRPr="00FD0DEB">
              <w:rPr>
                <w:rFonts w:ascii="Arial" w:hAnsi="Arial"/>
                <w:sz w:val="20"/>
                <w:lang w:eastAsia="ja-JP"/>
              </w:rPr>
              <w:t>behaviour</w:t>
            </w:r>
            <w:proofErr w:type="spellEnd"/>
            <w:r w:rsidRPr="00FD0DEB">
              <w:rPr>
                <w:rFonts w:ascii="Arial" w:hAnsi="Arial"/>
                <w:sz w:val="20"/>
                <w:lang w:eastAsia="ja-JP"/>
              </w:rPr>
              <w:t xml:space="preserve"> for Rel-19 UEs not supporting DL coverage enhancement when the existing NTN bar bit is set.</w:t>
            </w:r>
          </w:p>
        </w:tc>
      </w:tr>
    </w:tbl>
    <w:p w14:paraId="6B68DC25" w14:textId="27ABC156" w:rsidR="002B73BB" w:rsidRDefault="002B73BB" w:rsidP="002B73BB">
      <w:pPr>
        <w:spacing w:before="120" w:after="120"/>
        <w:rPr>
          <w:rFonts w:eastAsiaTheme="minorEastAsia"/>
          <w:lang w:eastAsia="zh-CN"/>
        </w:rPr>
      </w:pPr>
      <w:r>
        <w:rPr>
          <w:rFonts w:eastAsiaTheme="minorEastAsia"/>
          <w:lang w:eastAsia="zh-CN"/>
        </w:rPr>
        <w:lastRenderedPageBreak/>
        <w:t xml:space="preserve">It can be seen that extension of </w:t>
      </w:r>
      <w:r w:rsidRPr="00A2757D">
        <w:rPr>
          <w:rFonts w:eastAsiaTheme="minorEastAsia"/>
          <w:lang w:eastAsia="zh-CN"/>
        </w:rPr>
        <w:t xml:space="preserve">SSB periodicity </w:t>
      </w:r>
      <w:r>
        <w:rPr>
          <w:rFonts w:eastAsiaTheme="minorEastAsia"/>
          <w:lang w:eastAsia="zh-CN"/>
        </w:rPr>
        <w:t xml:space="preserve">for </w:t>
      </w:r>
      <w:r w:rsidRPr="00A2757D">
        <w:rPr>
          <w:rFonts w:eastAsiaTheme="minorEastAsia"/>
          <w:lang w:eastAsia="zh-CN"/>
        </w:rPr>
        <w:t>initial access</w:t>
      </w:r>
      <w:r>
        <w:rPr>
          <w:rFonts w:eastAsiaTheme="minorEastAsia"/>
          <w:lang w:eastAsia="zh-CN"/>
        </w:rPr>
        <w:t xml:space="preserve"> will be supported by RAN1. </w:t>
      </w:r>
      <w:r w:rsidRPr="002B73BB">
        <w:rPr>
          <w:rFonts w:eastAsiaTheme="minorEastAsia"/>
          <w:lang w:eastAsia="zh-CN"/>
        </w:rPr>
        <w:t xml:space="preserve">The maximum of the additional default value (apart from the existing 20ms value) is at least 160 </w:t>
      </w:r>
      <w:proofErr w:type="spellStart"/>
      <w:r w:rsidRPr="002B73BB">
        <w:rPr>
          <w:rFonts w:eastAsiaTheme="minorEastAsia"/>
          <w:lang w:eastAsia="zh-CN"/>
        </w:rPr>
        <w:t>ms</w:t>
      </w:r>
      <w:proofErr w:type="spellEnd"/>
      <w:r>
        <w:rPr>
          <w:rFonts w:eastAsiaTheme="minorEastAsia"/>
          <w:lang w:eastAsia="zh-CN"/>
        </w:rPr>
        <w:t xml:space="preserve">, and it is </w:t>
      </w:r>
      <w:r w:rsidRPr="002B73BB">
        <w:rPr>
          <w:rFonts w:eastAsiaTheme="minorEastAsia"/>
          <w:lang w:eastAsia="zh-CN"/>
        </w:rPr>
        <w:t>FFS whether 320ms can be supported as the maximum of the additional default value instead of or in addition to 160ms</w:t>
      </w:r>
      <w:r>
        <w:rPr>
          <w:rFonts w:eastAsiaTheme="minorEastAsia"/>
          <w:lang w:eastAsia="zh-CN"/>
        </w:rPr>
        <w:t>.</w:t>
      </w:r>
    </w:p>
    <w:p w14:paraId="30D26DFB" w14:textId="77777777" w:rsidR="002B73BB" w:rsidRDefault="002B73BB" w:rsidP="002B73BB">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rom RAN4 perspective, we understand the </w:t>
      </w:r>
      <w:r w:rsidRPr="00A2757D">
        <w:rPr>
          <w:rFonts w:eastAsiaTheme="minorEastAsia"/>
          <w:lang w:eastAsia="zh-CN"/>
        </w:rPr>
        <w:t xml:space="preserve">existing RRM requirements </w:t>
      </w:r>
      <w:r>
        <w:rPr>
          <w:rFonts w:eastAsiaTheme="minorEastAsia"/>
          <w:lang w:eastAsia="zh-CN"/>
        </w:rPr>
        <w:t>can be</w:t>
      </w:r>
      <w:r w:rsidRPr="00A2757D">
        <w:rPr>
          <w:rFonts w:eastAsiaTheme="minorEastAsia"/>
          <w:lang w:eastAsia="zh-CN"/>
        </w:rPr>
        <w:t xml:space="preserve"> re-used as baseline</w:t>
      </w:r>
      <w:r>
        <w:rPr>
          <w:rFonts w:eastAsiaTheme="minorEastAsia"/>
          <w:lang w:eastAsia="zh-CN"/>
        </w:rPr>
        <w:t xml:space="preserve"> with SSB periodicity extension, for the following reasons.</w:t>
      </w:r>
    </w:p>
    <w:p w14:paraId="13D1F773" w14:textId="77777777" w:rsidR="002B73BB" w:rsidRDefault="002B73BB" w:rsidP="002B73BB">
      <w:pPr>
        <w:pStyle w:val="afe"/>
        <w:numPr>
          <w:ilvl w:val="0"/>
          <w:numId w:val="35"/>
        </w:numPr>
        <w:spacing w:before="120" w:after="120"/>
        <w:rPr>
          <w:rFonts w:eastAsiaTheme="minorEastAsia"/>
          <w:lang w:eastAsia="zh-CN"/>
        </w:rPr>
      </w:pPr>
      <w:r>
        <w:rPr>
          <w:rFonts w:eastAsiaTheme="minorEastAsia"/>
          <w:lang w:eastAsia="zh-CN"/>
        </w:rPr>
        <w:t xml:space="preserve">There is no requirement on </w:t>
      </w:r>
      <w:r w:rsidRPr="00A2757D">
        <w:rPr>
          <w:rFonts w:eastAsiaTheme="minorEastAsia"/>
          <w:lang w:eastAsia="zh-CN"/>
        </w:rPr>
        <w:t>cell selection</w:t>
      </w:r>
      <w:r>
        <w:rPr>
          <w:rFonts w:eastAsiaTheme="minorEastAsia"/>
          <w:lang w:eastAsia="zh-CN"/>
        </w:rPr>
        <w:t xml:space="preserve"> (</w:t>
      </w:r>
      <w:r w:rsidRPr="00A2757D">
        <w:rPr>
          <w:rFonts w:eastAsiaTheme="minorEastAsia"/>
          <w:lang w:eastAsia="zh-CN"/>
        </w:rPr>
        <w:t>initial access</w:t>
      </w:r>
      <w:r>
        <w:rPr>
          <w:rFonts w:eastAsiaTheme="minorEastAsia"/>
          <w:lang w:eastAsia="zh-CN"/>
        </w:rPr>
        <w:t xml:space="preserve">) in RAN4. </w:t>
      </w:r>
    </w:p>
    <w:p w14:paraId="790EB244" w14:textId="77777777" w:rsidR="002B73BB" w:rsidRPr="00A2757D" w:rsidRDefault="002B73BB" w:rsidP="002B73BB">
      <w:pPr>
        <w:pStyle w:val="afe"/>
        <w:numPr>
          <w:ilvl w:val="0"/>
          <w:numId w:val="35"/>
        </w:numPr>
        <w:spacing w:before="120" w:after="120"/>
        <w:rPr>
          <w:rFonts w:eastAsiaTheme="minorEastAsia"/>
          <w:lang w:eastAsia="zh-CN"/>
        </w:rPr>
      </w:pPr>
      <w:r w:rsidRPr="00A2757D">
        <w:rPr>
          <w:rFonts w:eastAsiaTheme="minorEastAsia"/>
          <w:lang w:eastAsia="zh-CN"/>
        </w:rPr>
        <w:t>Existing RRM requirements are based on configured SSB or SMTC period</w:t>
      </w:r>
      <w:r>
        <w:rPr>
          <w:rFonts w:eastAsiaTheme="minorEastAsia"/>
          <w:lang w:eastAsia="zh-CN"/>
        </w:rPr>
        <w:t xml:space="preserve"> which can be up to 160ms. If SSB periodicity is extended beyond 160ms, RAN2 will extend the signaling range, and we also do not see direct impact from it, as we already have DRX requirements where measurement interval will follow DRX cycle which can be much larger than 160ms. </w:t>
      </w:r>
    </w:p>
    <w:p w14:paraId="3F747A90" w14:textId="2AC606FA" w:rsidR="002B73BB" w:rsidRDefault="002B73BB" w:rsidP="002B73BB">
      <w:pPr>
        <w:spacing w:before="120" w:after="120"/>
        <w:rPr>
          <w:rFonts w:eastAsiaTheme="minorEastAsia"/>
          <w:lang w:eastAsia="zh-CN"/>
        </w:rPr>
      </w:pPr>
      <w:r>
        <w:rPr>
          <w:rFonts w:eastAsiaTheme="minorEastAsia"/>
          <w:lang w:eastAsia="zh-CN"/>
        </w:rPr>
        <w:t xml:space="preserve">One particular impact of default SSB periodicity extension up to 160ms is the RRC re-establishment. </w:t>
      </w:r>
    </w:p>
    <w:tbl>
      <w:tblPr>
        <w:tblStyle w:val="afa"/>
        <w:tblW w:w="0" w:type="auto"/>
        <w:tblLook w:val="04A0" w:firstRow="1" w:lastRow="0" w:firstColumn="1" w:lastColumn="0" w:noHBand="0" w:noVBand="1"/>
      </w:tblPr>
      <w:tblGrid>
        <w:gridCol w:w="9621"/>
      </w:tblGrid>
      <w:tr w:rsidR="002B73BB" w14:paraId="07575044" w14:textId="77777777" w:rsidTr="002B73BB">
        <w:tc>
          <w:tcPr>
            <w:tcW w:w="9621" w:type="dxa"/>
          </w:tcPr>
          <w:p w14:paraId="0E89CB46" w14:textId="77777777" w:rsidR="002B73BB" w:rsidRPr="002B73BB" w:rsidRDefault="002B73BB" w:rsidP="002B73BB">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2B73BB">
              <w:rPr>
                <w:rFonts w:ascii="Arial" w:eastAsia="Times New Roman" w:hAnsi="Arial"/>
                <w:b/>
                <w:sz w:val="20"/>
                <w:lang w:eastAsia="en-GB"/>
              </w:rPr>
              <w:t>Table 6.2</w:t>
            </w:r>
            <w:r w:rsidRPr="002B73BB">
              <w:rPr>
                <w:rFonts w:ascii="Arial" w:eastAsia="Times New Roman" w:hAnsi="Arial" w:hint="eastAsia"/>
                <w:b/>
                <w:sz w:val="20"/>
                <w:lang w:eastAsia="zh-CN"/>
              </w:rPr>
              <w:t>C</w:t>
            </w:r>
            <w:r w:rsidRPr="002B73BB">
              <w:rPr>
                <w:rFonts w:ascii="Arial" w:eastAsia="Times New Roman" w:hAnsi="Arial"/>
                <w:b/>
                <w:sz w:val="20"/>
                <w:lang w:eastAsia="en-G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2B73BB" w:rsidRPr="002B73BB" w14:paraId="331B67F2" w14:textId="77777777" w:rsidTr="0064144E">
              <w:trPr>
                <w:jc w:val="center"/>
              </w:trPr>
              <w:tc>
                <w:tcPr>
                  <w:tcW w:w="1616" w:type="dxa"/>
                  <w:tcBorders>
                    <w:bottom w:val="nil"/>
                  </w:tcBorders>
                  <w:shd w:val="clear" w:color="auto" w:fill="auto"/>
                </w:tcPr>
                <w:p w14:paraId="57480077"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B73BB">
                    <w:rPr>
                      <w:rFonts w:ascii="Arial" w:eastAsia="Times New Roman" w:hAnsi="Arial" w:cs="v4.2.0"/>
                      <w:b/>
                      <w:sz w:val="18"/>
                      <w:lang w:eastAsia="ko-KR"/>
                    </w:rPr>
                    <w:t xml:space="preserve">Serving cell </w:t>
                  </w:r>
                </w:p>
              </w:tc>
              <w:tc>
                <w:tcPr>
                  <w:tcW w:w="1837" w:type="dxa"/>
                  <w:tcBorders>
                    <w:bottom w:val="nil"/>
                  </w:tcBorders>
                  <w:shd w:val="clear" w:color="auto" w:fill="auto"/>
                </w:tcPr>
                <w:p w14:paraId="0046AC60"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B73BB">
                    <w:rPr>
                      <w:rFonts w:ascii="Arial" w:eastAsia="Times New Roman" w:hAnsi="Arial"/>
                      <w:b/>
                      <w:sz w:val="18"/>
                      <w:lang w:eastAsia="ko-KR"/>
                    </w:rPr>
                    <w:t xml:space="preserve">FR of target NR </w:t>
                  </w:r>
                </w:p>
              </w:tc>
              <w:tc>
                <w:tcPr>
                  <w:tcW w:w="6176" w:type="dxa"/>
                  <w:gridSpan w:val="2"/>
                  <w:shd w:val="clear" w:color="auto" w:fill="auto"/>
                </w:tcPr>
                <w:p w14:paraId="324F9BDE"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2B73BB">
                    <w:rPr>
                      <w:rFonts w:ascii="Arial" w:eastAsia="Times New Roman" w:hAnsi="Arial"/>
                      <w:b/>
                      <w:sz w:val="18"/>
                      <w:lang w:eastAsia="ko-KR"/>
                    </w:rPr>
                    <w:t>T</w:t>
                  </w:r>
                  <w:r w:rsidRPr="002B73BB">
                    <w:rPr>
                      <w:rFonts w:ascii="Arial" w:eastAsia="Times New Roman" w:hAnsi="Arial"/>
                      <w:b/>
                      <w:sz w:val="18"/>
                      <w:vertAlign w:val="subscript"/>
                      <w:lang w:eastAsia="ko-KR"/>
                    </w:rPr>
                    <w:t>identify_intra_NR</w:t>
                  </w:r>
                  <w:proofErr w:type="spellEnd"/>
                  <w:r w:rsidRPr="002B73BB">
                    <w:rPr>
                      <w:rFonts w:ascii="Arial" w:eastAsia="Times New Roman" w:hAnsi="Arial"/>
                      <w:b/>
                      <w:sz w:val="18"/>
                      <w:vertAlign w:val="subscript"/>
                      <w:lang w:eastAsia="ko-KR"/>
                    </w:rPr>
                    <w:t xml:space="preserve"> </w:t>
                  </w:r>
                  <w:r w:rsidRPr="002B73BB">
                    <w:rPr>
                      <w:rFonts w:ascii="Arial" w:eastAsia="Times New Roman" w:hAnsi="Arial"/>
                      <w:b/>
                      <w:sz w:val="18"/>
                      <w:lang w:eastAsia="ko-KR"/>
                    </w:rPr>
                    <w:t>[</w:t>
                  </w:r>
                  <w:proofErr w:type="spellStart"/>
                  <w:r w:rsidRPr="002B73BB">
                    <w:rPr>
                      <w:rFonts w:ascii="Arial" w:eastAsia="Times New Roman" w:hAnsi="Arial"/>
                      <w:b/>
                      <w:sz w:val="18"/>
                      <w:lang w:eastAsia="ko-KR"/>
                    </w:rPr>
                    <w:t>ms</w:t>
                  </w:r>
                  <w:proofErr w:type="spellEnd"/>
                  <w:r w:rsidRPr="002B73BB">
                    <w:rPr>
                      <w:rFonts w:ascii="Arial" w:eastAsia="Times New Roman" w:hAnsi="Arial"/>
                      <w:b/>
                      <w:sz w:val="18"/>
                      <w:lang w:eastAsia="ko-KR"/>
                    </w:rPr>
                    <w:t>]</w:t>
                  </w:r>
                </w:p>
              </w:tc>
            </w:tr>
            <w:tr w:rsidR="002B73BB" w:rsidRPr="002B73BB" w14:paraId="05360D3E" w14:textId="77777777" w:rsidTr="0064144E">
              <w:trPr>
                <w:trHeight w:val="105"/>
                <w:jc w:val="center"/>
              </w:trPr>
              <w:tc>
                <w:tcPr>
                  <w:tcW w:w="1616" w:type="dxa"/>
                  <w:tcBorders>
                    <w:top w:val="nil"/>
                    <w:bottom w:val="nil"/>
                  </w:tcBorders>
                  <w:shd w:val="clear" w:color="auto" w:fill="auto"/>
                </w:tcPr>
                <w:p w14:paraId="3D6F7E0A"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B73BB">
                    <w:rPr>
                      <w:rFonts w:ascii="Arial" w:eastAsia="Times New Roman" w:hAnsi="Arial" w:cs="v4.2.0"/>
                      <w:b/>
                      <w:sz w:val="18"/>
                      <w:lang w:eastAsia="ko-KR"/>
                    </w:rPr>
                    <w:t xml:space="preserve">SSB </w:t>
                  </w:r>
                  <w:proofErr w:type="spellStart"/>
                  <w:r w:rsidRPr="002B73BB">
                    <w:rPr>
                      <w:rFonts w:ascii="Arial" w:eastAsia="Times New Roman" w:hAnsi="Arial"/>
                      <w:b/>
                      <w:sz w:val="18"/>
                      <w:lang w:val="en-US" w:eastAsia="en-GB"/>
                    </w:rPr>
                    <w:t>Ês</w:t>
                  </w:r>
                  <w:proofErr w:type="spellEnd"/>
                  <w:r w:rsidRPr="002B73BB">
                    <w:rPr>
                      <w:rFonts w:ascii="Arial" w:eastAsia="Times New Roman" w:hAnsi="Arial"/>
                      <w:b/>
                      <w:sz w:val="18"/>
                      <w:lang w:val="en-US" w:eastAsia="en-GB"/>
                    </w:rPr>
                    <w:t>/</w:t>
                  </w:r>
                  <w:proofErr w:type="spellStart"/>
                  <w:r w:rsidRPr="002B73BB">
                    <w:rPr>
                      <w:rFonts w:ascii="Arial" w:eastAsia="Times New Roman" w:hAnsi="Arial"/>
                      <w:b/>
                      <w:sz w:val="18"/>
                      <w:lang w:val="en-US" w:eastAsia="en-GB"/>
                    </w:rPr>
                    <w:t>Iot</w:t>
                  </w:r>
                  <w:proofErr w:type="spellEnd"/>
                  <w:r w:rsidRPr="002B73BB">
                    <w:rPr>
                      <w:rFonts w:ascii="Arial" w:eastAsia="Times New Roman" w:hAnsi="Arial"/>
                      <w:b/>
                      <w:sz w:val="18"/>
                      <w:lang w:val="en-US" w:eastAsia="en-GB"/>
                    </w:rPr>
                    <w:t xml:space="preserve"> (dB)</w:t>
                  </w:r>
                </w:p>
              </w:tc>
              <w:tc>
                <w:tcPr>
                  <w:tcW w:w="1837" w:type="dxa"/>
                  <w:tcBorders>
                    <w:top w:val="nil"/>
                    <w:bottom w:val="nil"/>
                  </w:tcBorders>
                  <w:shd w:val="clear" w:color="auto" w:fill="auto"/>
                </w:tcPr>
                <w:p w14:paraId="79431847"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B73BB">
                    <w:rPr>
                      <w:rFonts w:ascii="Arial" w:eastAsia="Times New Roman" w:hAnsi="Arial"/>
                      <w:b/>
                      <w:sz w:val="18"/>
                      <w:lang w:eastAsia="ko-KR"/>
                    </w:rPr>
                    <w:t>cell</w:t>
                  </w:r>
                </w:p>
              </w:tc>
              <w:tc>
                <w:tcPr>
                  <w:tcW w:w="2801" w:type="dxa"/>
                  <w:tcBorders>
                    <w:bottom w:val="nil"/>
                  </w:tcBorders>
                  <w:shd w:val="clear" w:color="auto" w:fill="auto"/>
                </w:tcPr>
                <w:p w14:paraId="1E07430C"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B73BB">
                    <w:rPr>
                      <w:rFonts w:ascii="Arial" w:eastAsia="Times New Roman" w:hAnsi="Arial"/>
                      <w:b/>
                      <w:sz w:val="18"/>
                      <w:lang w:eastAsia="ko-KR"/>
                    </w:rPr>
                    <w:t>Known NR cell</w:t>
                  </w:r>
                </w:p>
              </w:tc>
              <w:tc>
                <w:tcPr>
                  <w:tcW w:w="3375" w:type="dxa"/>
                  <w:tcBorders>
                    <w:bottom w:val="nil"/>
                  </w:tcBorders>
                  <w:shd w:val="clear" w:color="auto" w:fill="auto"/>
                </w:tcPr>
                <w:p w14:paraId="17A3E287"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B73BB">
                    <w:rPr>
                      <w:rFonts w:ascii="Arial" w:eastAsia="Times New Roman" w:hAnsi="Arial"/>
                      <w:b/>
                      <w:sz w:val="18"/>
                      <w:lang w:eastAsia="ko-KR"/>
                    </w:rPr>
                    <w:t>Unknown NR cell</w:t>
                  </w:r>
                </w:p>
              </w:tc>
            </w:tr>
            <w:tr w:rsidR="002B73BB" w:rsidRPr="002B73BB" w14:paraId="3F33FB3D" w14:textId="77777777" w:rsidTr="0064144E">
              <w:trPr>
                <w:jc w:val="center"/>
              </w:trPr>
              <w:tc>
                <w:tcPr>
                  <w:tcW w:w="1616" w:type="dxa"/>
                  <w:shd w:val="clear" w:color="auto" w:fill="auto"/>
                </w:tcPr>
                <w:p w14:paraId="05A6BFD8"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2B73BB">
                    <w:rPr>
                      <w:rFonts w:ascii="Arial" w:eastAsia="Times New Roman" w:hAnsi="Arial" w:cs="Arial" w:hint="eastAsia"/>
                      <w:sz w:val="18"/>
                      <w:lang w:eastAsia="ko-KR"/>
                    </w:rPr>
                    <w:t>≥</w:t>
                  </w:r>
                  <w:r w:rsidRPr="002B73BB">
                    <w:rPr>
                      <w:rFonts w:ascii="Arial" w:eastAsia="Times New Roman" w:hAnsi="Arial"/>
                      <w:sz w:val="18"/>
                      <w:lang w:eastAsia="ko-KR"/>
                    </w:rPr>
                    <w:t xml:space="preserve"> -8</w:t>
                  </w:r>
                </w:p>
              </w:tc>
              <w:tc>
                <w:tcPr>
                  <w:tcW w:w="1837" w:type="dxa"/>
                  <w:shd w:val="clear" w:color="auto" w:fill="auto"/>
                </w:tcPr>
                <w:p w14:paraId="691A7D69"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2B73BB">
                    <w:rPr>
                      <w:rFonts w:ascii="Arial" w:eastAsia="Times New Roman" w:hAnsi="Arial"/>
                      <w:sz w:val="18"/>
                      <w:lang w:eastAsia="ko-KR"/>
                    </w:rPr>
                    <w:t>FR1</w:t>
                  </w:r>
                </w:p>
              </w:tc>
              <w:tc>
                <w:tcPr>
                  <w:tcW w:w="2801" w:type="dxa"/>
                  <w:shd w:val="clear" w:color="auto" w:fill="auto"/>
                </w:tcPr>
                <w:p w14:paraId="384A0AF9"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B73BB">
                    <w:rPr>
                      <w:rFonts w:ascii="Arial" w:eastAsia="Times New Roman" w:hAnsi="Arial"/>
                      <w:sz w:val="18"/>
                      <w:lang w:eastAsia="zh-CN"/>
                    </w:rPr>
                    <w:t xml:space="preserve">MAX (200 </w:t>
                  </w:r>
                  <w:proofErr w:type="spellStart"/>
                  <w:r w:rsidRPr="002B73BB">
                    <w:rPr>
                      <w:rFonts w:ascii="Arial" w:eastAsia="Times New Roman" w:hAnsi="Arial"/>
                      <w:sz w:val="18"/>
                      <w:lang w:eastAsia="zh-CN"/>
                    </w:rPr>
                    <w:t>ms</w:t>
                  </w:r>
                  <w:proofErr w:type="spellEnd"/>
                  <w:r w:rsidRPr="002B73BB">
                    <w:rPr>
                      <w:rFonts w:ascii="Arial" w:eastAsia="Times New Roman" w:hAnsi="Arial"/>
                      <w:sz w:val="18"/>
                      <w:lang w:eastAsia="zh-CN"/>
                    </w:rPr>
                    <w:t>, 5 x T</w:t>
                  </w:r>
                  <w:r w:rsidRPr="002B73BB">
                    <w:rPr>
                      <w:rFonts w:ascii="Arial" w:eastAsia="Times New Roman" w:hAnsi="Arial"/>
                      <w:sz w:val="18"/>
                      <w:vertAlign w:val="subscript"/>
                      <w:lang w:eastAsia="zh-CN"/>
                    </w:rPr>
                    <w:t>SMTC</w:t>
                  </w:r>
                  <w:r w:rsidRPr="002B73BB">
                    <w:rPr>
                      <w:rFonts w:ascii="Arial" w:eastAsia="Times New Roman" w:hAnsi="Arial"/>
                      <w:sz w:val="18"/>
                      <w:lang w:eastAsia="zh-CN"/>
                    </w:rPr>
                    <w:t>)</w:t>
                  </w:r>
                </w:p>
              </w:tc>
              <w:tc>
                <w:tcPr>
                  <w:tcW w:w="3375" w:type="dxa"/>
                  <w:shd w:val="clear" w:color="auto" w:fill="auto"/>
                </w:tcPr>
                <w:p w14:paraId="0B93C688"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spellStart"/>
                  <w:r w:rsidRPr="002B73BB">
                    <w:rPr>
                      <w:rFonts w:ascii="Arial" w:eastAsia="Times New Roman" w:hAnsi="Arial"/>
                      <w:sz w:val="18"/>
                      <w:lang w:eastAsia="zh-CN"/>
                    </w:rPr>
                    <w:t>K</w:t>
                  </w:r>
                  <w:r w:rsidRPr="002B73BB">
                    <w:rPr>
                      <w:rFonts w:ascii="Arial" w:eastAsia="Times New Roman" w:hAnsi="Arial"/>
                      <w:sz w:val="18"/>
                      <w:vertAlign w:val="subscript"/>
                      <w:lang w:eastAsia="zh-CN"/>
                    </w:rPr>
                    <w:t>multi_SMTC</w:t>
                  </w:r>
                  <w:proofErr w:type="spellEnd"/>
                  <w:r w:rsidRPr="002B73BB">
                    <w:rPr>
                      <w:rFonts w:ascii="Arial" w:eastAsia="Times New Roman" w:hAnsi="Arial"/>
                      <w:sz w:val="18"/>
                      <w:lang w:eastAsia="zh-CN"/>
                    </w:rPr>
                    <w:t xml:space="preserve"> * MAX (800 </w:t>
                  </w:r>
                  <w:proofErr w:type="spellStart"/>
                  <w:r w:rsidRPr="002B73BB">
                    <w:rPr>
                      <w:rFonts w:ascii="Arial" w:eastAsia="Times New Roman" w:hAnsi="Arial"/>
                      <w:sz w:val="18"/>
                      <w:lang w:eastAsia="zh-CN"/>
                    </w:rPr>
                    <w:t>ms</w:t>
                  </w:r>
                  <w:proofErr w:type="spellEnd"/>
                  <w:r w:rsidRPr="002B73BB">
                    <w:rPr>
                      <w:rFonts w:ascii="Arial" w:eastAsia="Times New Roman" w:hAnsi="Arial"/>
                      <w:sz w:val="18"/>
                      <w:lang w:eastAsia="zh-CN"/>
                    </w:rPr>
                    <w:t>, 10 x T</w:t>
                  </w:r>
                  <w:r w:rsidRPr="002B73BB">
                    <w:rPr>
                      <w:rFonts w:ascii="Arial" w:eastAsia="Times New Roman" w:hAnsi="Arial"/>
                      <w:sz w:val="18"/>
                      <w:vertAlign w:val="subscript"/>
                      <w:lang w:eastAsia="zh-CN"/>
                    </w:rPr>
                    <w:t>SMTC</w:t>
                  </w:r>
                  <w:r w:rsidRPr="002B73BB">
                    <w:rPr>
                      <w:rFonts w:ascii="Arial" w:eastAsia="Times New Roman" w:hAnsi="Arial"/>
                      <w:sz w:val="18"/>
                      <w:lang w:eastAsia="zh-CN"/>
                    </w:rPr>
                    <w:t>)</w:t>
                  </w:r>
                </w:p>
              </w:tc>
            </w:tr>
            <w:tr w:rsidR="002B73BB" w:rsidRPr="002B73BB" w14:paraId="1183AF85" w14:textId="77777777" w:rsidTr="002B73BB">
              <w:trPr>
                <w:jc w:val="center"/>
              </w:trPr>
              <w:tc>
                <w:tcPr>
                  <w:tcW w:w="1616" w:type="dxa"/>
                  <w:shd w:val="clear" w:color="auto" w:fill="FFFF00"/>
                </w:tcPr>
                <w:p w14:paraId="483A36F7"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2B73BB">
                    <w:rPr>
                      <w:rFonts w:ascii="Arial" w:eastAsia="Times New Roman" w:hAnsi="Arial"/>
                      <w:sz w:val="18"/>
                      <w:lang w:eastAsia="ko-KR"/>
                    </w:rPr>
                    <w:t>&lt; -8</w:t>
                  </w:r>
                </w:p>
              </w:tc>
              <w:tc>
                <w:tcPr>
                  <w:tcW w:w="1837" w:type="dxa"/>
                  <w:shd w:val="clear" w:color="auto" w:fill="FFFF00"/>
                </w:tcPr>
                <w:p w14:paraId="7C5B7978"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2B73BB">
                    <w:rPr>
                      <w:rFonts w:ascii="Arial" w:eastAsia="Times New Roman" w:hAnsi="Arial"/>
                      <w:sz w:val="18"/>
                      <w:lang w:eastAsia="ko-KR"/>
                    </w:rPr>
                    <w:t>FR1</w:t>
                  </w:r>
                </w:p>
              </w:tc>
              <w:tc>
                <w:tcPr>
                  <w:tcW w:w="2801" w:type="dxa"/>
                  <w:shd w:val="clear" w:color="auto" w:fill="FFFF00"/>
                </w:tcPr>
                <w:p w14:paraId="5C4FE555"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2B73BB">
                    <w:rPr>
                      <w:rFonts w:ascii="Arial" w:eastAsia="Times New Roman" w:hAnsi="Arial"/>
                      <w:sz w:val="18"/>
                      <w:lang w:eastAsia="zh-CN"/>
                    </w:rPr>
                    <w:t>N/A</w:t>
                  </w:r>
                </w:p>
              </w:tc>
              <w:tc>
                <w:tcPr>
                  <w:tcW w:w="3375" w:type="dxa"/>
                  <w:shd w:val="clear" w:color="auto" w:fill="FFFF00"/>
                </w:tcPr>
                <w:p w14:paraId="001DC7B9" w14:textId="77777777" w:rsidR="002B73BB" w:rsidRPr="002B73BB" w:rsidRDefault="002B73BB" w:rsidP="002B73B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2B73BB">
                    <w:rPr>
                      <w:rFonts w:ascii="Arial" w:eastAsia="Times New Roman" w:hAnsi="Arial"/>
                      <w:sz w:val="18"/>
                      <w:lang w:eastAsia="zh-CN"/>
                    </w:rPr>
                    <w:t xml:space="preserve">k * 800 </w:t>
                  </w:r>
                  <w:proofErr w:type="spellStart"/>
                  <w:r w:rsidRPr="002B73BB">
                    <w:rPr>
                      <w:rFonts w:ascii="Arial" w:eastAsia="Times New Roman" w:hAnsi="Arial"/>
                      <w:sz w:val="18"/>
                      <w:lang w:eastAsia="zh-CN"/>
                    </w:rPr>
                    <w:t>ms</w:t>
                  </w:r>
                  <w:proofErr w:type="spellEnd"/>
                  <w:r w:rsidRPr="002B73BB" w:rsidDel="002C2AA4">
                    <w:rPr>
                      <w:rFonts w:ascii="Arial" w:eastAsia="Times New Roman" w:hAnsi="Arial"/>
                      <w:sz w:val="18"/>
                      <w:lang w:eastAsia="zh-CN"/>
                    </w:rPr>
                    <w:t xml:space="preserve"> </w:t>
                  </w:r>
                  <w:r w:rsidRPr="002B73BB">
                    <w:rPr>
                      <w:rFonts w:ascii="Arial" w:eastAsia="Times New Roman" w:hAnsi="Arial"/>
                      <w:sz w:val="18"/>
                      <w:vertAlign w:val="superscript"/>
                      <w:lang w:eastAsia="zh-CN"/>
                    </w:rPr>
                    <w:t>Note1, 3</w:t>
                  </w:r>
                </w:p>
              </w:tc>
            </w:tr>
            <w:tr w:rsidR="002B73BB" w:rsidRPr="002B73BB" w14:paraId="67E6CAE6" w14:textId="77777777" w:rsidTr="0064144E">
              <w:trPr>
                <w:jc w:val="center"/>
              </w:trPr>
              <w:tc>
                <w:tcPr>
                  <w:tcW w:w="9629" w:type="dxa"/>
                  <w:gridSpan w:val="4"/>
                </w:tcPr>
                <w:p w14:paraId="03F13459" w14:textId="77777777" w:rsidR="002B73BB" w:rsidRPr="002B73BB" w:rsidRDefault="002B73BB" w:rsidP="002B73BB">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2B73BB">
                    <w:rPr>
                      <w:rFonts w:ascii="Arial" w:eastAsia="Times New Roman" w:hAnsi="Arial"/>
                      <w:sz w:val="18"/>
                      <w:lang w:eastAsia="ko-KR"/>
                    </w:rPr>
                    <w:t>Note 1:</w:t>
                  </w:r>
                  <w:r w:rsidRPr="002B73BB">
                    <w:rPr>
                      <w:rFonts w:ascii="Arial" w:eastAsia="Times New Roman" w:hAnsi="Arial"/>
                      <w:sz w:val="18"/>
                      <w:lang w:eastAsia="en-GB"/>
                    </w:rPr>
                    <w:tab/>
                  </w:r>
                  <w:r w:rsidRPr="002B73BB">
                    <w:rPr>
                      <w:rFonts w:ascii="Arial" w:eastAsia="Times New Roman" w:hAnsi="Arial"/>
                      <w:sz w:val="18"/>
                      <w:shd w:val="clear" w:color="auto" w:fill="FFFF00"/>
                      <w:lang w:eastAsia="ko-KR"/>
                    </w:rPr>
                    <w:t>The UE is not required to successfully</w:t>
                  </w:r>
                  <w:r w:rsidRPr="002B73BB">
                    <w:rPr>
                      <w:rFonts w:ascii="Arial" w:eastAsia="Times New Roman" w:hAnsi="Arial"/>
                      <w:b/>
                      <w:bCs/>
                      <w:sz w:val="18"/>
                      <w:shd w:val="clear" w:color="auto" w:fill="FFFF00"/>
                      <w:lang w:eastAsia="en-GB"/>
                    </w:rPr>
                    <w:t xml:space="preserve"> </w:t>
                  </w:r>
                  <w:r w:rsidRPr="002B73BB">
                    <w:rPr>
                      <w:rFonts w:ascii="Arial" w:eastAsia="Times New Roman" w:hAnsi="Arial"/>
                      <w:sz w:val="18"/>
                      <w:shd w:val="clear" w:color="auto" w:fill="FFFF00"/>
                      <w:lang w:eastAsia="ko-KR"/>
                    </w:rPr>
                    <w:t>identify a cell on any NR frequency layer when T</w:t>
                  </w:r>
                  <w:r w:rsidRPr="002B73BB">
                    <w:rPr>
                      <w:rFonts w:ascii="Arial" w:eastAsia="Times New Roman" w:hAnsi="Arial"/>
                      <w:sz w:val="18"/>
                      <w:shd w:val="clear" w:color="auto" w:fill="FFFF00"/>
                      <w:vertAlign w:val="subscript"/>
                      <w:lang w:eastAsia="ko-KR"/>
                    </w:rPr>
                    <w:t>SMTC</w:t>
                  </w:r>
                  <w:r w:rsidRPr="002B73BB">
                    <w:rPr>
                      <w:rFonts w:ascii="Arial" w:eastAsia="Times New Roman" w:hAnsi="Arial"/>
                      <w:sz w:val="18"/>
                      <w:shd w:val="clear" w:color="auto" w:fill="FFFF00"/>
                      <w:lang w:eastAsia="ko-KR"/>
                    </w:rPr>
                    <w:t xml:space="preserve"> &gt; 20 </w:t>
                  </w:r>
                  <w:proofErr w:type="spellStart"/>
                  <w:r w:rsidRPr="002B73BB">
                    <w:rPr>
                      <w:rFonts w:ascii="Arial" w:eastAsia="Times New Roman" w:hAnsi="Arial"/>
                      <w:sz w:val="18"/>
                      <w:shd w:val="clear" w:color="auto" w:fill="FFFF00"/>
                      <w:lang w:eastAsia="ko-KR"/>
                    </w:rPr>
                    <w:t>ms</w:t>
                  </w:r>
                  <w:proofErr w:type="spellEnd"/>
                  <w:r w:rsidRPr="002B73BB">
                    <w:rPr>
                      <w:rFonts w:ascii="Arial" w:eastAsia="Times New Roman" w:hAnsi="Arial"/>
                      <w:sz w:val="18"/>
                      <w:shd w:val="clear" w:color="auto" w:fill="FFFF00"/>
                      <w:lang w:eastAsia="ko-KR"/>
                    </w:rPr>
                    <w:t xml:space="preserve"> and serving cell SSB </w:t>
                  </w:r>
                  <w:proofErr w:type="spellStart"/>
                  <w:r w:rsidRPr="002B73BB">
                    <w:rPr>
                      <w:rFonts w:ascii="Arial" w:eastAsia="Times New Roman" w:hAnsi="Arial"/>
                      <w:sz w:val="18"/>
                      <w:shd w:val="clear" w:color="auto" w:fill="FFFF00"/>
                      <w:lang w:eastAsia="ko-KR"/>
                    </w:rPr>
                    <w:t>Ês</w:t>
                  </w:r>
                  <w:proofErr w:type="spellEnd"/>
                  <w:r w:rsidRPr="002B73BB">
                    <w:rPr>
                      <w:rFonts w:ascii="Arial" w:eastAsia="Times New Roman" w:hAnsi="Arial"/>
                      <w:sz w:val="18"/>
                      <w:shd w:val="clear" w:color="auto" w:fill="FFFF00"/>
                      <w:lang w:eastAsia="ko-KR"/>
                    </w:rPr>
                    <w:t>/</w:t>
                  </w:r>
                  <w:proofErr w:type="spellStart"/>
                  <w:r w:rsidRPr="002B73BB">
                    <w:rPr>
                      <w:rFonts w:ascii="Arial" w:eastAsia="Times New Roman" w:hAnsi="Arial"/>
                      <w:sz w:val="18"/>
                      <w:shd w:val="clear" w:color="auto" w:fill="FFFF00"/>
                      <w:lang w:eastAsia="ko-KR"/>
                    </w:rPr>
                    <w:t>Iot</w:t>
                  </w:r>
                  <w:proofErr w:type="spellEnd"/>
                  <w:r w:rsidRPr="002B73BB">
                    <w:rPr>
                      <w:rFonts w:ascii="Arial" w:eastAsia="Times New Roman" w:hAnsi="Arial"/>
                      <w:sz w:val="18"/>
                      <w:shd w:val="clear" w:color="auto" w:fill="FFFF00"/>
                      <w:lang w:eastAsia="ko-KR"/>
                    </w:rPr>
                    <w:t xml:space="preserve"> &lt; -8 </w:t>
                  </w:r>
                  <w:proofErr w:type="spellStart"/>
                  <w:r w:rsidRPr="002B73BB">
                    <w:rPr>
                      <w:rFonts w:ascii="Arial" w:eastAsia="Times New Roman" w:hAnsi="Arial"/>
                      <w:sz w:val="18"/>
                      <w:shd w:val="clear" w:color="auto" w:fill="FFFF00"/>
                      <w:lang w:eastAsia="ko-KR"/>
                    </w:rPr>
                    <w:t>dB.</w:t>
                  </w:r>
                  <w:proofErr w:type="spellEnd"/>
                </w:p>
                <w:p w14:paraId="5771F08F" w14:textId="77777777" w:rsidR="002B73BB" w:rsidRPr="002B73BB" w:rsidRDefault="002B73BB" w:rsidP="002B73BB">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2B73BB">
                    <w:rPr>
                      <w:rFonts w:ascii="Arial" w:eastAsia="Times New Roman" w:hAnsi="Arial"/>
                      <w:sz w:val="18"/>
                      <w:lang w:eastAsia="ko-KR"/>
                    </w:rPr>
                    <w:t>Note 2:</w:t>
                  </w:r>
                  <w:r w:rsidRPr="002B73BB">
                    <w:rPr>
                      <w:rFonts w:ascii="Arial" w:eastAsia="Times New Roman" w:hAnsi="Arial"/>
                      <w:sz w:val="18"/>
                      <w:lang w:eastAsia="en-GB"/>
                    </w:rPr>
                    <w:tab/>
                  </w:r>
                  <w:proofErr w:type="spellStart"/>
                  <w:r w:rsidRPr="002B73BB">
                    <w:rPr>
                      <w:rFonts w:ascii="Arial" w:eastAsia="Times New Roman" w:hAnsi="Arial"/>
                      <w:sz w:val="18"/>
                      <w:lang w:eastAsia="zh-CN"/>
                    </w:rPr>
                    <w:t>K</w:t>
                  </w:r>
                  <w:r w:rsidRPr="002B73BB">
                    <w:rPr>
                      <w:rFonts w:ascii="Arial" w:eastAsia="Times New Roman" w:hAnsi="Arial"/>
                      <w:sz w:val="18"/>
                      <w:vertAlign w:val="subscript"/>
                      <w:lang w:eastAsia="zh-CN"/>
                    </w:rPr>
                    <w:t>multi_SMTC</w:t>
                  </w:r>
                  <w:proofErr w:type="spellEnd"/>
                  <w:r w:rsidRPr="002B73BB">
                    <w:rPr>
                      <w:rFonts w:ascii="Arial" w:eastAsia="Times New Roman" w:hAnsi="Arial"/>
                      <w:sz w:val="18"/>
                      <w:lang w:eastAsia="en-GB"/>
                    </w:rPr>
                    <w:t xml:space="preserve"> </w:t>
                  </w:r>
                  <w:r w:rsidRPr="002B73BB">
                    <w:rPr>
                      <w:rFonts w:ascii="Arial" w:eastAsia="Times New Roman" w:hAnsi="Arial"/>
                      <w:sz w:val="18"/>
                      <w:lang w:eastAsia="ko-KR"/>
                    </w:rPr>
                    <w:t>is defined in clause 9.2C.5.1.</w:t>
                  </w:r>
                </w:p>
                <w:p w14:paraId="4926931E" w14:textId="77777777" w:rsidR="002B73BB" w:rsidRPr="002B73BB" w:rsidRDefault="002B73BB" w:rsidP="002B73BB">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zh-CN"/>
                    </w:rPr>
                  </w:pPr>
                  <w:r w:rsidRPr="002B73BB">
                    <w:rPr>
                      <w:rFonts w:ascii="Arial" w:eastAsia="Times New Roman" w:hAnsi="Arial"/>
                      <w:sz w:val="18"/>
                      <w:lang w:eastAsia="ko-KR"/>
                    </w:rPr>
                    <w:t>Note 3:</w:t>
                  </w:r>
                  <w:r w:rsidRPr="002B73BB">
                    <w:rPr>
                      <w:rFonts w:ascii="Arial" w:eastAsia="Times New Roman" w:hAnsi="Arial"/>
                      <w:sz w:val="18"/>
                      <w:lang w:eastAsia="en-GB"/>
                    </w:rPr>
                    <w:tab/>
                  </w:r>
                  <w:r w:rsidRPr="002B73BB">
                    <w:rPr>
                      <w:rFonts w:ascii="Arial" w:eastAsia="Times New Roman" w:hAnsi="Arial"/>
                      <w:sz w:val="18"/>
                      <w:lang w:eastAsia="zh-CN"/>
                    </w:rPr>
                    <w:t>k</w:t>
                  </w:r>
                  <w:r w:rsidRPr="002B73BB">
                    <w:rPr>
                      <w:rFonts w:ascii="Arial" w:eastAsia="Times New Roman" w:hAnsi="Arial"/>
                      <w:sz w:val="18"/>
                      <w:lang w:eastAsia="en-GB"/>
                    </w:rPr>
                    <w:t xml:space="preserve"> = 1 </w:t>
                  </w:r>
                  <w:r w:rsidRPr="002B73BB">
                    <w:rPr>
                      <w:rFonts w:ascii="Arial" w:eastAsia="Times New Roman" w:hAnsi="Arial"/>
                      <w:sz w:val="18"/>
                      <w:lang w:eastAsia="ko-KR"/>
                    </w:rPr>
                    <w:t xml:space="preserve">if the cells on the target frequency are served by GEO. </w:t>
                  </w:r>
                  <w:r w:rsidRPr="002B73BB">
                    <w:rPr>
                      <w:rFonts w:ascii="Arial" w:eastAsia="Times New Roman" w:hAnsi="Arial"/>
                      <w:sz w:val="18"/>
                      <w:lang w:eastAsia="zh-CN"/>
                    </w:rPr>
                    <w:t>k</w:t>
                  </w:r>
                  <w:r w:rsidRPr="002B73BB">
                    <w:rPr>
                      <w:rFonts w:ascii="Arial" w:eastAsia="Times New Roman" w:hAnsi="Arial"/>
                      <w:sz w:val="18"/>
                      <w:lang w:eastAsia="en-GB"/>
                    </w:rPr>
                    <w:t xml:space="preserve"> = (N+1) </w:t>
                  </w:r>
                  <w:r w:rsidRPr="002B73BB">
                    <w:rPr>
                      <w:rFonts w:ascii="Arial" w:eastAsia="Times New Roman" w:hAnsi="Arial"/>
                      <w:sz w:val="18"/>
                      <w:lang w:eastAsia="ko-KR"/>
                    </w:rPr>
                    <w:t xml:space="preserve">if the cells on the target frequency are served by LEO, where N is the number of different satellites associated to the list of configured </w:t>
                  </w:r>
                  <w:proofErr w:type="spellStart"/>
                  <w:r w:rsidRPr="002B73BB">
                    <w:rPr>
                      <w:rFonts w:ascii="Arial" w:eastAsia="Times New Roman" w:hAnsi="Arial"/>
                      <w:sz w:val="18"/>
                      <w:lang w:eastAsia="ko-KR"/>
                    </w:rPr>
                    <w:t>neighbor</w:t>
                  </w:r>
                  <w:proofErr w:type="spellEnd"/>
                  <w:r w:rsidRPr="002B73BB">
                    <w:rPr>
                      <w:rFonts w:ascii="Arial" w:eastAsia="Times New Roman" w:hAnsi="Arial"/>
                      <w:sz w:val="18"/>
                      <w:lang w:eastAsia="ko-KR"/>
                    </w:rPr>
                    <w:t xml:space="preserve"> cells in </w:t>
                  </w:r>
                  <w:proofErr w:type="spellStart"/>
                  <w:r w:rsidRPr="002B73BB">
                    <w:rPr>
                      <w:rFonts w:ascii="Arial" w:eastAsia="Times New Roman" w:hAnsi="Arial"/>
                      <w:sz w:val="18"/>
                      <w:lang w:eastAsia="ko-KR"/>
                    </w:rPr>
                    <w:t>ntn-NeighCellConfigList</w:t>
                  </w:r>
                  <w:proofErr w:type="spellEnd"/>
                  <w:r w:rsidRPr="002B73BB">
                    <w:rPr>
                      <w:rFonts w:ascii="Arial" w:eastAsia="Times New Roman" w:hAnsi="Arial"/>
                      <w:sz w:val="18"/>
                      <w:lang w:eastAsia="ko-KR"/>
                    </w:rPr>
                    <w:t xml:space="preserve"> and </w:t>
                  </w:r>
                  <w:proofErr w:type="spellStart"/>
                  <w:r w:rsidRPr="002B73BB">
                    <w:rPr>
                      <w:rFonts w:ascii="Arial" w:eastAsia="Times New Roman" w:hAnsi="Arial"/>
                      <w:sz w:val="18"/>
                      <w:lang w:eastAsia="ko-KR"/>
                    </w:rPr>
                    <w:t>ntn-NeighCellConfigListExt</w:t>
                  </w:r>
                  <w:proofErr w:type="spellEnd"/>
                  <w:r w:rsidRPr="002B73BB">
                    <w:rPr>
                      <w:rFonts w:ascii="Arial" w:eastAsia="Times New Roman" w:hAnsi="Arial"/>
                      <w:sz w:val="18"/>
                      <w:lang w:eastAsia="ko-KR"/>
                    </w:rPr>
                    <w:t>.</w:t>
                  </w:r>
                </w:p>
              </w:tc>
            </w:tr>
          </w:tbl>
          <w:p w14:paraId="260ACC96" w14:textId="77777777" w:rsidR="002B73BB" w:rsidRPr="002B73BB" w:rsidRDefault="002B73BB" w:rsidP="002B73BB">
            <w:pPr>
              <w:spacing w:before="120" w:after="120"/>
              <w:rPr>
                <w:rFonts w:eastAsiaTheme="minorEastAsia"/>
                <w:lang w:eastAsia="zh-CN"/>
              </w:rPr>
            </w:pPr>
          </w:p>
        </w:tc>
      </w:tr>
    </w:tbl>
    <w:p w14:paraId="52542F53" w14:textId="6FF44E26" w:rsidR="00FE66ED" w:rsidRDefault="00A12882" w:rsidP="00A12882">
      <w:pPr>
        <w:spacing w:before="120" w:after="120"/>
        <w:rPr>
          <w:rFonts w:eastAsiaTheme="minorEastAsia"/>
          <w:lang w:eastAsia="zh-CN"/>
        </w:rPr>
      </w:pPr>
      <w:r>
        <w:rPr>
          <w:rFonts w:eastAsiaTheme="minorEastAsia"/>
          <w:lang w:eastAsia="zh-CN"/>
        </w:rPr>
        <w:t xml:space="preserve">It can be seen that for the case with </w:t>
      </w:r>
      <w:r w:rsidRPr="00A12882">
        <w:rPr>
          <w:rFonts w:eastAsiaTheme="minorEastAsia"/>
          <w:lang w:eastAsia="zh-CN"/>
        </w:rPr>
        <w:t xml:space="preserve">Serving cell SSB </w:t>
      </w:r>
      <w:proofErr w:type="spellStart"/>
      <w:r w:rsidRPr="00A12882">
        <w:rPr>
          <w:rFonts w:eastAsiaTheme="minorEastAsia"/>
          <w:lang w:eastAsia="zh-CN"/>
        </w:rPr>
        <w:t>Ês</w:t>
      </w:r>
      <w:proofErr w:type="spellEnd"/>
      <w:r w:rsidRPr="00A12882">
        <w:rPr>
          <w:rFonts w:eastAsiaTheme="minorEastAsia"/>
          <w:lang w:eastAsia="zh-CN"/>
        </w:rPr>
        <w:t>/</w:t>
      </w:r>
      <w:proofErr w:type="spellStart"/>
      <w:r w:rsidRPr="00A12882">
        <w:rPr>
          <w:rFonts w:eastAsiaTheme="minorEastAsia"/>
          <w:lang w:eastAsia="zh-CN"/>
        </w:rPr>
        <w:t>Iot</w:t>
      </w:r>
      <w:proofErr w:type="spellEnd"/>
      <w:r w:rsidRPr="00A12882">
        <w:rPr>
          <w:rFonts w:eastAsiaTheme="minorEastAsia"/>
          <w:lang w:eastAsia="zh-CN"/>
        </w:rPr>
        <w:t xml:space="preserve"> (dB)</w:t>
      </w:r>
      <w:r>
        <w:rPr>
          <w:rFonts w:eastAsiaTheme="minorEastAsia" w:hint="eastAsia"/>
          <w:lang w:eastAsia="zh-CN"/>
        </w:rPr>
        <w:t xml:space="preserve"> </w:t>
      </w:r>
      <w:r w:rsidRPr="00A12882">
        <w:rPr>
          <w:rFonts w:eastAsiaTheme="minorEastAsia"/>
          <w:lang w:eastAsia="zh-CN"/>
        </w:rPr>
        <w:t>&lt; -8</w:t>
      </w:r>
      <w:r>
        <w:rPr>
          <w:rFonts w:eastAsiaTheme="minorEastAsia"/>
          <w:lang w:eastAsia="zh-CN"/>
        </w:rPr>
        <w:t xml:space="preserve">, the delay requirements are not based on configured SMTC periodicity but a default SMTC periodicity of 20ms. </w:t>
      </w:r>
      <w:r w:rsidR="00FE66ED">
        <w:rPr>
          <w:rFonts w:eastAsiaTheme="minorEastAsia" w:hint="eastAsia"/>
          <w:lang w:eastAsia="zh-CN"/>
        </w:rPr>
        <w:t>W</w:t>
      </w:r>
      <w:r w:rsidR="00FE66ED">
        <w:rPr>
          <w:rFonts w:eastAsiaTheme="minorEastAsia"/>
          <w:lang w:eastAsia="zh-CN"/>
        </w:rPr>
        <w:t>hen the default SSB periodicity is extended beyond 20ms, the assumption of default SMTC periodicity of 20ms is not reasonable, and the delay requirements also needs to be redefined based on extended default SMTC periodicity.</w:t>
      </w:r>
    </w:p>
    <w:p w14:paraId="0A67041D" w14:textId="0C91D74B" w:rsidR="00116445" w:rsidRPr="00116445" w:rsidRDefault="00116445" w:rsidP="00A12882">
      <w:pPr>
        <w:spacing w:before="120" w:after="120"/>
        <w:rPr>
          <w:rFonts w:eastAsiaTheme="minorEastAsia"/>
          <w:b/>
          <w:lang w:eastAsia="zh-CN"/>
        </w:rPr>
      </w:pPr>
      <w:r w:rsidRPr="00116445">
        <w:rPr>
          <w:rFonts w:eastAsiaTheme="minorEastAsia" w:hint="eastAsia"/>
          <w:b/>
          <w:lang w:eastAsia="zh-CN"/>
        </w:rPr>
        <w:t>P</w:t>
      </w:r>
      <w:r w:rsidRPr="00116445">
        <w:rPr>
          <w:rFonts w:eastAsiaTheme="minorEastAsia"/>
          <w:b/>
          <w:lang w:eastAsia="zh-CN"/>
        </w:rPr>
        <w:t xml:space="preserve">roposal 1: For default SSB periodicity extension </w:t>
      </w:r>
      <w:r>
        <w:rPr>
          <w:rFonts w:eastAsiaTheme="minorEastAsia"/>
          <w:b/>
          <w:lang w:eastAsia="zh-CN"/>
        </w:rPr>
        <w:t>(no matter the maximum value is 160ms or 320ms)</w:t>
      </w:r>
      <w:r w:rsidRPr="00116445">
        <w:rPr>
          <w:rFonts w:eastAsiaTheme="minorEastAsia"/>
          <w:b/>
          <w:lang w:eastAsia="zh-CN"/>
        </w:rPr>
        <w:t xml:space="preserve">, RAN4 to define new RRC re-establishment requirements for the case with Serving cell SSB </w:t>
      </w:r>
      <w:proofErr w:type="spellStart"/>
      <w:r w:rsidRPr="00116445">
        <w:rPr>
          <w:rFonts w:eastAsiaTheme="minorEastAsia"/>
          <w:b/>
          <w:lang w:eastAsia="zh-CN"/>
        </w:rPr>
        <w:t>Ês</w:t>
      </w:r>
      <w:proofErr w:type="spellEnd"/>
      <w:r w:rsidRPr="00116445">
        <w:rPr>
          <w:rFonts w:eastAsiaTheme="minorEastAsia"/>
          <w:b/>
          <w:lang w:eastAsia="zh-CN"/>
        </w:rPr>
        <w:t>/</w:t>
      </w:r>
      <w:proofErr w:type="spellStart"/>
      <w:r w:rsidRPr="00116445">
        <w:rPr>
          <w:rFonts w:eastAsiaTheme="minorEastAsia"/>
          <w:b/>
          <w:lang w:eastAsia="zh-CN"/>
        </w:rPr>
        <w:t>Iot</w:t>
      </w:r>
      <w:proofErr w:type="spellEnd"/>
      <w:r w:rsidRPr="00116445">
        <w:rPr>
          <w:rFonts w:eastAsiaTheme="minorEastAsia"/>
          <w:b/>
          <w:lang w:eastAsia="zh-CN"/>
        </w:rPr>
        <w:t xml:space="preserve"> (dB)</w:t>
      </w:r>
      <w:r w:rsidRPr="00116445">
        <w:rPr>
          <w:rFonts w:eastAsiaTheme="minorEastAsia" w:hint="eastAsia"/>
          <w:b/>
          <w:lang w:eastAsia="zh-CN"/>
        </w:rPr>
        <w:t xml:space="preserve"> </w:t>
      </w:r>
      <w:r w:rsidRPr="00116445">
        <w:rPr>
          <w:rFonts w:eastAsiaTheme="minorEastAsia"/>
          <w:b/>
          <w:lang w:eastAsia="zh-CN"/>
        </w:rPr>
        <w:t>&lt; -8.</w:t>
      </w:r>
    </w:p>
    <w:p w14:paraId="5B7832A3" w14:textId="7DBAF296" w:rsidR="00116445" w:rsidRDefault="00116445" w:rsidP="002B73BB">
      <w:pPr>
        <w:spacing w:before="120" w:after="120"/>
        <w:rPr>
          <w:rFonts w:eastAsiaTheme="minorEastAsia"/>
          <w:lang w:eastAsia="zh-CN"/>
        </w:rPr>
      </w:pPr>
      <w:r>
        <w:rPr>
          <w:rFonts w:eastAsiaTheme="minorEastAsia"/>
          <w:lang w:eastAsia="zh-CN"/>
        </w:rPr>
        <w:t xml:space="preserve">If the default </w:t>
      </w:r>
      <w:r w:rsidR="002B73BB">
        <w:rPr>
          <w:rFonts w:eastAsiaTheme="minorEastAsia"/>
          <w:lang w:eastAsia="zh-CN"/>
        </w:rPr>
        <w:t xml:space="preserve">SSB </w:t>
      </w:r>
      <w:r w:rsidR="002B73BB" w:rsidRPr="00A2757D">
        <w:rPr>
          <w:rFonts w:eastAsiaTheme="minorEastAsia"/>
          <w:lang w:eastAsia="zh-CN"/>
        </w:rPr>
        <w:t xml:space="preserve">periodicity is extended </w:t>
      </w:r>
      <w:r>
        <w:rPr>
          <w:rFonts w:eastAsiaTheme="minorEastAsia"/>
          <w:lang w:eastAsia="zh-CN"/>
        </w:rPr>
        <w:t>to 320ms,</w:t>
      </w:r>
      <w:r w:rsidR="002B73BB">
        <w:rPr>
          <w:rFonts w:eastAsiaTheme="minorEastAsia"/>
          <w:lang w:eastAsia="zh-CN"/>
        </w:rPr>
        <w:t xml:space="preserve"> there</w:t>
      </w:r>
      <w:r w:rsidR="00C23B9B">
        <w:rPr>
          <w:rFonts w:eastAsiaTheme="minorEastAsia"/>
          <w:lang w:eastAsia="zh-CN"/>
        </w:rPr>
        <w:t xml:space="preserve"> would be</w:t>
      </w:r>
      <w:r w:rsidR="002B73BB">
        <w:rPr>
          <w:rFonts w:eastAsiaTheme="minorEastAsia"/>
          <w:lang w:eastAsia="zh-CN"/>
        </w:rPr>
        <w:t xml:space="preserve"> other RRM impacts.</w:t>
      </w:r>
      <w:r w:rsidR="00C57C78">
        <w:rPr>
          <w:rFonts w:eastAsiaTheme="minorEastAsia"/>
          <w:lang w:eastAsia="zh-CN"/>
        </w:rPr>
        <w:t xml:space="preserve"> </w:t>
      </w:r>
      <w:r w:rsidR="00C536D4">
        <w:rPr>
          <w:rFonts w:eastAsiaTheme="minorEastAsia"/>
          <w:lang w:eastAsia="zh-CN"/>
        </w:rPr>
        <w:t xml:space="preserve">Below are the impacts we identified. </w:t>
      </w:r>
      <w:r w:rsidR="002B73BB">
        <w:rPr>
          <w:rFonts w:eastAsiaTheme="minorEastAsia"/>
          <w:lang w:eastAsia="zh-CN"/>
        </w:rPr>
        <w:t xml:space="preserve"> </w:t>
      </w:r>
    </w:p>
    <w:p w14:paraId="43D9E373" w14:textId="0F0A1BD6" w:rsidR="002B73BB" w:rsidRPr="005C33C3" w:rsidRDefault="005C33C3" w:rsidP="005C33C3">
      <w:pPr>
        <w:pStyle w:val="afe"/>
        <w:numPr>
          <w:ilvl w:val="0"/>
          <w:numId w:val="30"/>
        </w:numPr>
        <w:spacing w:before="120" w:after="120"/>
        <w:rPr>
          <w:rFonts w:eastAsiaTheme="minorEastAsia"/>
          <w:lang w:eastAsia="zh-CN"/>
        </w:rPr>
      </w:pPr>
      <w:r w:rsidRPr="005C33C3">
        <w:rPr>
          <w:rFonts w:eastAsiaTheme="minorEastAsia"/>
          <w:lang w:eastAsia="zh-CN"/>
        </w:rPr>
        <w:t xml:space="preserve">The </w:t>
      </w:r>
      <w:r w:rsidR="002B73BB" w:rsidRPr="005C33C3">
        <w:rPr>
          <w:rFonts w:eastAsiaTheme="minorEastAsia"/>
          <w:lang w:eastAsia="zh-CN"/>
        </w:rPr>
        <w:t>timing accuracy requirements (</w:t>
      </w:r>
      <w:proofErr w:type="spellStart"/>
      <w:r w:rsidR="002B73BB" w:rsidRPr="005C33C3">
        <w:rPr>
          <w:rFonts w:eastAsiaTheme="minorEastAsia" w:hint="eastAsia"/>
          <w:lang w:eastAsia="zh-CN"/>
        </w:rPr>
        <w:t>T</w:t>
      </w:r>
      <w:r w:rsidR="002B73BB" w:rsidRPr="005C33C3">
        <w:rPr>
          <w:rFonts w:eastAsiaTheme="minorEastAsia"/>
          <w:lang w:eastAsia="zh-CN"/>
        </w:rPr>
        <w:t>e</w:t>
      </w:r>
      <w:proofErr w:type="spellEnd"/>
      <w:r w:rsidR="002B73BB" w:rsidRPr="005C33C3">
        <w:rPr>
          <w:rFonts w:eastAsiaTheme="minorEastAsia"/>
          <w:lang w:eastAsia="zh-CN"/>
        </w:rPr>
        <w:t>) are defined based on the assumption that SSB is available at least every 160ms, and RAN4 needs to discuss whether the current requirements apply with 320ms</w:t>
      </w:r>
      <w:r>
        <w:rPr>
          <w:rFonts w:eastAsiaTheme="minorEastAsia"/>
          <w:lang w:eastAsia="zh-CN"/>
        </w:rPr>
        <w:t xml:space="preserve">, or some relaxation is needed considering </w:t>
      </w:r>
      <w:r w:rsidR="00613101">
        <w:rPr>
          <w:rFonts w:eastAsiaTheme="minorEastAsia"/>
          <w:lang w:eastAsia="zh-CN"/>
        </w:rPr>
        <w:t>timing drift due to frequency error.</w:t>
      </w:r>
    </w:p>
    <w:tbl>
      <w:tblPr>
        <w:tblStyle w:val="afa"/>
        <w:tblW w:w="0" w:type="auto"/>
        <w:tblLook w:val="04A0" w:firstRow="1" w:lastRow="0" w:firstColumn="1" w:lastColumn="0" w:noHBand="0" w:noVBand="1"/>
      </w:tblPr>
      <w:tblGrid>
        <w:gridCol w:w="9621"/>
      </w:tblGrid>
      <w:tr w:rsidR="005C33C3" w14:paraId="2B6105B6" w14:textId="77777777" w:rsidTr="005C33C3">
        <w:tc>
          <w:tcPr>
            <w:tcW w:w="9621" w:type="dxa"/>
          </w:tcPr>
          <w:p w14:paraId="2C35EA0F" w14:textId="68584A39" w:rsidR="005C33C3" w:rsidRPr="005C33C3" w:rsidRDefault="005C33C3" w:rsidP="005C33C3">
            <w:pPr>
              <w:overflowPunct w:val="0"/>
              <w:autoSpaceDE w:val="0"/>
              <w:autoSpaceDN w:val="0"/>
              <w:adjustRightInd w:val="0"/>
              <w:spacing w:beforeLines="0" w:before="0" w:afterLines="0" w:after="180"/>
              <w:textAlignment w:val="baseline"/>
              <w:rPr>
                <w:rFonts w:eastAsia="宋体" w:cs="v4.2.0"/>
                <w:sz w:val="20"/>
                <w:lang w:eastAsia="en-GB"/>
              </w:rPr>
            </w:pPr>
            <w:r w:rsidRPr="005C33C3">
              <w:rPr>
                <w:rFonts w:eastAsia="宋体" w:cs="v4.2.0"/>
                <w:sz w:val="20"/>
                <w:highlight w:val="yellow"/>
                <w:lang w:eastAsia="en-GB"/>
              </w:rPr>
              <w:t xml:space="preserve">The UE shall meet the </w:t>
            </w:r>
            <w:proofErr w:type="spellStart"/>
            <w:r w:rsidRPr="005C33C3">
              <w:rPr>
                <w:rFonts w:eastAsia="宋体" w:cs="v4.2.0"/>
                <w:sz w:val="20"/>
                <w:highlight w:val="yellow"/>
                <w:lang w:eastAsia="en-GB"/>
              </w:rPr>
              <w:t>T</w:t>
            </w:r>
            <w:r w:rsidRPr="005C33C3">
              <w:rPr>
                <w:rFonts w:eastAsia="宋体" w:cs="v4.2.0"/>
                <w:sz w:val="20"/>
                <w:highlight w:val="yellow"/>
                <w:vertAlign w:val="subscript"/>
                <w:lang w:eastAsia="en-GB"/>
              </w:rPr>
              <w:t>e_NTN</w:t>
            </w:r>
            <w:proofErr w:type="spellEnd"/>
            <w:r w:rsidRPr="005C33C3">
              <w:rPr>
                <w:rFonts w:eastAsia="宋体" w:cs="v4.2.0"/>
                <w:sz w:val="20"/>
                <w:highlight w:val="yellow"/>
                <w:lang w:eastAsia="en-GB"/>
              </w:rPr>
              <w:t xml:space="preserve"> requirement for an initial transmission provided that at least one SSB is available at the UE during the last 160 </w:t>
            </w:r>
            <w:proofErr w:type="spellStart"/>
            <w:r w:rsidRPr="005C33C3">
              <w:rPr>
                <w:rFonts w:eastAsia="宋体" w:cs="v4.2.0"/>
                <w:sz w:val="20"/>
                <w:highlight w:val="yellow"/>
                <w:lang w:eastAsia="en-GB"/>
              </w:rPr>
              <w:t>ms</w:t>
            </w:r>
            <w:proofErr w:type="spellEnd"/>
            <w:r w:rsidRPr="005C33C3">
              <w:rPr>
                <w:rFonts w:eastAsia="宋体" w:cs="v4.2.0"/>
                <w:sz w:val="20"/>
                <w:highlight w:val="yellow"/>
                <w:lang w:eastAsia="en-GB"/>
              </w:rPr>
              <w:t>.</w:t>
            </w:r>
            <w:r w:rsidRPr="005C33C3">
              <w:rPr>
                <w:rFonts w:eastAsia="Times New Roman" w:cs="v4.2.0"/>
                <w:sz w:val="20"/>
                <w:lang w:eastAsia="en-GB"/>
              </w:rPr>
              <w:t xml:space="preserve"> </w:t>
            </w:r>
            <w:r w:rsidRPr="005C33C3">
              <w:rPr>
                <w:rFonts w:eastAsia="宋体" w:cs="v4.2.0"/>
                <w:sz w:val="20"/>
                <w:lang w:eastAsia="en-GB"/>
              </w:rPr>
              <w:t xml:space="preserve">The reference point for the UE initial transmit timing control requirement shall be the downlink timing of the reference cell minus </w:t>
            </w:r>
            <m:oMath>
              <m:d>
                <m:dPr>
                  <m:ctrlPr>
                    <w:rPr>
                      <w:rFonts w:ascii="Cambria Math" w:eastAsia="Calibri" w:hAnsi="Cambria Math"/>
                      <w:i/>
                      <w:kern w:val="2"/>
                      <w:szCs w:val="22"/>
                      <w:lang w:eastAsia="en-GB"/>
                      <w14:ligatures w14:val="standardContextual"/>
                    </w:rPr>
                  </m:ctrlPr>
                </m:dPr>
                <m:e>
                  <m:sSub>
                    <m:sSubPr>
                      <m:ctrlPr>
                        <w:rPr>
                          <w:rFonts w:ascii="Cambria Math" w:eastAsia="Calibri" w:hAnsi="Cambria Math"/>
                          <w:i/>
                          <w:kern w:val="2"/>
                          <w:szCs w:val="22"/>
                          <w:lang w:eastAsia="en-GB"/>
                          <w14:ligatures w14:val="standardContextual"/>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m:t>
                      </m:r>
                    </m:sub>
                  </m:sSub>
                  <m:r>
                    <w:rPr>
                      <w:rFonts w:ascii="Cambria Math" w:eastAsia="Times New Roman" w:hAnsi="Cambria Math"/>
                      <w:sz w:val="20"/>
                      <w:lang w:val="en-US" w:eastAsia="en-GB"/>
                    </w:rPr>
                    <m:t>+</m:t>
                  </m:r>
                  <m:sSub>
                    <m:sSubPr>
                      <m:ctrlPr>
                        <w:rPr>
                          <w:rFonts w:ascii="Cambria Math" w:eastAsia="Calibri" w:hAnsi="Cambria Math"/>
                          <w:i/>
                          <w:kern w:val="2"/>
                          <w:szCs w:val="22"/>
                          <w:lang w:eastAsia="en-GB"/>
                          <w14:ligatures w14:val="standardContextual"/>
                        </w:rPr>
                      </m:ctrlPr>
                    </m:sSub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TA-offset</m:t>
                      </m:r>
                    </m:sub>
                  </m:sSub>
                  <m:r>
                    <w:rPr>
                      <w:rFonts w:ascii="Cambria Math" w:eastAsia="Times New Roman" w:hAnsi="Cambria Math"/>
                      <w:sz w:val="20"/>
                      <w:lang w:val="en-US" w:eastAsia="en-GB"/>
                    </w:rPr>
                    <m:t>+</m:t>
                  </m:r>
                  <m:sSubSup>
                    <m:sSubSupPr>
                      <m:ctrlPr>
                        <w:rPr>
                          <w:rFonts w:ascii="Cambria Math" w:eastAsia="Calibri" w:hAnsi="Cambria Math"/>
                          <w:i/>
                          <w:kern w:val="2"/>
                          <w:szCs w:val="22"/>
                          <w:lang w:eastAsia="en-GB"/>
                          <w14:ligatures w14:val="standardContextual"/>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common</m:t>
                      </m:r>
                    </m:sup>
                  </m:sSubSup>
                  <m:r>
                    <w:rPr>
                      <w:rFonts w:ascii="Cambria Math" w:eastAsia="Times New Roman" w:hAnsi="Cambria Math"/>
                      <w:sz w:val="20"/>
                      <w:lang w:val="en-US" w:eastAsia="en-GB"/>
                    </w:rPr>
                    <m:t>+</m:t>
                  </m:r>
                  <m:sSubSup>
                    <m:sSubSupPr>
                      <m:ctrlPr>
                        <w:rPr>
                          <w:rFonts w:ascii="Cambria Math" w:eastAsia="Calibri" w:hAnsi="Cambria Math"/>
                          <w:i/>
                          <w:kern w:val="2"/>
                          <w:szCs w:val="22"/>
                          <w:lang w:eastAsia="en-GB"/>
                          <w14:ligatures w14:val="standardContextual"/>
                        </w:rPr>
                      </m:ctrlPr>
                    </m:sSubSupPr>
                    <m:e>
                      <m:r>
                        <w:rPr>
                          <w:rFonts w:ascii="Cambria Math" w:eastAsia="Times New Roman" w:hAnsi="Cambria Math"/>
                          <w:sz w:val="20"/>
                          <w:lang w:eastAsia="en-GB"/>
                        </w:rPr>
                        <m:t>N</m:t>
                      </m:r>
                    </m:e>
                    <m:sub>
                      <m:r>
                        <m:rPr>
                          <m:nor/>
                        </m:rPr>
                        <w:rPr>
                          <w:rFonts w:ascii="Cambria Math" w:eastAsia="Times New Roman" w:hAnsi="Cambria Math"/>
                          <w:sz w:val="20"/>
                          <w:lang w:val="en-US" w:eastAsia="en-GB"/>
                        </w:rPr>
                        <m:t>TA,adj</m:t>
                      </m:r>
                    </m:sub>
                    <m:sup>
                      <m:r>
                        <m:rPr>
                          <m:nor/>
                        </m:rPr>
                        <w:rPr>
                          <w:rFonts w:ascii="Cambria Math" w:eastAsia="Times New Roman" w:hAnsi="Cambria Math"/>
                          <w:sz w:val="20"/>
                          <w:lang w:val="en-US" w:eastAsia="en-GB"/>
                        </w:rPr>
                        <m:t>UE</m:t>
                      </m:r>
                    </m:sup>
                  </m:sSubSup>
                </m:e>
              </m:d>
              <m:r>
                <w:rPr>
                  <w:rFonts w:ascii="Cambria Math" w:eastAsia="Times New Roman" w:hAnsi="Cambria Math"/>
                  <w:sz w:val="20"/>
                  <w:lang w:eastAsia="ko-KR"/>
                </w:rPr>
                <m:t>×</m:t>
              </m:r>
              <m:sSub>
                <m:sSubPr>
                  <m:ctrlPr>
                    <w:rPr>
                      <w:rFonts w:ascii="Cambria Math" w:eastAsia="Calibri" w:hAnsi="Cambria Math"/>
                      <w:i/>
                      <w:kern w:val="2"/>
                      <w:szCs w:val="22"/>
                      <w:lang w:eastAsia="en-GB"/>
                      <w14:ligatures w14:val="standardContextual"/>
                    </w:rPr>
                  </m:ctrlPr>
                </m:sSubPr>
                <m:e>
                  <m:r>
                    <w:rPr>
                      <w:rFonts w:ascii="Cambria Math" w:eastAsia="Times New Roman" w:hAnsi="Cambria Math"/>
                      <w:sz w:val="20"/>
                      <w:lang w:eastAsia="en-GB"/>
                    </w:rPr>
                    <m:t>T</m:t>
                  </m:r>
                </m:e>
                <m:sub>
                  <m:r>
                    <m:rPr>
                      <m:nor/>
                    </m:rPr>
                    <w:rPr>
                      <w:rFonts w:ascii="Cambria Math" w:eastAsia="Times New Roman" w:hAnsi="Cambria Math"/>
                      <w:sz w:val="20"/>
                      <w:lang w:val="en-US" w:eastAsia="en-GB"/>
                    </w:rPr>
                    <m:t>c</m:t>
                  </m:r>
                </m:sub>
              </m:sSub>
            </m:oMath>
            <w:r w:rsidRPr="005C33C3">
              <w:rPr>
                <w:rFonts w:eastAsia="宋体" w:cs="v4.2.0"/>
                <w:sz w:val="20"/>
                <w:lang w:eastAsia="en-GB"/>
              </w:rPr>
              <w:t>.</w:t>
            </w:r>
          </w:p>
        </w:tc>
      </w:tr>
    </w:tbl>
    <w:p w14:paraId="6BD9568D" w14:textId="266B5941" w:rsidR="005C33C3" w:rsidRPr="005C33C3" w:rsidRDefault="005C33C3" w:rsidP="005C33C3">
      <w:pPr>
        <w:pStyle w:val="afe"/>
        <w:numPr>
          <w:ilvl w:val="0"/>
          <w:numId w:val="30"/>
        </w:numPr>
        <w:spacing w:before="120" w:after="120"/>
        <w:rPr>
          <w:rFonts w:eastAsiaTheme="minorEastAsia"/>
          <w:lang w:eastAsia="zh-CN"/>
        </w:rPr>
      </w:pPr>
      <w:r w:rsidRPr="005C33C3">
        <w:rPr>
          <w:rFonts w:eastAsiaTheme="minorEastAsia"/>
          <w:lang w:eastAsia="zh-CN"/>
        </w:rPr>
        <w:t xml:space="preserve">Another impacted requirement is the MG </w:t>
      </w:r>
      <w:r w:rsidR="00E97DAB">
        <w:rPr>
          <w:rFonts w:eastAsiaTheme="minorEastAsia"/>
          <w:lang w:eastAsia="zh-CN"/>
        </w:rPr>
        <w:t>related</w:t>
      </w:r>
      <w:r w:rsidRPr="005C33C3">
        <w:rPr>
          <w:rFonts w:eastAsiaTheme="minorEastAsia"/>
          <w:lang w:eastAsia="zh-CN"/>
        </w:rPr>
        <w:t xml:space="preserve"> if MGRP would be extended 320ms. </w:t>
      </w:r>
      <w:r>
        <w:rPr>
          <w:rFonts w:eastAsiaTheme="minorEastAsia"/>
          <w:lang w:eastAsia="zh-CN"/>
        </w:rPr>
        <w:t>The existing requirements are defined based on the assumption of maximum MGRP = 160ms.</w:t>
      </w:r>
      <w:r w:rsidR="00E97DAB">
        <w:rPr>
          <w:rFonts w:eastAsiaTheme="minorEastAsia"/>
          <w:lang w:eastAsia="zh-CN"/>
        </w:rPr>
        <w:t xml:space="preserve"> Additional MG pattern needs to be added, and the MG sharing rule may need to be revisited.</w:t>
      </w:r>
    </w:p>
    <w:tbl>
      <w:tblPr>
        <w:tblStyle w:val="afa"/>
        <w:tblW w:w="0" w:type="auto"/>
        <w:tblLook w:val="04A0" w:firstRow="1" w:lastRow="0" w:firstColumn="1" w:lastColumn="0" w:noHBand="0" w:noVBand="1"/>
      </w:tblPr>
      <w:tblGrid>
        <w:gridCol w:w="9621"/>
      </w:tblGrid>
      <w:tr w:rsidR="005C33C3" w14:paraId="44B526A7" w14:textId="77777777" w:rsidTr="005C33C3">
        <w:tc>
          <w:tcPr>
            <w:tcW w:w="9621" w:type="dxa"/>
          </w:tcPr>
          <w:p w14:paraId="2C780639" w14:textId="77777777" w:rsidR="00146E46" w:rsidRPr="00146E46" w:rsidRDefault="00146E46" w:rsidP="00146E46">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146E46">
              <w:rPr>
                <w:rFonts w:ascii="Arial" w:eastAsia="Times New Roman" w:hAnsi="Arial"/>
                <w:b/>
                <w:sz w:val="20"/>
                <w:lang w:eastAsia="en-GB"/>
              </w:rPr>
              <w:lastRenderedPageBreak/>
              <w:t>Table 9.1C.2-1: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734"/>
              <w:gridCol w:w="1704"/>
            </w:tblGrid>
            <w:tr w:rsidR="00146E46" w:rsidRPr="00146E46" w14:paraId="2592CCDB"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13938E0E"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146E46">
                    <w:rPr>
                      <w:rFonts w:ascii="Arial" w:eastAsia="Times New Roman" w:hAnsi="Arial"/>
                      <w:b/>
                      <w:sz w:val="18"/>
                      <w:lang w:eastAsia="en-GB"/>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1EBD5E4B"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146E46">
                    <w:rPr>
                      <w:rFonts w:ascii="Arial" w:eastAsia="Times New Roman" w:hAnsi="Arial"/>
                      <w:b/>
                      <w:sz w:val="18"/>
                      <w:lang w:eastAsia="zh-CN"/>
                    </w:rPr>
                    <w:t xml:space="preserve">Measurement </w:t>
                  </w:r>
                  <w:r w:rsidRPr="00146E46">
                    <w:rPr>
                      <w:rFonts w:ascii="Arial" w:eastAsia="Times New Roman" w:hAnsi="Arial"/>
                      <w:b/>
                      <w:sz w:val="18"/>
                      <w:lang w:eastAsia="en-GB"/>
                    </w:rPr>
                    <w:t xml:space="preserve">Gap Length (MGL, </w:t>
                  </w:r>
                  <w:proofErr w:type="spellStart"/>
                  <w:r w:rsidRPr="00146E46">
                    <w:rPr>
                      <w:rFonts w:ascii="Arial" w:eastAsia="Times New Roman" w:hAnsi="Arial"/>
                      <w:b/>
                      <w:sz w:val="18"/>
                      <w:lang w:eastAsia="en-GB"/>
                    </w:rPr>
                    <w:t>ms</w:t>
                  </w:r>
                  <w:proofErr w:type="spellEnd"/>
                  <w:r w:rsidRPr="00146E46">
                    <w:rPr>
                      <w:rFonts w:ascii="Arial" w:eastAsia="Times New Roman" w:hAnsi="Arial"/>
                      <w:b/>
                      <w:sz w:val="18"/>
                      <w:lang w:eastAsia="en-GB"/>
                    </w:rPr>
                    <w:t>)</w:t>
                  </w:r>
                </w:p>
              </w:tc>
              <w:tc>
                <w:tcPr>
                  <w:tcW w:w="1801" w:type="pct"/>
                  <w:tcBorders>
                    <w:top w:val="single" w:sz="4" w:space="0" w:color="auto"/>
                    <w:left w:val="single" w:sz="4" w:space="0" w:color="auto"/>
                    <w:bottom w:val="single" w:sz="4" w:space="0" w:color="auto"/>
                    <w:right w:val="single" w:sz="4" w:space="0" w:color="auto"/>
                  </w:tcBorders>
                  <w:hideMark/>
                </w:tcPr>
                <w:p w14:paraId="61D7275B"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146E46">
                    <w:rPr>
                      <w:rFonts w:ascii="Arial" w:eastAsia="Times New Roman" w:hAnsi="Arial"/>
                      <w:b/>
                      <w:sz w:val="18"/>
                      <w:lang w:eastAsia="zh-CN"/>
                    </w:rPr>
                    <w:t>Measurement</w:t>
                  </w:r>
                  <w:r w:rsidRPr="00146E46">
                    <w:rPr>
                      <w:rFonts w:ascii="Arial" w:eastAsia="Times New Roman" w:hAnsi="Arial"/>
                      <w:b/>
                      <w:sz w:val="18"/>
                      <w:lang w:eastAsia="en-GB"/>
                    </w:rPr>
                    <w:t xml:space="preserve"> Gap Repetition Period</w:t>
                  </w:r>
                </w:p>
                <w:p w14:paraId="160DAC2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146E46">
                    <w:rPr>
                      <w:rFonts w:ascii="Arial" w:eastAsia="Times New Roman" w:hAnsi="Arial"/>
                      <w:b/>
                      <w:sz w:val="18"/>
                      <w:lang w:eastAsia="en-GB"/>
                    </w:rPr>
                    <w:t xml:space="preserve">(MGRP, </w:t>
                  </w:r>
                  <w:proofErr w:type="spellStart"/>
                  <w:r w:rsidRPr="00146E46">
                    <w:rPr>
                      <w:rFonts w:ascii="Arial" w:eastAsia="Times New Roman" w:hAnsi="Arial"/>
                      <w:b/>
                      <w:sz w:val="18"/>
                      <w:lang w:eastAsia="en-GB"/>
                    </w:rPr>
                    <w:t>ms</w:t>
                  </w:r>
                  <w:proofErr w:type="spellEnd"/>
                  <w:r w:rsidRPr="00146E46">
                    <w:rPr>
                      <w:rFonts w:ascii="Arial" w:eastAsia="Times New Roman" w:hAnsi="Arial"/>
                      <w:b/>
                      <w:sz w:val="18"/>
                      <w:lang w:eastAsia="en-GB"/>
                    </w:rPr>
                    <w:t>)</w:t>
                  </w:r>
                </w:p>
              </w:tc>
            </w:tr>
            <w:tr w:rsidR="00146E46" w:rsidRPr="00146E46" w14:paraId="72663299"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BC9C23B"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en-GB"/>
                    </w:rPr>
                    <w:t>0</w:t>
                  </w:r>
                </w:p>
              </w:tc>
              <w:tc>
                <w:tcPr>
                  <w:tcW w:w="1832" w:type="pct"/>
                  <w:tcBorders>
                    <w:top w:val="single" w:sz="4" w:space="0" w:color="auto"/>
                    <w:left w:val="single" w:sz="4" w:space="0" w:color="auto"/>
                    <w:bottom w:val="single" w:sz="4" w:space="0" w:color="auto"/>
                    <w:right w:val="single" w:sz="4" w:space="0" w:color="auto"/>
                  </w:tcBorders>
                  <w:hideMark/>
                </w:tcPr>
                <w:p w14:paraId="562D0EA6"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en-GB"/>
                    </w:rPr>
                    <w:t>6</w:t>
                  </w:r>
                </w:p>
              </w:tc>
              <w:tc>
                <w:tcPr>
                  <w:tcW w:w="1801" w:type="pct"/>
                  <w:tcBorders>
                    <w:top w:val="single" w:sz="4" w:space="0" w:color="auto"/>
                    <w:left w:val="single" w:sz="4" w:space="0" w:color="auto"/>
                    <w:bottom w:val="single" w:sz="4" w:space="0" w:color="auto"/>
                    <w:right w:val="single" w:sz="4" w:space="0" w:color="auto"/>
                  </w:tcBorders>
                  <w:hideMark/>
                </w:tcPr>
                <w:p w14:paraId="1997DF82"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en-GB"/>
                    </w:rPr>
                    <w:t>40</w:t>
                  </w:r>
                </w:p>
              </w:tc>
            </w:tr>
            <w:tr w:rsidR="00146E46" w:rsidRPr="00146E46" w14:paraId="40593ADC"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5B01682"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en-GB"/>
                    </w:rPr>
                    <w:t>1</w:t>
                  </w:r>
                </w:p>
              </w:tc>
              <w:tc>
                <w:tcPr>
                  <w:tcW w:w="1832" w:type="pct"/>
                  <w:tcBorders>
                    <w:top w:val="single" w:sz="4" w:space="0" w:color="auto"/>
                    <w:left w:val="single" w:sz="4" w:space="0" w:color="auto"/>
                    <w:bottom w:val="single" w:sz="4" w:space="0" w:color="auto"/>
                    <w:right w:val="single" w:sz="4" w:space="0" w:color="auto"/>
                  </w:tcBorders>
                  <w:hideMark/>
                </w:tcPr>
                <w:p w14:paraId="5F5C6E0A"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en-GB"/>
                    </w:rPr>
                    <w:t>6</w:t>
                  </w:r>
                </w:p>
              </w:tc>
              <w:tc>
                <w:tcPr>
                  <w:tcW w:w="1801" w:type="pct"/>
                  <w:tcBorders>
                    <w:top w:val="single" w:sz="4" w:space="0" w:color="auto"/>
                    <w:left w:val="single" w:sz="4" w:space="0" w:color="auto"/>
                    <w:bottom w:val="single" w:sz="4" w:space="0" w:color="auto"/>
                    <w:right w:val="single" w:sz="4" w:space="0" w:color="auto"/>
                  </w:tcBorders>
                  <w:hideMark/>
                </w:tcPr>
                <w:p w14:paraId="77F6564A"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en-GB"/>
                    </w:rPr>
                    <w:t>80</w:t>
                  </w:r>
                </w:p>
              </w:tc>
            </w:tr>
            <w:tr w:rsidR="00146E46" w:rsidRPr="00146E46" w14:paraId="4BA47CCA"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A33EC01"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4F1B348"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7777D7F3"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ko-KR"/>
                    </w:rPr>
                    <w:t>40</w:t>
                  </w:r>
                </w:p>
              </w:tc>
            </w:tr>
            <w:tr w:rsidR="00146E46" w:rsidRPr="00146E46" w14:paraId="0AA48CE8"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0542070"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66D0E01"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10BF0160"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146E46">
                    <w:rPr>
                      <w:rFonts w:ascii="Arial" w:eastAsia="Times New Roman" w:hAnsi="Arial"/>
                      <w:snapToGrid w:val="0"/>
                      <w:sz w:val="18"/>
                      <w:lang w:eastAsia="ko-KR"/>
                    </w:rPr>
                    <w:t>80</w:t>
                  </w:r>
                </w:p>
              </w:tc>
            </w:tr>
            <w:tr w:rsidR="00146E46" w:rsidRPr="00146E46" w14:paraId="577E9200"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65BE4944"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00D9D41"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6</w:t>
                  </w:r>
                </w:p>
              </w:tc>
              <w:tc>
                <w:tcPr>
                  <w:tcW w:w="1801" w:type="pct"/>
                  <w:tcBorders>
                    <w:top w:val="single" w:sz="4" w:space="0" w:color="auto"/>
                    <w:left w:val="single" w:sz="4" w:space="0" w:color="auto"/>
                    <w:bottom w:val="single" w:sz="4" w:space="0" w:color="auto"/>
                    <w:right w:val="single" w:sz="4" w:space="0" w:color="auto"/>
                  </w:tcBorders>
                  <w:hideMark/>
                </w:tcPr>
                <w:p w14:paraId="3556A181"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20</w:t>
                  </w:r>
                </w:p>
              </w:tc>
            </w:tr>
            <w:tr w:rsidR="00146E46" w:rsidRPr="00146E46" w14:paraId="54D35929"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DB3F66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C0160B4"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6</w:t>
                  </w:r>
                </w:p>
              </w:tc>
              <w:tc>
                <w:tcPr>
                  <w:tcW w:w="1801" w:type="pct"/>
                  <w:tcBorders>
                    <w:top w:val="single" w:sz="4" w:space="0" w:color="auto"/>
                    <w:left w:val="single" w:sz="4" w:space="0" w:color="auto"/>
                    <w:bottom w:val="single" w:sz="4" w:space="0" w:color="auto"/>
                    <w:right w:val="single" w:sz="4" w:space="0" w:color="auto"/>
                  </w:tcBorders>
                  <w:hideMark/>
                </w:tcPr>
                <w:p w14:paraId="0BE7C092"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160</w:t>
                  </w:r>
                </w:p>
              </w:tc>
            </w:tr>
            <w:tr w:rsidR="00146E46" w:rsidRPr="00146E46" w14:paraId="35519358"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B10559B"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CB101B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3D9C6EC0"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en-GB"/>
                    </w:rPr>
                    <w:t>20</w:t>
                  </w:r>
                </w:p>
              </w:tc>
            </w:tr>
            <w:tr w:rsidR="00146E46" w:rsidRPr="00146E46" w14:paraId="5AA5F2E7"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158E5769"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0BC12B7"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1A26B978"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en-GB"/>
                    </w:rPr>
                    <w:t>40</w:t>
                  </w:r>
                </w:p>
              </w:tc>
            </w:tr>
            <w:tr w:rsidR="00146E46" w:rsidRPr="00146E46" w14:paraId="3C2D5274"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B647E9B"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959CF5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1574C81A"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80</w:t>
                  </w:r>
                </w:p>
              </w:tc>
            </w:tr>
            <w:tr w:rsidR="00146E46" w:rsidRPr="00146E46" w14:paraId="38EA1FB7"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1C11125"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6BB8C96"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740D2FA7"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160</w:t>
                  </w:r>
                </w:p>
              </w:tc>
            </w:tr>
            <w:tr w:rsidR="00146E46" w:rsidRPr="00146E46" w14:paraId="638A15BD"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8CF87AD"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C94A34F"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0D49CEAA"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en-GB"/>
                    </w:rPr>
                    <w:t>20</w:t>
                  </w:r>
                </w:p>
              </w:tc>
            </w:tr>
            <w:tr w:rsidR="00146E46" w:rsidRPr="00146E46" w14:paraId="75FDE2D2"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370E686"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D488DFA"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437B8DDB"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160</w:t>
                  </w:r>
                </w:p>
              </w:tc>
            </w:tr>
            <w:tr w:rsidR="00146E46" w:rsidRPr="00146E46" w14:paraId="4E558F1D"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7F39172"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61F7F55"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5.5</w:t>
                  </w:r>
                </w:p>
              </w:tc>
              <w:tc>
                <w:tcPr>
                  <w:tcW w:w="1801" w:type="pct"/>
                  <w:tcBorders>
                    <w:top w:val="single" w:sz="4" w:space="0" w:color="auto"/>
                    <w:left w:val="single" w:sz="4" w:space="0" w:color="auto"/>
                    <w:bottom w:val="single" w:sz="4" w:space="0" w:color="auto"/>
                    <w:right w:val="single" w:sz="4" w:space="0" w:color="auto"/>
                  </w:tcBorders>
                  <w:hideMark/>
                </w:tcPr>
                <w:p w14:paraId="4164AD35"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20</w:t>
                  </w:r>
                </w:p>
              </w:tc>
            </w:tr>
            <w:tr w:rsidR="00146E46" w:rsidRPr="00146E46" w14:paraId="18595EFA"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360229A"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A1C4A55"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5.5</w:t>
                  </w:r>
                </w:p>
              </w:tc>
              <w:tc>
                <w:tcPr>
                  <w:tcW w:w="1801" w:type="pct"/>
                  <w:tcBorders>
                    <w:top w:val="single" w:sz="4" w:space="0" w:color="auto"/>
                    <w:left w:val="single" w:sz="4" w:space="0" w:color="auto"/>
                    <w:bottom w:val="single" w:sz="4" w:space="0" w:color="auto"/>
                    <w:right w:val="single" w:sz="4" w:space="0" w:color="auto"/>
                  </w:tcBorders>
                  <w:hideMark/>
                </w:tcPr>
                <w:p w14:paraId="0A5C774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40</w:t>
                  </w:r>
                </w:p>
              </w:tc>
            </w:tr>
            <w:tr w:rsidR="00146E46" w:rsidRPr="00146E46" w14:paraId="4317E020"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79D516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9496358"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5.5</w:t>
                  </w:r>
                </w:p>
              </w:tc>
              <w:tc>
                <w:tcPr>
                  <w:tcW w:w="1801" w:type="pct"/>
                  <w:tcBorders>
                    <w:top w:val="single" w:sz="4" w:space="0" w:color="auto"/>
                    <w:left w:val="single" w:sz="4" w:space="0" w:color="auto"/>
                    <w:bottom w:val="single" w:sz="4" w:space="0" w:color="auto"/>
                    <w:right w:val="single" w:sz="4" w:space="0" w:color="auto"/>
                  </w:tcBorders>
                  <w:hideMark/>
                </w:tcPr>
                <w:p w14:paraId="7F74E8E7"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80</w:t>
                  </w:r>
                </w:p>
              </w:tc>
            </w:tr>
            <w:tr w:rsidR="00146E46" w:rsidRPr="00146E46" w14:paraId="30D6A9C4"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5FE0F5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E9FE6D4"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5.5</w:t>
                  </w:r>
                </w:p>
              </w:tc>
              <w:tc>
                <w:tcPr>
                  <w:tcW w:w="1801" w:type="pct"/>
                  <w:tcBorders>
                    <w:top w:val="single" w:sz="4" w:space="0" w:color="auto"/>
                    <w:left w:val="single" w:sz="4" w:space="0" w:color="auto"/>
                    <w:bottom w:val="single" w:sz="4" w:space="0" w:color="auto"/>
                    <w:right w:val="single" w:sz="4" w:space="0" w:color="auto"/>
                  </w:tcBorders>
                  <w:hideMark/>
                </w:tcPr>
                <w:p w14:paraId="57674BE0"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160</w:t>
                  </w:r>
                </w:p>
              </w:tc>
            </w:tr>
            <w:tr w:rsidR="00146E46" w:rsidRPr="00146E46" w14:paraId="40AC5A63"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63B926E"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66D51B7"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3.5</w:t>
                  </w:r>
                </w:p>
              </w:tc>
              <w:tc>
                <w:tcPr>
                  <w:tcW w:w="1801" w:type="pct"/>
                  <w:tcBorders>
                    <w:top w:val="single" w:sz="4" w:space="0" w:color="auto"/>
                    <w:left w:val="single" w:sz="4" w:space="0" w:color="auto"/>
                    <w:bottom w:val="single" w:sz="4" w:space="0" w:color="auto"/>
                    <w:right w:val="single" w:sz="4" w:space="0" w:color="auto"/>
                  </w:tcBorders>
                  <w:hideMark/>
                </w:tcPr>
                <w:p w14:paraId="4AE4A575"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20</w:t>
                  </w:r>
                </w:p>
              </w:tc>
            </w:tr>
            <w:tr w:rsidR="00146E46" w:rsidRPr="00146E46" w14:paraId="089BD63B"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F145C7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B2CD6B1"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3.5</w:t>
                  </w:r>
                </w:p>
              </w:tc>
              <w:tc>
                <w:tcPr>
                  <w:tcW w:w="1801" w:type="pct"/>
                  <w:tcBorders>
                    <w:top w:val="single" w:sz="4" w:space="0" w:color="auto"/>
                    <w:left w:val="single" w:sz="4" w:space="0" w:color="auto"/>
                    <w:bottom w:val="single" w:sz="4" w:space="0" w:color="auto"/>
                    <w:right w:val="single" w:sz="4" w:space="0" w:color="auto"/>
                  </w:tcBorders>
                  <w:hideMark/>
                </w:tcPr>
                <w:p w14:paraId="42350F61"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40</w:t>
                  </w:r>
                </w:p>
              </w:tc>
            </w:tr>
            <w:tr w:rsidR="00146E46" w:rsidRPr="00146E46" w14:paraId="1471CFC4"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D764EAD"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EB53A5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3.5</w:t>
                  </w:r>
                </w:p>
              </w:tc>
              <w:tc>
                <w:tcPr>
                  <w:tcW w:w="1801" w:type="pct"/>
                  <w:tcBorders>
                    <w:top w:val="single" w:sz="4" w:space="0" w:color="auto"/>
                    <w:left w:val="single" w:sz="4" w:space="0" w:color="auto"/>
                    <w:bottom w:val="single" w:sz="4" w:space="0" w:color="auto"/>
                    <w:right w:val="single" w:sz="4" w:space="0" w:color="auto"/>
                  </w:tcBorders>
                  <w:hideMark/>
                </w:tcPr>
                <w:p w14:paraId="298CAA66"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80</w:t>
                  </w:r>
                </w:p>
              </w:tc>
            </w:tr>
            <w:tr w:rsidR="00146E46" w:rsidRPr="00146E46" w14:paraId="5E5DF278"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6D3C5B55"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F88B082"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3.5</w:t>
                  </w:r>
                </w:p>
              </w:tc>
              <w:tc>
                <w:tcPr>
                  <w:tcW w:w="1801" w:type="pct"/>
                  <w:tcBorders>
                    <w:top w:val="single" w:sz="4" w:space="0" w:color="auto"/>
                    <w:left w:val="single" w:sz="4" w:space="0" w:color="auto"/>
                    <w:bottom w:val="single" w:sz="4" w:space="0" w:color="auto"/>
                    <w:right w:val="single" w:sz="4" w:space="0" w:color="auto"/>
                  </w:tcBorders>
                  <w:hideMark/>
                </w:tcPr>
                <w:p w14:paraId="79E842F7"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160</w:t>
                  </w:r>
                </w:p>
              </w:tc>
            </w:tr>
            <w:tr w:rsidR="00146E46" w:rsidRPr="00146E46" w14:paraId="2A13B0C5"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52BBF6F"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A5BD700"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1.5</w:t>
                  </w:r>
                </w:p>
              </w:tc>
              <w:tc>
                <w:tcPr>
                  <w:tcW w:w="1801" w:type="pct"/>
                  <w:tcBorders>
                    <w:top w:val="single" w:sz="4" w:space="0" w:color="auto"/>
                    <w:left w:val="single" w:sz="4" w:space="0" w:color="auto"/>
                    <w:bottom w:val="single" w:sz="4" w:space="0" w:color="auto"/>
                    <w:right w:val="single" w:sz="4" w:space="0" w:color="auto"/>
                  </w:tcBorders>
                  <w:hideMark/>
                </w:tcPr>
                <w:p w14:paraId="0053CE08"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20</w:t>
                  </w:r>
                </w:p>
              </w:tc>
            </w:tr>
            <w:tr w:rsidR="00146E46" w:rsidRPr="00146E46" w14:paraId="09E98D86"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0714152"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3E3C128"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1.5</w:t>
                  </w:r>
                </w:p>
              </w:tc>
              <w:tc>
                <w:tcPr>
                  <w:tcW w:w="1801" w:type="pct"/>
                  <w:tcBorders>
                    <w:top w:val="single" w:sz="4" w:space="0" w:color="auto"/>
                    <w:left w:val="single" w:sz="4" w:space="0" w:color="auto"/>
                    <w:bottom w:val="single" w:sz="4" w:space="0" w:color="auto"/>
                    <w:right w:val="single" w:sz="4" w:space="0" w:color="auto"/>
                  </w:tcBorders>
                  <w:hideMark/>
                </w:tcPr>
                <w:p w14:paraId="7375D141"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40</w:t>
                  </w:r>
                </w:p>
              </w:tc>
            </w:tr>
            <w:tr w:rsidR="00146E46" w:rsidRPr="00146E46" w14:paraId="76C9E90C"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FE6F82A"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ACB3CB9"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1.5</w:t>
                  </w:r>
                </w:p>
              </w:tc>
              <w:tc>
                <w:tcPr>
                  <w:tcW w:w="1801" w:type="pct"/>
                  <w:tcBorders>
                    <w:top w:val="single" w:sz="4" w:space="0" w:color="auto"/>
                    <w:left w:val="single" w:sz="4" w:space="0" w:color="auto"/>
                    <w:bottom w:val="single" w:sz="4" w:space="0" w:color="auto"/>
                    <w:right w:val="single" w:sz="4" w:space="0" w:color="auto"/>
                  </w:tcBorders>
                  <w:hideMark/>
                </w:tcPr>
                <w:p w14:paraId="21E55A67"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80</w:t>
                  </w:r>
                </w:p>
              </w:tc>
            </w:tr>
            <w:tr w:rsidR="00146E46" w:rsidRPr="00146E46" w14:paraId="3C2BF8CE"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AFE6413"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C520A56"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1.5</w:t>
                  </w:r>
                </w:p>
              </w:tc>
              <w:tc>
                <w:tcPr>
                  <w:tcW w:w="1801" w:type="pct"/>
                  <w:tcBorders>
                    <w:top w:val="single" w:sz="4" w:space="0" w:color="auto"/>
                    <w:left w:val="single" w:sz="4" w:space="0" w:color="auto"/>
                    <w:bottom w:val="single" w:sz="4" w:space="0" w:color="auto"/>
                    <w:right w:val="single" w:sz="4" w:space="0" w:color="auto"/>
                  </w:tcBorders>
                  <w:hideMark/>
                </w:tcPr>
                <w:p w14:paraId="0263727E"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160</w:t>
                  </w:r>
                </w:p>
              </w:tc>
            </w:tr>
            <w:tr w:rsidR="00146E46" w:rsidRPr="00146E46" w14:paraId="0060D465"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7DF4D70B"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14:paraId="34EABA88"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10</w:t>
                  </w:r>
                </w:p>
              </w:tc>
              <w:tc>
                <w:tcPr>
                  <w:tcW w:w="1801" w:type="pct"/>
                  <w:tcBorders>
                    <w:top w:val="single" w:sz="4" w:space="0" w:color="auto"/>
                    <w:left w:val="single" w:sz="4" w:space="0" w:color="auto"/>
                    <w:bottom w:val="single" w:sz="4" w:space="0" w:color="auto"/>
                    <w:right w:val="single" w:sz="4" w:space="0" w:color="auto"/>
                  </w:tcBorders>
                  <w:hideMark/>
                </w:tcPr>
                <w:p w14:paraId="2C02BEDC"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80</w:t>
                  </w:r>
                </w:p>
              </w:tc>
            </w:tr>
            <w:tr w:rsidR="00146E46" w:rsidRPr="00146E46" w14:paraId="5FF5F576" w14:textId="77777777" w:rsidTr="0064144E">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1DC0CB55"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14:paraId="08454EE8"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20</w:t>
                  </w:r>
                </w:p>
              </w:tc>
              <w:tc>
                <w:tcPr>
                  <w:tcW w:w="1801" w:type="pct"/>
                  <w:tcBorders>
                    <w:top w:val="single" w:sz="4" w:space="0" w:color="auto"/>
                    <w:left w:val="single" w:sz="4" w:space="0" w:color="auto"/>
                    <w:bottom w:val="single" w:sz="4" w:space="0" w:color="auto"/>
                    <w:right w:val="single" w:sz="4" w:space="0" w:color="auto"/>
                  </w:tcBorders>
                  <w:hideMark/>
                </w:tcPr>
                <w:p w14:paraId="65F0BFAB" w14:textId="77777777" w:rsidR="00146E46" w:rsidRPr="00146E46" w:rsidRDefault="00146E46" w:rsidP="00146E46">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ko-KR"/>
                    </w:rPr>
                  </w:pPr>
                  <w:r w:rsidRPr="00146E46">
                    <w:rPr>
                      <w:rFonts w:ascii="Arial" w:eastAsia="Times New Roman" w:hAnsi="Arial"/>
                      <w:snapToGrid w:val="0"/>
                      <w:sz w:val="18"/>
                      <w:lang w:eastAsia="ko-KR"/>
                    </w:rPr>
                    <w:t>160</w:t>
                  </w:r>
                </w:p>
              </w:tc>
            </w:tr>
          </w:tbl>
          <w:p w14:paraId="377BEA45" w14:textId="77777777" w:rsidR="00146E46" w:rsidRDefault="00146E46" w:rsidP="005C33C3">
            <w:pPr>
              <w:overflowPunct w:val="0"/>
              <w:autoSpaceDE w:val="0"/>
              <w:autoSpaceDN w:val="0"/>
              <w:adjustRightInd w:val="0"/>
              <w:spacing w:beforeLines="0" w:before="0" w:afterLines="0" w:after="180"/>
              <w:textAlignment w:val="baseline"/>
              <w:rPr>
                <w:rFonts w:eastAsia="Times New Roman"/>
                <w:sz w:val="20"/>
                <w:highlight w:val="yellow"/>
                <w:lang w:eastAsia="zh-CN"/>
              </w:rPr>
            </w:pPr>
          </w:p>
          <w:p w14:paraId="6C2C7BD5" w14:textId="79D690BF" w:rsidR="005C33C3" w:rsidRDefault="005C33C3" w:rsidP="005C33C3">
            <w:pPr>
              <w:overflowPunct w:val="0"/>
              <w:autoSpaceDE w:val="0"/>
              <w:autoSpaceDN w:val="0"/>
              <w:adjustRightInd w:val="0"/>
              <w:spacing w:beforeLines="0" w:before="0" w:afterLines="0" w:after="180"/>
              <w:textAlignment w:val="baseline"/>
              <w:rPr>
                <w:rFonts w:eastAsia="Times New Roman"/>
                <w:sz w:val="20"/>
                <w:lang w:eastAsia="zh-CN"/>
              </w:rPr>
            </w:pPr>
            <w:r w:rsidRPr="005C33C3">
              <w:rPr>
                <w:rFonts w:eastAsia="Times New Roman"/>
                <w:sz w:val="20"/>
                <w:highlight w:val="yellow"/>
                <w:lang w:eastAsia="zh-CN"/>
              </w:rPr>
              <w:t>two colliding measurement gaps are fully overlapping with MGRP=160ms</w:t>
            </w:r>
            <w:r w:rsidRPr="005C33C3">
              <w:rPr>
                <w:rFonts w:eastAsia="Times New Roman"/>
                <w:sz w:val="20"/>
                <w:lang w:eastAsia="zh-CN"/>
              </w:rPr>
              <w:t xml:space="preserve">, in case of collision between two measurement gap occasions, the UE shall perform measurements in the occasion of one of the measurement gaps, and it is up to UE implementation which occasion is used for measurement, provided that UE can meet the requirements in clause 9.2C and 9.3C. </w:t>
            </w:r>
          </w:p>
          <w:p w14:paraId="7A8E6B3E" w14:textId="652EDF17" w:rsidR="00942895" w:rsidRPr="00942895" w:rsidRDefault="00942895" w:rsidP="005C33C3">
            <w:pPr>
              <w:overflowPunct w:val="0"/>
              <w:autoSpaceDE w:val="0"/>
              <w:autoSpaceDN w:val="0"/>
              <w:adjustRightInd w:val="0"/>
              <w:spacing w:beforeLines="0" w:before="0" w:afterLines="0" w:after="180"/>
              <w:textAlignment w:val="baseline"/>
              <w:rPr>
                <w:rFonts w:eastAsiaTheme="minorEastAsia"/>
                <w:sz w:val="20"/>
                <w:lang w:eastAsia="zh-CN"/>
              </w:rPr>
            </w:pPr>
            <w:r w:rsidRPr="00942895">
              <w:rPr>
                <w:rFonts w:eastAsia="Times New Roman"/>
                <w:sz w:val="20"/>
                <w:lang w:eastAsia="zh-CN"/>
              </w:rPr>
              <w:t xml:space="preserve">If two measurement gaps are fully overlapping </w:t>
            </w:r>
            <w:r w:rsidRPr="00942895">
              <w:rPr>
                <w:rFonts w:eastAsia="Times New Roman"/>
                <w:sz w:val="20"/>
                <w:highlight w:val="yellow"/>
                <w:lang w:eastAsia="zh-CN"/>
              </w:rPr>
              <w:t>with MGRP&lt;160ms</w:t>
            </w:r>
            <w:r w:rsidRPr="00942895">
              <w:rPr>
                <w:rFonts w:eastAsia="Times New Roman"/>
                <w:sz w:val="20"/>
                <w:lang w:eastAsia="zh-CN"/>
              </w:rPr>
              <w:t>, no measurement requirements apply.</w:t>
            </w:r>
          </w:p>
        </w:tc>
      </w:tr>
    </w:tbl>
    <w:p w14:paraId="5AAE2647" w14:textId="3C25228C" w:rsidR="00BE747F" w:rsidRDefault="00BE747F" w:rsidP="00BE747F">
      <w:pPr>
        <w:spacing w:before="120" w:after="120"/>
        <w:rPr>
          <w:rFonts w:eastAsiaTheme="minorEastAsia"/>
          <w:b/>
          <w:lang w:eastAsia="zh-CN"/>
        </w:rPr>
      </w:pPr>
      <w:r w:rsidRPr="00116445">
        <w:rPr>
          <w:rFonts w:eastAsiaTheme="minorEastAsia" w:hint="eastAsia"/>
          <w:b/>
          <w:lang w:eastAsia="zh-CN"/>
        </w:rPr>
        <w:t>P</w:t>
      </w:r>
      <w:r w:rsidRPr="00116445">
        <w:rPr>
          <w:rFonts w:eastAsiaTheme="minorEastAsia"/>
          <w:b/>
          <w:lang w:eastAsia="zh-CN"/>
        </w:rPr>
        <w:t xml:space="preserve">roposal </w:t>
      </w:r>
      <w:r>
        <w:rPr>
          <w:rFonts w:eastAsiaTheme="minorEastAsia"/>
          <w:b/>
          <w:lang w:eastAsia="zh-CN"/>
        </w:rPr>
        <w:t>2</w:t>
      </w:r>
      <w:r w:rsidRPr="00116445">
        <w:rPr>
          <w:rFonts w:eastAsiaTheme="minorEastAsia"/>
          <w:b/>
          <w:lang w:eastAsia="zh-CN"/>
        </w:rPr>
        <w:t xml:space="preserve">: For default SSB periodicity extension </w:t>
      </w:r>
      <w:r>
        <w:rPr>
          <w:rFonts w:eastAsiaTheme="minorEastAsia"/>
          <w:b/>
          <w:lang w:eastAsia="zh-CN"/>
        </w:rPr>
        <w:t>with maximum value 320ms</w:t>
      </w:r>
      <w:r w:rsidRPr="00116445">
        <w:rPr>
          <w:rFonts w:eastAsiaTheme="minorEastAsia"/>
          <w:b/>
          <w:lang w:eastAsia="zh-CN"/>
        </w:rPr>
        <w:t xml:space="preserve">, RAN4 to </w:t>
      </w:r>
      <w:r>
        <w:rPr>
          <w:rFonts w:eastAsiaTheme="minorEastAsia"/>
          <w:b/>
          <w:lang w:eastAsia="zh-CN"/>
        </w:rPr>
        <w:t>discuss potential impacts on</w:t>
      </w:r>
    </w:p>
    <w:p w14:paraId="446C27A5" w14:textId="468D9C7E" w:rsidR="00BE747F" w:rsidRDefault="00BE747F" w:rsidP="00BE747F">
      <w:pPr>
        <w:pStyle w:val="afe"/>
        <w:numPr>
          <w:ilvl w:val="0"/>
          <w:numId w:val="30"/>
        </w:numPr>
        <w:spacing w:before="120" w:after="120"/>
        <w:rPr>
          <w:rFonts w:eastAsiaTheme="minorEastAsia"/>
          <w:b/>
          <w:lang w:eastAsia="zh-CN"/>
        </w:rPr>
      </w:pPr>
      <w:r>
        <w:rPr>
          <w:rFonts w:eastAsiaTheme="minorEastAsia"/>
          <w:b/>
          <w:lang w:eastAsia="zh-CN"/>
        </w:rPr>
        <w:t xml:space="preserve">Timing requirements </w:t>
      </w:r>
    </w:p>
    <w:p w14:paraId="41B95E9F" w14:textId="0E85B10C" w:rsidR="00BE747F" w:rsidRDefault="00BE747F" w:rsidP="00BE747F">
      <w:pPr>
        <w:pStyle w:val="afe"/>
        <w:numPr>
          <w:ilvl w:val="0"/>
          <w:numId w:val="30"/>
        </w:numPr>
        <w:spacing w:before="120" w:after="120"/>
        <w:rPr>
          <w:rFonts w:eastAsiaTheme="minorEastAsia"/>
          <w:b/>
          <w:lang w:eastAsia="zh-CN"/>
        </w:rPr>
      </w:pPr>
      <w:r>
        <w:rPr>
          <w:rFonts w:eastAsiaTheme="minorEastAsia" w:hint="eastAsia"/>
          <w:b/>
          <w:lang w:eastAsia="zh-CN"/>
        </w:rPr>
        <w:t>M</w:t>
      </w:r>
      <w:r>
        <w:rPr>
          <w:rFonts w:eastAsiaTheme="minorEastAsia"/>
          <w:b/>
          <w:lang w:eastAsia="zh-CN"/>
        </w:rPr>
        <w:t xml:space="preserve">G </w:t>
      </w:r>
      <w:r w:rsidR="00E97DAB">
        <w:rPr>
          <w:rFonts w:eastAsiaTheme="minorEastAsia"/>
          <w:b/>
          <w:lang w:eastAsia="zh-CN"/>
        </w:rPr>
        <w:t>related</w:t>
      </w:r>
      <w:r>
        <w:rPr>
          <w:rFonts w:eastAsiaTheme="minorEastAsia"/>
          <w:b/>
          <w:lang w:eastAsia="zh-CN"/>
        </w:rPr>
        <w:t xml:space="preserve"> requirements</w:t>
      </w:r>
      <w:r w:rsidR="00C536D4">
        <w:rPr>
          <w:rFonts w:eastAsiaTheme="minorEastAsia"/>
          <w:b/>
          <w:lang w:eastAsia="zh-CN"/>
        </w:rPr>
        <w:t xml:space="preserve"> (MGRP, MG sharing)</w:t>
      </w:r>
    </w:p>
    <w:p w14:paraId="18F7794A" w14:textId="31793740" w:rsidR="002B73BB" w:rsidRDefault="002B73BB" w:rsidP="002B73BB">
      <w:pPr>
        <w:spacing w:before="120" w:after="120"/>
        <w:rPr>
          <w:rFonts w:eastAsiaTheme="minorEastAsia"/>
          <w:lang w:eastAsia="zh-CN"/>
        </w:rPr>
      </w:pPr>
      <w:r>
        <w:rPr>
          <w:rFonts w:eastAsiaTheme="minorEastAsia"/>
          <w:lang w:eastAsia="zh-CN"/>
        </w:rPr>
        <w:t xml:space="preserve">We are also open to discuss potential impacts of beam hopping which is used together with SSB periodicity extension to improve DL coverage, e.g. </w:t>
      </w:r>
      <w:r w:rsidR="00942895">
        <w:rPr>
          <w:rFonts w:eastAsiaTheme="minorEastAsia"/>
          <w:lang w:eastAsia="zh-CN"/>
        </w:rPr>
        <w:t xml:space="preserve">cell </w:t>
      </w:r>
      <w:r w:rsidRPr="00A2757D">
        <w:rPr>
          <w:rFonts w:eastAsiaTheme="minorEastAsia"/>
          <w:lang w:eastAsia="zh-CN"/>
        </w:rPr>
        <w:t>DTX</w:t>
      </w:r>
      <w:r>
        <w:rPr>
          <w:rFonts w:eastAsiaTheme="minorEastAsia"/>
          <w:lang w:eastAsia="zh-CN"/>
        </w:rPr>
        <w:t>. Since this is pending on conclusion from other WGs, RAN4 can further wait before discussing the exact RRM impact.</w:t>
      </w:r>
    </w:p>
    <w:p w14:paraId="564E40C0" w14:textId="3C4DBAC4" w:rsidR="00C42202" w:rsidRPr="00C536D4" w:rsidRDefault="00C536D4" w:rsidP="00C42202">
      <w:pPr>
        <w:spacing w:before="120" w:after="120"/>
        <w:rPr>
          <w:rFonts w:eastAsiaTheme="minorEastAsia"/>
          <w:b/>
          <w:lang w:eastAsia="zh-CN"/>
        </w:rPr>
      </w:pPr>
      <w:r w:rsidRPr="00116445">
        <w:rPr>
          <w:rFonts w:eastAsiaTheme="minorEastAsia" w:hint="eastAsia"/>
          <w:b/>
          <w:lang w:eastAsia="zh-CN"/>
        </w:rPr>
        <w:t>P</w:t>
      </w:r>
      <w:r w:rsidRPr="00116445">
        <w:rPr>
          <w:rFonts w:eastAsiaTheme="minorEastAsia"/>
          <w:b/>
          <w:lang w:eastAsia="zh-CN"/>
        </w:rPr>
        <w:t xml:space="preserve">roposal </w:t>
      </w:r>
      <w:r>
        <w:rPr>
          <w:rFonts w:eastAsiaTheme="minorEastAsia"/>
          <w:b/>
          <w:lang w:eastAsia="zh-CN"/>
        </w:rPr>
        <w:t>3</w:t>
      </w:r>
      <w:r w:rsidRPr="00116445">
        <w:rPr>
          <w:rFonts w:eastAsiaTheme="minorEastAsia"/>
          <w:b/>
          <w:lang w:eastAsia="zh-CN"/>
        </w:rPr>
        <w:t xml:space="preserve">: </w:t>
      </w:r>
      <w:r>
        <w:rPr>
          <w:rFonts w:eastAsiaTheme="minorEastAsia"/>
          <w:b/>
          <w:lang w:eastAsia="zh-CN"/>
        </w:rPr>
        <w:t xml:space="preserve">RAN4 to wait for more conclusion from RAN1/2 before discussing the RRM impacts of </w:t>
      </w:r>
      <w:r w:rsidRPr="00C536D4">
        <w:rPr>
          <w:rFonts w:eastAsiaTheme="minorEastAsia"/>
          <w:b/>
          <w:lang w:eastAsia="zh-CN"/>
        </w:rPr>
        <w:t>beam hopping</w:t>
      </w:r>
      <w:r>
        <w:rPr>
          <w:rFonts w:eastAsiaTheme="minorEastAsia"/>
          <w:b/>
          <w:lang w:eastAsia="zh-CN"/>
        </w:rPr>
        <w:t xml:space="preserve"> e.g. cell DTX.</w:t>
      </w:r>
    </w:p>
    <w:p w14:paraId="3268F873" w14:textId="77777777" w:rsidR="004729BE" w:rsidRDefault="004729BE" w:rsidP="004729BE">
      <w:pPr>
        <w:pStyle w:val="1"/>
        <w:jc w:val="both"/>
        <w:rPr>
          <w:lang w:val="en-US"/>
        </w:rPr>
      </w:pPr>
      <w:r>
        <w:rPr>
          <w:lang w:val="en-US"/>
        </w:rPr>
        <w:t>Conclusions</w:t>
      </w:r>
    </w:p>
    <w:p w14:paraId="00102B00" w14:textId="75EBA0A3"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C536D4" w:rsidRPr="00C42202">
        <w:rPr>
          <w:rFonts w:eastAsia="宋体"/>
          <w:lang w:eastAsia="zh-CN"/>
        </w:rPr>
        <w:t>other RRM requirements for Rel-19 NTN</w:t>
      </w:r>
      <w:r>
        <w:rPr>
          <w:rFonts w:eastAsia="宋体"/>
          <w:lang w:eastAsia="zh-CN"/>
        </w:rPr>
        <w:t>.</w:t>
      </w:r>
    </w:p>
    <w:p w14:paraId="2BED9D6F" w14:textId="77777777" w:rsidR="00C536D4" w:rsidRPr="00116445" w:rsidRDefault="00C536D4" w:rsidP="00C536D4">
      <w:pPr>
        <w:spacing w:before="120" w:after="120"/>
        <w:rPr>
          <w:rFonts w:eastAsiaTheme="minorEastAsia"/>
          <w:b/>
          <w:lang w:eastAsia="zh-CN"/>
        </w:rPr>
      </w:pPr>
      <w:r w:rsidRPr="00116445">
        <w:rPr>
          <w:rFonts w:eastAsiaTheme="minorEastAsia" w:hint="eastAsia"/>
          <w:b/>
          <w:lang w:eastAsia="zh-CN"/>
        </w:rPr>
        <w:t>P</w:t>
      </w:r>
      <w:r w:rsidRPr="00116445">
        <w:rPr>
          <w:rFonts w:eastAsiaTheme="minorEastAsia"/>
          <w:b/>
          <w:lang w:eastAsia="zh-CN"/>
        </w:rPr>
        <w:t xml:space="preserve">roposal 1: For default SSB periodicity extension </w:t>
      </w:r>
      <w:r>
        <w:rPr>
          <w:rFonts w:eastAsiaTheme="minorEastAsia"/>
          <w:b/>
          <w:lang w:eastAsia="zh-CN"/>
        </w:rPr>
        <w:t>(no matter the maximum value is 160ms or 320ms)</w:t>
      </w:r>
      <w:r w:rsidRPr="00116445">
        <w:rPr>
          <w:rFonts w:eastAsiaTheme="minorEastAsia"/>
          <w:b/>
          <w:lang w:eastAsia="zh-CN"/>
        </w:rPr>
        <w:t xml:space="preserve">, RAN4 to define new RRC re-establishment requirements for the case with Serving cell SSB </w:t>
      </w:r>
      <w:proofErr w:type="spellStart"/>
      <w:r w:rsidRPr="00116445">
        <w:rPr>
          <w:rFonts w:eastAsiaTheme="minorEastAsia"/>
          <w:b/>
          <w:lang w:eastAsia="zh-CN"/>
        </w:rPr>
        <w:t>Ês</w:t>
      </w:r>
      <w:proofErr w:type="spellEnd"/>
      <w:r w:rsidRPr="00116445">
        <w:rPr>
          <w:rFonts w:eastAsiaTheme="minorEastAsia"/>
          <w:b/>
          <w:lang w:eastAsia="zh-CN"/>
        </w:rPr>
        <w:t>/</w:t>
      </w:r>
      <w:proofErr w:type="spellStart"/>
      <w:r w:rsidRPr="00116445">
        <w:rPr>
          <w:rFonts w:eastAsiaTheme="minorEastAsia"/>
          <w:b/>
          <w:lang w:eastAsia="zh-CN"/>
        </w:rPr>
        <w:t>Iot</w:t>
      </w:r>
      <w:proofErr w:type="spellEnd"/>
      <w:r w:rsidRPr="00116445">
        <w:rPr>
          <w:rFonts w:eastAsiaTheme="minorEastAsia"/>
          <w:b/>
          <w:lang w:eastAsia="zh-CN"/>
        </w:rPr>
        <w:t xml:space="preserve"> (dB)</w:t>
      </w:r>
      <w:r w:rsidRPr="00116445">
        <w:rPr>
          <w:rFonts w:eastAsiaTheme="minorEastAsia" w:hint="eastAsia"/>
          <w:b/>
          <w:lang w:eastAsia="zh-CN"/>
        </w:rPr>
        <w:t xml:space="preserve"> </w:t>
      </w:r>
      <w:r w:rsidRPr="00116445">
        <w:rPr>
          <w:rFonts w:eastAsiaTheme="minorEastAsia"/>
          <w:b/>
          <w:lang w:eastAsia="zh-CN"/>
        </w:rPr>
        <w:t>&lt; -8.</w:t>
      </w:r>
    </w:p>
    <w:p w14:paraId="55BD8204" w14:textId="77777777" w:rsidR="00C536D4" w:rsidRDefault="00C536D4" w:rsidP="00C536D4">
      <w:pPr>
        <w:spacing w:before="120" w:after="120"/>
        <w:rPr>
          <w:rFonts w:eastAsiaTheme="minorEastAsia"/>
          <w:b/>
          <w:lang w:eastAsia="zh-CN"/>
        </w:rPr>
      </w:pPr>
      <w:r w:rsidRPr="00116445">
        <w:rPr>
          <w:rFonts w:eastAsiaTheme="minorEastAsia" w:hint="eastAsia"/>
          <w:b/>
          <w:lang w:eastAsia="zh-CN"/>
        </w:rPr>
        <w:lastRenderedPageBreak/>
        <w:t>P</w:t>
      </w:r>
      <w:r w:rsidRPr="00116445">
        <w:rPr>
          <w:rFonts w:eastAsiaTheme="minorEastAsia"/>
          <w:b/>
          <w:lang w:eastAsia="zh-CN"/>
        </w:rPr>
        <w:t xml:space="preserve">roposal </w:t>
      </w:r>
      <w:r>
        <w:rPr>
          <w:rFonts w:eastAsiaTheme="minorEastAsia"/>
          <w:b/>
          <w:lang w:eastAsia="zh-CN"/>
        </w:rPr>
        <w:t>2</w:t>
      </w:r>
      <w:r w:rsidRPr="00116445">
        <w:rPr>
          <w:rFonts w:eastAsiaTheme="minorEastAsia"/>
          <w:b/>
          <w:lang w:eastAsia="zh-CN"/>
        </w:rPr>
        <w:t xml:space="preserve">: For default SSB periodicity extension </w:t>
      </w:r>
      <w:r>
        <w:rPr>
          <w:rFonts w:eastAsiaTheme="minorEastAsia"/>
          <w:b/>
          <w:lang w:eastAsia="zh-CN"/>
        </w:rPr>
        <w:t>with maximum value 320ms</w:t>
      </w:r>
      <w:r w:rsidRPr="00116445">
        <w:rPr>
          <w:rFonts w:eastAsiaTheme="minorEastAsia"/>
          <w:b/>
          <w:lang w:eastAsia="zh-CN"/>
        </w:rPr>
        <w:t xml:space="preserve">, RAN4 to </w:t>
      </w:r>
      <w:r>
        <w:rPr>
          <w:rFonts w:eastAsiaTheme="minorEastAsia"/>
          <w:b/>
          <w:lang w:eastAsia="zh-CN"/>
        </w:rPr>
        <w:t>discuss potential impacts on</w:t>
      </w:r>
    </w:p>
    <w:p w14:paraId="6231B35C" w14:textId="77777777" w:rsidR="00C536D4" w:rsidRDefault="00C536D4" w:rsidP="00C536D4">
      <w:pPr>
        <w:pStyle w:val="afe"/>
        <w:numPr>
          <w:ilvl w:val="0"/>
          <w:numId w:val="30"/>
        </w:numPr>
        <w:spacing w:before="120" w:after="120"/>
        <w:rPr>
          <w:rFonts w:eastAsiaTheme="minorEastAsia"/>
          <w:b/>
          <w:lang w:eastAsia="zh-CN"/>
        </w:rPr>
      </w:pPr>
      <w:r>
        <w:rPr>
          <w:rFonts w:eastAsiaTheme="minorEastAsia"/>
          <w:b/>
          <w:lang w:eastAsia="zh-CN"/>
        </w:rPr>
        <w:t xml:space="preserve">Timing requirements </w:t>
      </w:r>
    </w:p>
    <w:p w14:paraId="27BABD72" w14:textId="77777777" w:rsidR="00C536D4" w:rsidRDefault="00C536D4" w:rsidP="00C536D4">
      <w:pPr>
        <w:pStyle w:val="afe"/>
        <w:numPr>
          <w:ilvl w:val="0"/>
          <w:numId w:val="30"/>
        </w:numPr>
        <w:spacing w:before="120" w:after="120"/>
        <w:rPr>
          <w:rFonts w:eastAsiaTheme="minorEastAsia"/>
          <w:b/>
          <w:lang w:eastAsia="zh-CN"/>
        </w:rPr>
      </w:pPr>
      <w:r>
        <w:rPr>
          <w:rFonts w:eastAsiaTheme="minorEastAsia" w:hint="eastAsia"/>
          <w:b/>
          <w:lang w:eastAsia="zh-CN"/>
        </w:rPr>
        <w:t>M</w:t>
      </w:r>
      <w:r>
        <w:rPr>
          <w:rFonts w:eastAsiaTheme="minorEastAsia"/>
          <w:b/>
          <w:lang w:eastAsia="zh-CN"/>
        </w:rPr>
        <w:t>G related requirements (MGRP, MG sharing)</w:t>
      </w:r>
    </w:p>
    <w:p w14:paraId="5CC6D1EC" w14:textId="747E967C" w:rsidR="004729BE" w:rsidRPr="00C536D4" w:rsidRDefault="00C536D4" w:rsidP="004729BE">
      <w:pPr>
        <w:spacing w:before="120" w:after="120"/>
        <w:rPr>
          <w:rFonts w:eastAsiaTheme="minorEastAsia"/>
          <w:b/>
          <w:lang w:eastAsia="zh-CN"/>
        </w:rPr>
      </w:pPr>
      <w:r w:rsidRPr="00116445">
        <w:rPr>
          <w:rFonts w:eastAsiaTheme="minorEastAsia" w:hint="eastAsia"/>
          <w:b/>
          <w:lang w:eastAsia="zh-CN"/>
        </w:rPr>
        <w:t>P</w:t>
      </w:r>
      <w:r w:rsidRPr="00116445">
        <w:rPr>
          <w:rFonts w:eastAsiaTheme="minorEastAsia"/>
          <w:b/>
          <w:lang w:eastAsia="zh-CN"/>
        </w:rPr>
        <w:t xml:space="preserve">roposal </w:t>
      </w:r>
      <w:r>
        <w:rPr>
          <w:rFonts w:eastAsiaTheme="minorEastAsia"/>
          <w:b/>
          <w:lang w:eastAsia="zh-CN"/>
        </w:rPr>
        <w:t>3</w:t>
      </w:r>
      <w:r w:rsidRPr="00116445">
        <w:rPr>
          <w:rFonts w:eastAsiaTheme="minorEastAsia"/>
          <w:b/>
          <w:lang w:eastAsia="zh-CN"/>
        </w:rPr>
        <w:t xml:space="preserve">: </w:t>
      </w:r>
      <w:r>
        <w:rPr>
          <w:rFonts w:eastAsiaTheme="minorEastAsia"/>
          <w:b/>
          <w:lang w:eastAsia="zh-CN"/>
        </w:rPr>
        <w:t xml:space="preserve">RAN4 to wait for more conclusion from RAN1/2 before discussing the RRM impacts of </w:t>
      </w:r>
      <w:r w:rsidRPr="00C536D4">
        <w:rPr>
          <w:rFonts w:eastAsiaTheme="minorEastAsia"/>
          <w:b/>
          <w:lang w:eastAsia="zh-CN"/>
        </w:rPr>
        <w:t>beam hopping</w:t>
      </w:r>
      <w:r>
        <w:rPr>
          <w:rFonts w:eastAsiaTheme="minorEastAsia"/>
          <w:b/>
          <w:lang w:eastAsia="zh-CN"/>
        </w:rPr>
        <w:t xml:space="preserve"> e.g. cell DTX.</w:t>
      </w:r>
    </w:p>
    <w:p w14:paraId="2ED084EA" w14:textId="77777777" w:rsidR="00FA0C0C" w:rsidRDefault="00FA0C0C" w:rsidP="00FA0C0C">
      <w:pPr>
        <w:pStyle w:val="1"/>
        <w:jc w:val="both"/>
        <w:rPr>
          <w:lang w:val="en-US"/>
        </w:rPr>
      </w:pPr>
      <w:r w:rsidRPr="00C0754F">
        <w:rPr>
          <w:lang w:val="en-US"/>
        </w:rPr>
        <w:t>Reference</w:t>
      </w:r>
    </w:p>
    <w:p w14:paraId="482C336F" w14:textId="37C7B45A" w:rsidR="00892AF2" w:rsidRDefault="00892AF2" w:rsidP="002946B1">
      <w:pPr>
        <w:numPr>
          <w:ilvl w:val="0"/>
          <w:numId w:val="5"/>
        </w:numPr>
        <w:spacing w:before="120" w:after="120"/>
        <w:rPr>
          <w:rFonts w:eastAsia="宋体"/>
          <w:lang w:val="en-US" w:eastAsia="zh-CN"/>
        </w:rPr>
      </w:pPr>
      <w:r w:rsidRPr="00892AF2">
        <w:rPr>
          <w:rFonts w:eastAsia="宋体"/>
          <w:lang w:val="en-US" w:eastAsia="zh-CN"/>
        </w:rPr>
        <w:t>R4-241</w:t>
      </w:r>
      <w:r w:rsidR="006A75F4">
        <w:rPr>
          <w:rFonts w:eastAsia="宋体"/>
          <w:lang w:val="en-US" w:eastAsia="zh-CN"/>
        </w:rPr>
        <w:t>686</w:t>
      </w:r>
      <w:r w:rsidR="002B73BB">
        <w:rPr>
          <w:rFonts w:eastAsia="宋体"/>
          <w:lang w:val="en-US" w:eastAsia="zh-CN"/>
        </w:rPr>
        <w:t>6</w:t>
      </w:r>
      <w:r>
        <w:rPr>
          <w:rFonts w:eastAsia="宋体"/>
          <w:lang w:val="en-US" w:eastAsia="zh-CN"/>
        </w:rPr>
        <w:t xml:space="preserve">, </w:t>
      </w:r>
      <w:r w:rsidR="002B73BB" w:rsidRPr="002B73BB">
        <w:rPr>
          <w:rFonts w:eastAsia="宋体"/>
          <w:lang w:val="en-US" w:eastAsia="zh-CN"/>
        </w:rPr>
        <w:t>WF on RRM requirements for NR_NTN_Ph3_Part2</w:t>
      </w:r>
      <w:r>
        <w:rPr>
          <w:rFonts w:eastAsia="宋体"/>
          <w:lang w:val="en-US" w:eastAsia="zh-CN"/>
        </w:rPr>
        <w:t xml:space="preserve">, </w:t>
      </w:r>
      <w:r w:rsidR="002B73BB" w:rsidRPr="002B73BB">
        <w:rPr>
          <w:rFonts w:eastAsia="宋体"/>
          <w:lang w:val="en-US" w:eastAsia="zh-CN"/>
        </w:rPr>
        <w:t>Moderator (Qualcomm Incorporated)</w:t>
      </w:r>
    </w:p>
    <w:sectPr w:rsidR="00892AF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613B3" w14:textId="77777777" w:rsidR="00874E67" w:rsidRDefault="00874E67">
      <w:pPr>
        <w:spacing w:before="120" w:after="120"/>
      </w:pPr>
      <w:r>
        <w:separator/>
      </w:r>
    </w:p>
  </w:endnote>
  <w:endnote w:type="continuationSeparator" w:id="0">
    <w:p w14:paraId="00BB5E1E" w14:textId="77777777" w:rsidR="00874E67" w:rsidRDefault="00874E6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9FA8C" w14:textId="77777777" w:rsidR="00874E67" w:rsidRDefault="00874E67">
      <w:pPr>
        <w:spacing w:before="120" w:after="120"/>
      </w:pPr>
      <w:r>
        <w:separator/>
      </w:r>
    </w:p>
  </w:footnote>
  <w:footnote w:type="continuationSeparator" w:id="0">
    <w:p w14:paraId="77DA1AFD" w14:textId="77777777" w:rsidR="00874E67" w:rsidRDefault="00874E6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2"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2"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8"/>
  </w:num>
  <w:num w:numId="3">
    <w:abstractNumId w:val="33"/>
  </w:num>
  <w:num w:numId="4">
    <w:abstractNumId w:val="6"/>
  </w:num>
  <w:num w:numId="5">
    <w:abstractNumId w:val="9"/>
  </w:num>
  <w:num w:numId="6">
    <w:abstractNumId w:val="26"/>
  </w:num>
  <w:num w:numId="7">
    <w:abstractNumId w:val="14"/>
  </w:num>
  <w:num w:numId="8">
    <w:abstractNumId w:val="35"/>
    <w:lvlOverride w:ilvl="0">
      <w:startOverride w:val="1"/>
    </w:lvlOverride>
  </w:num>
  <w:num w:numId="9">
    <w:abstractNumId w:val="21"/>
  </w:num>
  <w:num w:numId="10">
    <w:abstractNumId w:val="30"/>
  </w:num>
  <w:num w:numId="11">
    <w:abstractNumId w:val="18"/>
  </w:num>
  <w:num w:numId="12">
    <w:abstractNumId w:val="29"/>
  </w:num>
  <w:num w:numId="13">
    <w:abstractNumId w:val="17"/>
  </w:num>
  <w:num w:numId="14">
    <w:abstractNumId w:val="16"/>
  </w:num>
  <w:num w:numId="15">
    <w:abstractNumId w:val="20"/>
  </w:num>
  <w:num w:numId="16">
    <w:abstractNumId w:val="0"/>
  </w:num>
  <w:num w:numId="17">
    <w:abstractNumId w:val="12"/>
  </w:num>
  <w:num w:numId="18">
    <w:abstractNumId w:val="11"/>
  </w:num>
  <w:num w:numId="19">
    <w:abstractNumId w:val="24"/>
  </w:num>
  <w:num w:numId="20">
    <w:abstractNumId w:val="27"/>
  </w:num>
  <w:num w:numId="21">
    <w:abstractNumId w:val="2"/>
  </w:num>
  <w:num w:numId="22">
    <w:abstractNumId w:val="23"/>
  </w:num>
  <w:num w:numId="23">
    <w:abstractNumId w:val="5"/>
  </w:num>
  <w:num w:numId="24">
    <w:abstractNumId w:val="29"/>
  </w:num>
  <w:num w:numId="25">
    <w:abstractNumId w:val="13"/>
  </w:num>
  <w:num w:numId="26">
    <w:abstractNumId w:val="1"/>
  </w:num>
  <w:num w:numId="27">
    <w:abstractNumId w:val="7"/>
  </w:num>
  <w:num w:numId="28">
    <w:abstractNumId w:val="34"/>
  </w:num>
  <w:num w:numId="29">
    <w:abstractNumId w:val="32"/>
  </w:num>
  <w:num w:numId="30">
    <w:abstractNumId w:val="22"/>
  </w:num>
  <w:num w:numId="31">
    <w:abstractNumId w:val="3"/>
  </w:num>
  <w:num w:numId="32">
    <w:abstractNumId w:val="4"/>
  </w:num>
  <w:num w:numId="33">
    <w:abstractNumId w:val="8"/>
  </w:num>
  <w:num w:numId="34">
    <w:abstractNumId w:val="31"/>
  </w:num>
  <w:num w:numId="35">
    <w:abstractNumId w:val="15"/>
  </w:num>
  <w:num w:numId="36">
    <w:abstractNumId w:val="19"/>
  </w:num>
  <w:num w:numId="3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8A2A6E2-C014-4055-9F2B-C0CC5B629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20006</TotalTime>
  <Pages>4</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240</cp:revision>
  <cp:lastPrinted>2009-04-22T06:01:00Z</cp:lastPrinted>
  <dcterms:created xsi:type="dcterms:W3CDTF">2023-05-06T02:02:00Z</dcterms:created>
  <dcterms:modified xsi:type="dcterms:W3CDTF">2024-11-08T12:35:00Z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