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5511F453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7A5276">
        <w:rPr>
          <w:rFonts w:cs="Arial"/>
          <w:b/>
          <w:sz w:val="24"/>
          <w:szCs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0" w:name="_GoBack"/>
      <w:r w:rsidR="007628FB" w:rsidRPr="007628FB">
        <w:rPr>
          <w:b/>
          <w:i/>
          <w:noProof/>
          <w:sz w:val="28"/>
          <w:lang w:eastAsia="zh-CN"/>
        </w:rPr>
        <w:t>R4-2419087</w:t>
      </w:r>
      <w:bookmarkEnd w:id="0"/>
    </w:p>
    <w:p w14:paraId="4A46C445" w14:textId="281594D3" w:rsidR="00A11F11" w:rsidRDefault="000B131E" w:rsidP="00A11F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Orlando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US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18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22</w:t>
      </w:r>
      <w:r w:rsidRPr="00D71980">
        <w:rPr>
          <w:rFonts w:cs="Arial"/>
          <w:b/>
          <w:sz w:val="24"/>
          <w:szCs w:val="24"/>
          <w:vertAlign w:val="superscript"/>
          <w:lang w:eastAsia="zh-CN"/>
        </w:rPr>
        <w:t>nd</w:t>
      </w:r>
      <w:r>
        <w:rPr>
          <w:rFonts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cs="Arial"/>
          <w:b/>
          <w:sz w:val="24"/>
          <w:szCs w:val="24"/>
          <w:lang w:eastAsia="zh-CN"/>
        </w:rPr>
        <w:t>,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71980" w:rsidR="001E41F3" w:rsidRPr="00410371" w:rsidRDefault="00FE07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FA2FA1">
                <w:rPr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612C9" w:rsidR="001E41F3" w:rsidRPr="00410371" w:rsidRDefault="00811CB2" w:rsidP="00811C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FE0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046F0" w:rsidR="001E41F3" w:rsidRPr="00410371" w:rsidRDefault="00FE0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77570">
                <w:rPr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69F60" w:rsidR="001E41F3" w:rsidRDefault="00FE0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F11" w:rsidRPr="00A11F11">
                <w:t xml:space="preserve">CR for </w:t>
              </w:r>
              <w:r w:rsidR="00561301">
                <w:t>updat</w:t>
              </w:r>
              <w:r w:rsidR="00973579">
                <w:t>ing</w:t>
              </w:r>
              <w:r w:rsidR="00561301">
                <w:t xml:space="preserve"> the note for NTN</w:t>
              </w:r>
            </w:fldSimple>
            <w:r w:rsidR="00561301">
              <w:t xml:space="preserve"> frequency range definition</w:t>
            </w:r>
            <w:r w:rsidR="00607F1E">
              <w:t xml:space="preserve"> in RLM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FE0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FE07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1301">
              <w:rPr>
                <w:rFonts w:eastAsia="Times New Roman" w:cs="Arial"/>
                <w:bCs/>
                <w:lang w:eastAsia="zh-CN"/>
              </w:rPr>
              <w:t>NR_NTN_enh</w:t>
            </w:r>
            <w:proofErr w:type="spellEnd"/>
            <w:r w:rsidRPr="00561301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DA20D" w:rsidR="001E41F3" w:rsidRDefault="00FE0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</w:t>
              </w:r>
              <w:r w:rsidR="006A2B54">
                <w:rPr>
                  <w:noProof/>
                  <w:lang w:eastAsia="zh-CN"/>
                </w:rPr>
                <w:t>11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561301">
                <w:rPr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FE07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FE0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92503" w:rsidR="003B2B33" w:rsidRPr="00A11F11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now, the note for NTN frequency ranges are in brakets</w:t>
            </w:r>
            <w:r w:rsidR="000B34BF">
              <w:rPr>
                <w:noProof/>
                <w:lang w:eastAsia="zh-CN"/>
              </w:rPr>
              <w:t xml:space="preserve"> in </w:t>
            </w:r>
            <w:r w:rsidR="00231F09">
              <w:rPr>
                <w:rFonts w:eastAsia="等线"/>
                <w:lang w:eastAsia="zh-CN"/>
              </w:rPr>
              <w:t>Table 5.1-1</w:t>
            </w:r>
            <w:r w:rsidR="00524608">
              <w:rPr>
                <w:rFonts w:eastAsia="等线"/>
                <w:lang w:eastAsia="zh-CN"/>
              </w:rPr>
              <w:t xml:space="preserve"> </w:t>
            </w:r>
            <w:r w:rsidR="00231F09">
              <w:rPr>
                <w:rFonts w:eastAsia="等线"/>
                <w:lang w:eastAsia="zh-CN"/>
              </w:rPr>
              <w:t xml:space="preserve">in </w:t>
            </w:r>
            <w:r w:rsidR="000B34BF">
              <w:rPr>
                <w:noProof/>
                <w:lang w:eastAsia="zh-CN"/>
              </w:rPr>
              <w:t>TS38.101-5</w:t>
            </w:r>
            <w:r>
              <w:rPr>
                <w:noProof/>
                <w:lang w:eastAsia="zh-CN"/>
              </w:rPr>
              <w:t xml:space="preserve">. It causes confusion for other groups try to refer to the note. </w:t>
            </w:r>
            <w:r w:rsidR="00524608">
              <w:rPr>
                <w:noProof/>
                <w:lang w:eastAsia="zh-CN"/>
              </w:rPr>
              <w:t>To make it clear,</w:t>
            </w:r>
            <w:r>
              <w:rPr>
                <w:noProof/>
                <w:lang w:eastAsia="zh-CN"/>
              </w:rPr>
              <w:t xml:space="preserve"> FR2-NTN bands </w:t>
            </w:r>
            <w:r w:rsidR="00F42826">
              <w:rPr>
                <w:noProof/>
                <w:lang w:eastAsia="zh-CN"/>
              </w:rPr>
              <w:t>can be</w:t>
            </w:r>
            <w:r>
              <w:rPr>
                <w:noProof/>
                <w:lang w:eastAsia="zh-CN"/>
              </w:rPr>
              <w:t xml:space="preserve"> regarded as FR2-1</w:t>
            </w:r>
            <w:r w:rsidR="00FD595B">
              <w:rPr>
                <w:noProof/>
                <w:lang w:eastAsia="zh-CN"/>
              </w:rPr>
              <w:t>, instead of simply to say FR2, since SCS ane channel bandwidth parameters are aligned for FR2-NTN and FR2-1.</w:t>
            </w:r>
            <w:r w:rsidR="00231F09">
              <w:rPr>
                <w:noProof/>
                <w:lang w:eastAsia="zh-CN"/>
              </w:rPr>
              <w:t xml:space="preserve"> Specifically, </w:t>
            </w:r>
            <w:r w:rsidR="00231F09" w:rsidRPr="00231F09">
              <w:rPr>
                <w:noProof/>
                <w:lang w:eastAsia="zh-CN"/>
              </w:rPr>
              <w:t>there is a similar description specified as NOTE 2 in Table 8.1C.1-2 in TS 38.133</w:t>
            </w:r>
            <w:r w:rsidR="00231F09">
              <w:rPr>
                <w:noProof/>
                <w:lang w:eastAsia="zh-CN"/>
              </w:rPr>
              <w:t xml:space="preserve">. To align with the decription specified, </w:t>
            </w:r>
            <w:r w:rsidR="003902EA">
              <w:rPr>
                <w:noProof/>
                <w:lang w:eastAsia="zh-CN"/>
              </w:rPr>
              <w:t>the NOTE 2 shall be modefied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F3CD6" w14:textId="20CEEC4F" w:rsidR="00A11F11" w:rsidRDefault="00561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Remove the brackets on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  <w:p w14:paraId="31C656EC" w14:textId="3357F092" w:rsidR="00561301" w:rsidRDefault="00561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Change ‘FR2’ to ‘FR2-1’ in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E41CE" w:rsidR="001E41F3" w:rsidRDefault="00FD5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notes in </w:t>
            </w:r>
            <w:r w:rsidR="000D6F6E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 xml:space="preserve"> are still in brackets. And NOTE 2 is still not that precise.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A3448" w:rsidR="001E41F3" w:rsidRDefault="001C3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63764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52BAA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1175E2FE" w14:textId="77777777" w:rsidR="001C3509" w:rsidRPr="009C5807" w:rsidRDefault="001C3509" w:rsidP="001C3509">
      <w:pPr>
        <w:pStyle w:val="2"/>
      </w:pPr>
      <w:r w:rsidRPr="009C5807">
        <w:t>8.1</w:t>
      </w:r>
      <w:r>
        <w:rPr>
          <w:lang w:eastAsia="zh-CN"/>
        </w:rPr>
        <w:t>C</w:t>
      </w:r>
      <w:r w:rsidRPr="009C5807">
        <w:tab/>
        <w:t>Radio Link Monitoring</w:t>
      </w:r>
      <w:r>
        <w:t xml:space="preserve"> for Satellite Access</w:t>
      </w:r>
    </w:p>
    <w:p w14:paraId="7291E77D" w14:textId="77777777" w:rsidR="001C3509" w:rsidRPr="009C5807" w:rsidRDefault="001C3509" w:rsidP="001C3509">
      <w:pPr>
        <w:pStyle w:val="3"/>
      </w:pPr>
      <w:r>
        <w:t>8.1C.1</w:t>
      </w:r>
      <w:r w:rsidRPr="009C5807">
        <w:tab/>
        <w:t>Introduction</w:t>
      </w:r>
    </w:p>
    <w:p w14:paraId="626A8F9C" w14:textId="77777777" w:rsidR="001C3509" w:rsidRPr="009C5807" w:rsidRDefault="001C3509" w:rsidP="001C3509">
      <w:pPr>
        <w:rPr>
          <w:rFonts w:cs="v5.0.0"/>
        </w:rPr>
      </w:pPr>
      <w:r w:rsidRPr="009C5807">
        <w:t>The requirements in clause 8.1</w:t>
      </w:r>
      <w:r>
        <w:t>C</w:t>
      </w:r>
      <w:r w:rsidRPr="009C5807">
        <w:t xml:space="preserve"> apply for radio link monitoring on</w:t>
      </w:r>
      <w:r>
        <w:t xml:space="preserve"> </w:t>
      </w:r>
      <w:proofErr w:type="spellStart"/>
      <w:r w:rsidRPr="00C235A2">
        <w:rPr>
          <w:lang w:val="en-US"/>
        </w:rPr>
        <w:t>PCell</w:t>
      </w:r>
      <w:proofErr w:type="spellEnd"/>
      <w:r w:rsidRPr="00C235A2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C235A2">
        <w:rPr>
          <w:lang w:val="en-US"/>
        </w:rPr>
        <w:t xml:space="preserve">the UE is configured with only </w:t>
      </w:r>
      <w:proofErr w:type="spellStart"/>
      <w:r w:rsidRPr="004F1E9C">
        <w:rPr>
          <w:lang w:val="en-US"/>
        </w:rPr>
        <w:t>PCell</w:t>
      </w:r>
      <w:proofErr w:type="spellEnd"/>
      <w:r>
        <w:rPr>
          <w:lang w:val="en-US"/>
        </w:rPr>
        <w:t>, which is served by satellite access node (SAN</w:t>
      </w:r>
      <w:proofErr w:type="gramStart"/>
      <w:r>
        <w:rPr>
          <w:lang w:val="en-US"/>
        </w:rPr>
        <w:t>).</w:t>
      </w:r>
      <w:r w:rsidRPr="009C5807">
        <w:rPr>
          <w:rFonts w:cs="v5.0.0"/>
        </w:rPr>
        <w:t>The</w:t>
      </w:r>
      <w:proofErr w:type="gramEnd"/>
      <w:r w:rsidRPr="009C5807">
        <w:rPr>
          <w:rFonts w:cs="v5.0.0"/>
        </w:rPr>
        <w:t xml:space="preserve"> UE shall monitor the downlink radio link quality based on the reference signal configured as RLM-RS resource(s) in order to detect the </w:t>
      </w:r>
      <w:r w:rsidRPr="009C5807">
        <w:t xml:space="preserve">downlink radio link quality of the </w:t>
      </w:r>
      <w:proofErr w:type="spellStart"/>
      <w:r w:rsidRPr="009C5807">
        <w:t>PCell</w:t>
      </w:r>
      <w:proofErr w:type="spellEnd"/>
      <w:r w:rsidRPr="009C5807">
        <w:t xml:space="preserve"> </w:t>
      </w:r>
      <w:r w:rsidRPr="009C5807">
        <w:rPr>
          <w:rFonts w:cs="v5.0.0"/>
        </w:rPr>
        <w:t xml:space="preserve">as specified in </w:t>
      </w:r>
      <w:r w:rsidRPr="009C5807">
        <w:t>TS 38.213</w:t>
      </w:r>
      <w:r w:rsidRPr="009C5807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D142E69" w14:textId="77777777" w:rsidR="001C3509" w:rsidRPr="009C5807" w:rsidRDefault="001C3509" w:rsidP="001C3509">
      <w:r w:rsidRPr="009C5807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for the purpose of monitoring </w:t>
      </w:r>
      <w:r w:rsidRPr="009C5807">
        <w:t>downlink radio link quality of the cell</w:t>
      </w:r>
      <w:r w:rsidRPr="009C5807">
        <w:rPr>
          <w:rFonts w:eastAsia="?? ??" w:cs="v5.0.0"/>
        </w:rPr>
        <w:t>.</w:t>
      </w:r>
    </w:p>
    <w:p w14:paraId="7A454AB5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</w:t>
      </w:r>
      <w:r w:rsidRPr="009C5807">
        <w:rPr>
          <w:rFonts w:eastAsia="?? ??" w:cs="v5.0.0"/>
        </w:rPr>
        <w:t xml:space="preserve">.1-1.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-1.</w:t>
      </w:r>
    </w:p>
    <w:p w14:paraId="4F4FF66B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 xml:space="preserve"> and shall correspond to the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in_SSB</w:t>
      </w:r>
      <w:proofErr w:type="spellEnd"/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8.1C.2.1</w:t>
      </w:r>
      <w:r w:rsidRPr="009C5807">
        <w:rPr>
          <w:rFonts w:eastAsia="?? ??" w:cs="v5.0.0"/>
        </w:rPr>
        <w:t xml:space="preserve">-2. For CSI-RS based radio link monitoring, </w:t>
      </w:r>
      <w:proofErr w:type="spellStart"/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in_CSI</w:t>
      </w:r>
      <w:proofErr w:type="spellEnd"/>
      <w:r w:rsidRPr="009C5807">
        <w:rPr>
          <w:rFonts w:cs="v5.0.0"/>
          <w:vertAlign w:val="subscript"/>
        </w:rPr>
        <w:t>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-2.</w:t>
      </w:r>
    </w:p>
    <w:p w14:paraId="49AD39AB" w14:textId="77777777" w:rsidR="001C3509" w:rsidRPr="009C5807" w:rsidRDefault="001C3509" w:rsidP="001C3509">
      <w:r w:rsidRPr="009C5807">
        <w:rPr>
          <w:rFonts w:eastAsia="?? ??" w:cs="v5.0.0"/>
        </w:rPr>
        <w:t>The out-of-sync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out</w:t>
      </w:r>
      <w:proofErr w:type="spellEnd"/>
      <w:r w:rsidRPr="009C5807">
        <w:rPr>
          <w:rFonts w:eastAsia="?? ??" w:cs="v5.0.0"/>
        </w:rPr>
        <w:t>) and in-sync block error rate (</w:t>
      </w:r>
      <w:proofErr w:type="spellStart"/>
      <w:r w:rsidRPr="009C5807">
        <w:rPr>
          <w:rFonts w:eastAsia="?? ??" w:cs="v5.0.0"/>
        </w:rPr>
        <w:t>BLER</w:t>
      </w:r>
      <w:r w:rsidRPr="009C5807">
        <w:rPr>
          <w:rFonts w:eastAsia="?? ??" w:cs="v5.0.0"/>
          <w:vertAlign w:val="subscript"/>
        </w:rPr>
        <w:t>in</w:t>
      </w:r>
      <w:proofErr w:type="spellEnd"/>
      <w:r w:rsidRPr="009C5807">
        <w:rPr>
          <w:rFonts w:eastAsia="?? ??" w:cs="v5.0.0"/>
        </w:rPr>
        <w:t xml:space="preserve">) are determined from the network configuration via parameter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signalled by higher layers. When UE is not configured with </w:t>
      </w:r>
      <w:proofErr w:type="spellStart"/>
      <w:r w:rsidRPr="009C5807">
        <w:rPr>
          <w:i/>
          <w:iCs/>
          <w:sz w:val="21"/>
          <w:szCs w:val="21"/>
        </w:rPr>
        <w:t>rlmInSyncOutOfSyncThreshold</w:t>
      </w:r>
      <w:proofErr w:type="spellEnd"/>
      <w:r w:rsidRPr="009C5807">
        <w:rPr>
          <w:rFonts w:eastAsia="?? ??" w:cs="v5.0.0"/>
        </w:rPr>
        <w:t xml:space="preserve"> from the network, UE determines out-of-sync and in-sync block error rates from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 by default. All requirements in clause 8.1</w:t>
      </w:r>
      <w:r>
        <w:rPr>
          <w:rFonts w:eastAsia="?? ??" w:cs="v5.0.0"/>
        </w:rPr>
        <w:t>C</w:t>
      </w:r>
      <w:r w:rsidRPr="009C5807">
        <w:rPr>
          <w:rFonts w:eastAsia="?? ??" w:cs="v5.0.0"/>
        </w:rPr>
        <w:t xml:space="preserve"> are applicable for BLER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-1.</w:t>
      </w:r>
    </w:p>
    <w:p w14:paraId="158A23F3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>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1C3509" w:rsidRPr="009C5807" w14:paraId="6A73B408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6F91D80C" w14:textId="77777777" w:rsidR="001C3509" w:rsidRPr="009C5807" w:rsidRDefault="001C3509" w:rsidP="0042359B">
            <w:pPr>
              <w:pStyle w:val="TAH"/>
            </w:pPr>
            <w:r w:rsidRPr="009C5807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91A3C18" w14:textId="77777777" w:rsidR="001C3509" w:rsidRPr="009C5807" w:rsidRDefault="001C3509" w:rsidP="0042359B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0E8048C0" w14:textId="77777777" w:rsidR="001C3509" w:rsidRPr="009C5807" w:rsidRDefault="001C3509" w:rsidP="0042359B">
            <w:pPr>
              <w:pStyle w:val="TAH"/>
            </w:pPr>
            <w:proofErr w:type="spellStart"/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1C3509" w:rsidRPr="009C5807" w14:paraId="428C6EAB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73CE7F47" w14:textId="77777777" w:rsidR="001C3509" w:rsidRPr="009C5807" w:rsidRDefault="001C3509" w:rsidP="0042359B">
            <w:pPr>
              <w:pStyle w:val="TAC"/>
            </w:pPr>
            <w:r w:rsidRPr="009C5807">
              <w:t>0</w:t>
            </w:r>
          </w:p>
        </w:tc>
        <w:tc>
          <w:tcPr>
            <w:tcW w:w="1531" w:type="dxa"/>
            <w:shd w:val="clear" w:color="auto" w:fill="auto"/>
          </w:tcPr>
          <w:p w14:paraId="53F5C7F8" w14:textId="77777777" w:rsidR="001C3509" w:rsidRPr="009C5807" w:rsidRDefault="001C3509" w:rsidP="0042359B">
            <w:pPr>
              <w:pStyle w:val="TAC"/>
            </w:pPr>
            <w:r w:rsidRPr="009C5807">
              <w:t>10%</w:t>
            </w:r>
          </w:p>
        </w:tc>
        <w:tc>
          <w:tcPr>
            <w:tcW w:w="1525" w:type="dxa"/>
            <w:shd w:val="clear" w:color="auto" w:fill="auto"/>
          </w:tcPr>
          <w:p w14:paraId="170554A1" w14:textId="77777777" w:rsidR="001C3509" w:rsidRPr="009C5807" w:rsidRDefault="001C3509" w:rsidP="0042359B">
            <w:pPr>
              <w:pStyle w:val="TAC"/>
            </w:pPr>
            <w:r w:rsidRPr="009C5807">
              <w:t>2%</w:t>
            </w:r>
          </w:p>
        </w:tc>
      </w:tr>
    </w:tbl>
    <w:p w14:paraId="207E6938" w14:textId="77777777" w:rsidR="001C3509" w:rsidRPr="009C5807" w:rsidRDefault="001C3509" w:rsidP="001C3509"/>
    <w:p w14:paraId="2C974DAE" w14:textId="77777777" w:rsidR="001C3509" w:rsidRPr="009C5807" w:rsidRDefault="001C3509" w:rsidP="001C3509">
      <w:r w:rsidRPr="009C5807">
        <w:t xml:space="preserve">UE shall be able to monitor up to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RLM-RS resources of the same or different types in each corresponding carrier frequency range, depending on a maximum number </w:t>
      </w:r>
      <w:r w:rsidRPr="009C5807">
        <w:rPr>
          <w:iCs/>
          <w:position w:val="-10"/>
        </w:rPr>
        <w:object w:dxaOrig="400" w:dyaOrig="300" w14:anchorId="5B6AE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5pt;height:10.75pt" o:ole="">
            <v:imagedata r:id="rId15" o:title=""/>
          </v:shape>
          <o:OLEObject Type="Embed" ProgID="Equation.3" ShapeID="_x0000_i1025" DrawAspect="Content" ObjectID="_1792600369" r:id="rId16"/>
        </w:object>
      </w:r>
      <w:r w:rsidRPr="009C5807">
        <w:rPr>
          <w:iCs/>
        </w:rPr>
        <w:t xml:space="preserve"> </w:t>
      </w:r>
      <w:r w:rsidRPr="009C5807">
        <w:t>of SS</w:t>
      </w:r>
      <w:r w:rsidRPr="009C5807">
        <w:rPr>
          <w:lang w:eastAsia="zh-CN"/>
        </w:rPr>
        <w:t>Bs</w:t>
      </w:r>
      <w:r w:rsidRPr="009C5807">
        <w:t xml:space="preserve"> per half frame</w:t>
      </w:r>
      <w:r w:rsidRPr="009C5807">
        <w:rPr>
          <w:lang w:eastAsia="zh-CN"/>
        </w:rPr>
        <w:t xml:space="preserve"> </w:t>
      </w:r>
      <w:r w:rsidRPr="009C5807">
        <w:t>according to TS 38.213</w:t>
      </w:r>
      <w:r w:rsidRPr="009C5807">
        <w:rPr>
          <w:lang w:eastAsia="zh-CN"/>
        </w:rPr>
        <w:t xml:space="preserve"> [3], </w:t>
      </w:r>
      <w:r w:rsidRPr="009C5807">
        <w:t xml:space="preserve">where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is specified in Table </w:t>
      </w:r>
      <w:r>
        <w:t>8.1C.1</w:t>
      </w:r>
      <w:r w:rsidRPr="009C5807">
        <w:t>-2</w:t>
      </w:r>
      <w:r w:rsidRPr="00D10036">
        <w:rPr>
          <w:rFonts w:cs="v5.0.0"/>
        </w:rPr>
        <w:t xml:space="preserve"> </w:t>
      </w:r>
      <w:r>
        <w:rPr>
          <w:rFonts w:cs="v5.0.0"/>
        </w:rPr>
        <w:t>according TS 38.213 [3]</w:t>
      </w:r>
      <w:r w:rsidRPr="009C5807">
        <w:t xml:space="preserve">, and meet the requirements as specified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. UE is not required to meet the requirements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 if RLM-RS is not configured and no TCI state for PDCCH is activated.</w:t>
      </w:r>
    </w:p>
    <w:p w14:paraId="438BD8DD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 xml:space="preserve">-2: Maximum number of RLM-RS resources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188"/>
        <w:gridCol w:w="3454"/>
      </w:tblGrid>
      <w:tr w:rsidR="001C3509" w:rsidRPr="00414191" w14:paraId="00A6495F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670B69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 xml:space="preserve">Carrier frequency range of </w:t>
            </w:r>
            <w:proofErr w:type="spellStart"/>
            <w:r w:rsidRPr="00414191">
              <w:rPr>
                <w:rFonts w:ascii="Arial" w:hAnsi="Arial"/>
                <w:b/>
                <w:sz w:val="18"/>
              </w:rPr>
              <w:t>PCell</w:t>
            </w:r>
            <w:proofErr w:type="spellEnd"/>
            <w:r w:rsidRPr="00414191" w:rsidDel="00E727E5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3264" w:type="dxa"/>
          </w:tcPr>
          <w:p w14:paraId="3BCDF95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iCs/>
                <w:position w:val="-10"/>
                <w:sz w:val="18"/>
              </w:rPr>
              <w:object w:dxaOrig="400" w:dyaOrig="300" w14:anchorId="2FF97E7A">
                <v:shape id="_x0000_i1026" type="#_x0000_t75" style="width:41.35pt;height:19.9pt" o:ole="">
                  <v:imagedata r:id="rId15" o:title=""/>
                </v:shape>
                <o:OLEObject Type="Embed" ProgID="Equation.3" ShapeID="_x0000_i1026" DrawAspect="Content" ObjectID="_1792600370" r:id="rId17"/>
              </w:object>
            </w:r>
          </w:p>
        </w:tc>
        <w:tc>
          <w:tcPr>
            <w:tcW w:w="3536" w:type="dxa"/>
            <w:shd w:val="clear" w:color="auto" w:fill="auto"/>
          </w:tcPr>
          <w:p w14:paraId="67E2BE2A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 xml:space="preserve">Maximum number of RLM-RS resources, </w:t>
            </w:r>
            <w:r w:rsidRPr="00414191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414191">
              <w:rPr>
                <w:rFonts w:ascii="Arial" w:hAnsi="Arial"/>
                <w:b/>
                <w:sz w:val="18"/>
                <w:vertAlign w:val="subscript"/>
              </w:rPr>
              <w:t>RLM</w:t>
            </w:r>
            <w:r w:rsidRPr="00414191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1C3509" w:rsidRPr="00414191" w14:paraId="42817C53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06597B8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 xml:space="preserve">FR1, </w:t>
            </w:r>
            <w:r w:rsidRPr="00414191">
              <w:rPr>
                <w:rFonts w:ascii="Arial" w:hAnsi="Arial" w:hint="eastAsia"/>
                <w:sz w:val="18"/>
              </w:rPr>
              <w:t>≤</w:t>
            </w:r>
            <w:r w:rsidRPr="00414191">
              <w:rPr>
                <w:rFonts w:ascii="Arial" w:hAnsi="Arial"/>
                <w:sz w:val="18"/>
              </w:rPr>
              <w:t xml:space="preserve"> 3 </w:t>
            </w:r>
            <w:proofErr w:type="spellStart"/>
            <w:r w:rsidRPr="00414191">
              <w:rPr>
                <w:rFonts w:ascii="Arial" w:hAnsi="Arial"/>
                <w:sz w:val="18"/>
              </w:rPr>
              <w:t>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31E3F455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11213882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</w:rPr>
              <w:t>2</w:t>
            </w:r>
          </w:p>
        </w:tc>
      </w:tr>
      <w:tr w:rsidR="001C3509" w:rsidRPr="00414191" w14:paraId="4CA3B9D7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7C8B5AF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 xml:space="preserve">FR1, &gt; 3 </w:t>
            </w:r>
            <w:proofErr w:type="spellStart"/>
            <w:r w:rsidRPr="00414191">
              <w:rPr>
                <w:rFonts w:ascii="Arial" w:hAnsi="Arial"/>
                <w:sz w:val="18"/>
              </w:rPr>
              <w:t>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092DEA50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4182A93F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</w:tr>
      <w:tr w:rsidR="001C3509" w:rsidRPr="00414191" w14:paraId="50BC2E5D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401D52C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[FR2-</w:t>
            </w:r>
            <w:proofErr w:type="gramStart"/>
            <w:r>
              <w:rPr>
                <w:rFonts w:ascii="Arial" w:hAnsi="Arial"/>
                <w:sz w:val="18"/>
              </w:rPr>
              <w:t>NTN]</w:t>
            </w:r>
            <w:r w:rsidRPr="00E54DE6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>
              <w:rPr>
                <w:rFonts w:ascii="Arial" w:hAnsi="Arial"/>
                <w:sz w:val="18"/>
                <w:vertAlign w:val="superscript"/>
              </w:rPr>
              <w:t xml:space="preserve"> 2</w:t>
            </w:r>
          </w:p>
        </w:tc>
        <w:tc>
          <w:tcPr>
            <w:tcW w:w="3264" w:type="dxa"/>
            <w:vAlign w:val="center"/>
          </w:tcPr>
          <w:p w14:paraId="3FFDAF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0235459C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1C3509" w:rsidRPr="00414191" w14:paraId="664EA694" w14:textId="77777777" w:rsidTr="0042359B">
        <w:trPr>
          <w:jc w:val="center"/>
        </w:trPr>
        <w:tc>
          <w:tcPr>
            <w:tcW w:w="9855" w:type="dxa"/>
            <w:gridSpan w:val="3"/>
          </w:tcPr>
          <w:p w14:paraId="5E4B8492" w14:textId="77777777" w:rsidR="001C3509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  <w:lang w:eastAsia="zh-CN"/>
              </w:rPr>
              <w:t>NOTE:</w:t>
            </w:r>
            <w:r w:rsidRPr="00414191">
              <w:rPr>
                <w:rFonts w:ascii="Arial" w:hAnsi="Arial"/>
                <w:sz w:val="24"/>
              </w:rPr>
              <w:tab/>
            </w:r>
            <w:r w:rsidRPr="00414191">
              <w:rPr>
                <w:rFonts w:ascii="Arial" w:hAnsi="Arial"/>
                <w:sz w:val="18"/>
                <w:lang w:eastAsia="zh-CN"/>
              </w:rPr>
              <w:t>For unpaired spectrum operation with Case C - 30 kHz SCS, 3GHz is replaced by 1.88GHz, as specified in clause 4.1 in TS 38.213 [3].</w:t>
            </w:r>
          </w:p>
          <w:p w14:paraId="1229BD44" w14:textId="0D41E331" w:rsidR="001C3509" w:rsidRPr="00414191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2: </w:t>
            </w:r>
            <w:del w:id="2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8E7304">
              <w:rPr>
                <w:rFonts w:ascii="Arial" w:hAnsi="Arial"/>
                <w:sz w:val="18"/>
                <w:lang w:eastAsia="zh-CN"/>
              </w:rPr>
              <w:t>NTN bands within this frequency range are regarded as a FR2</w:t>
            </w:r>
            <w:ins w:id="3" w:author="vivo-Minhua" w:date="2024-09-30T14:50:00Z">
              <w:r w:rsidR="00904AA4">
                <w:rPr>
                  <w:rFonts w:ascii="Arial" w:hAnsi="Arial"/>
                  <w:sz w:val="18"/>
                  <w:lang w:eastAsia="zh-CN"/>
                </w:rPr>
                <w:t>-1</w:t>
              </w:r>
            </w:ins>
            <w:r w:rsidRPr="008E7304">
              <w:rPr>
                <w:rFonts w:ascii="Arial" w:hAnsi="Arial"/>
                <w:sz w:val="18"/>
                <w:lang w:eastAsia="zh-CN"/>
              </w:rPr>
              <w:t xml:space="preserve"> band when references from other specifications.</w:t>
            </w:r>
            <w:del w:id="4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41B8E868" w:rsidR="001E41F3" w:rsidRDefault="001E41F3" w:rsidP="001C3509">
      <w:pPr>
        <w:rPr>
          <w:noProof/>
        </w:rPr>
      </w:pPr>
    </w:p>
    <w:p w14:paraId="7BE1E515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&lt;End of Change 1&gt;</w:t>
      </w:r>
    </w:p>
    <w:p w14:paraId="6DB8BAD7" w14:textId="77777777" w:rsidR="001C3509" w:rsidRPr="00790B87" w:rsidRDefault="001C3509" w:rsidP="001C3509">
      <w:pPr>
        <w:rPr>
          <w:noProof/>
        </w:rPr>
      </w:pPr>
    </w:p>
    <w:sectPr w:rsidR="001C3509" w:rsidRPr="00790B87" w:rsidSect="0065782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769E2" w14:textId="77777777" w:rsidR="00FE0729" w:rsidRDefault="00FE0729">
      <w:r>
        <w:separator/>
      </w:r>
    </w:p>
  </w:endnote>
  <w:endnote w:type="continuationSeparator" w:id="0">
    <w:p w14:paraId="69A0AA6D" w14:textId="77777777" w:rsidR="00FE0729" w:rsidRDefault="00FE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7A6AE" w14:textId="77777777" w:rsidR="00FE0729" w:rsidRDefault="00FE0729">
      <w:r>
        <w:separator/>
      </w:r>
    </w:p>
  </w:footnote>
  <w:footnote w:type="continuationSeparator" w:id="0">
    <w:p w14:paraId="6F0E6116" w14:textId="77777777" w:rsidR="00FE0729" w:rsidRDefault="00FE0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Minhua">
    <w15:presenceInfo w15:providerId="None" w15:userId="vivo-Mi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I0NTS1MDAxNjIyMLBU0lEKTi0uzszPAykwrQUA+jJwkywAAAA="/>
  </w:docVars>
  <w:rsids>
    <w:rsidRoot w:val="00022E4A"/>
    <w:rsid w:val="00022E4A"/>
    <w:rsid w:val="0003319B"/>
    <w:rsid w:val="00070E09"/>
    <w:rsid w:val="000A6394"/>
    <w:rsid w:val="000B131E"/>
    <w:rsid w:val="000B2187"/>
    <w:rsid w:val="000B34BF"/>
    <w:rsid w:val="000B7FED"/>
    <w:rsid w:val="000C038A"/>
    <w:rsid w:val="000C6598"/>
    <w:rsid w:val="000D44B3"/>
    <w:rsid w:val="000D6F6E"/>
    <w:rsid w:val="0013313E"/>
    <w:rsid w:val="00145D43"/>
    <w:rsid w:val="00192C46"/>
    <w:rsid w:val="001A08B3"/>
    <w:rsid w:val="001A7B60"/>
    <w:rsid w:val="001B52F0"/>
    <w:rsid w:val="001B7A65"/>
    <w:rsid w:val="001C3509"/>
    <w:rsid w:val="001E41F3"/>
    <w:rsid w:val="00230456"/>
    <w:rsid w:val="00231F09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233D1"/>
    <w:rsid w:val="00333356"/>
    <w:rsid w:val="003609EF"/>
    <w:rsid w:val="0036231A"/>
    <w:rsid w:val="00374DD4"/>
    <w:rsid w:val="003760A7"/>
    <w:rsid w:val="003902EA"/>
    <w:rsid w:val="003B2B33"/>
    <w:rsid w:val="003E1A36"/>
    <w:rsid w:val="00410371"/>
    <w:rsid w:val="004242F1"/>
    <w:rsid w:val="004267C0"/>
    <w:rsid w:val="004B75B7"/>
    <w:rsid w:val="005141D9"/>
    <w:rsid w:val="0051580D"/>
    <w:rsid w:val="00524608"/>
    <w:rsid w:val="00547111"/>
    <w:rsid w:val="00561301"/>
    <w:rsid w:val="00592D74"/>
    <w:rsid w:val="005E2C44"/>
    <w:rsid w:val="005F4242"/>
    <w:rsid w:val="00607F1E"/>
    <w:rsid w:val="00621188"/>
    <w:rsid w:val="006257ED"/>
    <w:rsid w:val="00653DE4"/>
    <w:rsid w:val="00657827"/>
    <w:rsid w:val="00660572"/>
    <w:rsid w:val="00665C47"/>
    <w:rsid w:val="00671D75"/>
    <w:rsid w:val="00695808"/>
    <w:rsid w:val="006A2B54"/>
    <w:rsid w:val="006B46FB"/>
    <w:rsid w:val="006E21FB"/>
    <w:rsid w:val="007628FB"/>
    <w:rsid w:val="00777570"/>
    <w:rsid w:val="00790B87"/>
    <w:rsid w:val="00792342"/>
    <w:rsid w:val="007977A8"/>
    <w:rsid w:val="007A5276"/>
    <w:rsid w:val="007B512A"/>
    <w:rsid w:val="007C2097"/>
    <w:rsid w:val="007D6A07"/>
    <w:rsid w:val="007F7259"/>
    <w:rsid w:val="008040A8"/>
    <w:rsid w:val="00811CB2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04AA4"/>
    <w:rsid w:val="009148DE"/>
    <w:rsid w:val="00941E30"/>
    <w:rsid w:val="009531B0"/>
    <w:rsid w:val="00973579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366C5"/>
    <w:rsid w:val="00A47E70"/>
    <w:rsid w:val="00A50CF0"/>
    <w:rsid w:val="00A7671C"/>
    <w:rsid w:val="00AA2CBC"/>
    <w:rsid w:val="00AC5820"/>
    <w:rsid w:val="00AD1CD8"/>
    <w:rsid w:val="00AF5075"/>
    <w:rsid w:val="00B258BB"/>
    <w:rsid w:val="00B25A19"/>
    <w:rsid w:val="00B26A52"/>
    <w:rsid w:val="00B542F4"/>
    <w:rsid w:val="00B67B97"/>
    <w:rsid w:val="00B968C8"/>
    <w:rsid w:val="00BA3EC5"/>
    <w:rsid w:val="00BA51D9"/>
    <w:rsid w:val="00BB5DFC"/>
    <w:rsid w:val="00BC7EDB"/>
    <w:rsid w:val="00BD279D"/>
    <w:rsid w:val="00BD6BB8"/>
    <w:rsid w:val="00C13EC6"/>
    <w:rsid w:val="00C66BA2"/>
    <w:rsid w:val="00C77880"/>
    <w:rsid w:val="00C870F6"/>
    <w:rsid w:val="00C95985"/>
    <w:rsid w:val="00CC5026"/>
    <w:rsid w:val="00CC68D0"/>
    <w:rsid w:val="00CF0B70"/>
    <w:rsid w:val="00D03F9A"/>
    <w:rsid w:val="00D06D51"/>
    <w:rsid w:val="00D24991"/>
    <w:rsid w:val="00D50255"/>
    <w:rsid w:val="00D66520"/>
    <w:rsid w:val="00D7594A"/>
    <w:rsid w:val="00D84AE9"/>
    <w:rsid w:val="00D9124E"/>
    <w:rsid w:val="00DC7F44"/>
    <w:rsid w:val="00DE34CF"/>
    <w:rsid w:val="00E053A1"/>
    <w:rsid w:val="00E13F3D"/>
    <w:rsid w:val="00E34898"/>
    <w:rsid w:val="00E54EFC"/>
    <w:rsid w:val="00E82002"/>
    <w:rsid w:val="00E93908"/>
    <w:rsid w:val="00EA650B"/>
    <w:rsid w:val="00EB09B7"/>
    <w:rsid w:val="00EB781C"/>
    <w:rsid w:val="00EE7D7C"/>
    <w:rsid w:val="00F25D98"/>
    <w:rsid w:val="00F300FB"/>
    <w:rsid w:val="00F42826"/>
    <w:rsid w:val="00F71691"/>
    <w:rsid w:val="00FA2FA1"/>
    <w:rsid w:val="00FB6386"/>
    <w:rsid w:val="00FD595B"/>
    <w:rsid w:val="00FE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CA43-528C-406F-B061-E3A803959D21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98194d48-cc26-4b7e-909f-baa95c83abfa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1c248485-b98a-4513-a581-ff7cb1688d78"/>
  </ds:schemaRefs>
</ds:datastoreItem>
</file>

<file path=customXml/itemProps2.xml><?xml version="1.0" encoding="utf-8"?>
<ds:datastoreItem xmlns:ds="http://schemas.openxmlformats.org/officeDocument/2006/customXml" ds:itemID="{D1457B16-7E63-49FE-B0C4-51706900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D8880A-9915-4C5A-A673-3567B040C4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58622-F15D-4D93-9B81-6D5AF2EF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vivo-Minhua</cp:lastModifiedBy>
  <cp:revision>2</cp:revision>
  <cp:lastPrinted>1899-12-31T23:00:00Z</cp:lastPrinted>
  <dcterms:created xsi:type="dcterms:W3CDTF">2024-11-08T11:44:00Z</dcterms:created>
  <dcterms:modified xsi:type="dcterms:W3CDTF">2024-11-08T11:44:00Z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