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3EBBE" w14:textId="0E5C7EA0" w:rsidR="00FE40F0" w:rsidRPr="00AF6246" w:rsidRDefault="00FE40F0" w:rsidP="00FE40F0">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014841">
        <w:rPr>
          <w:rFonts w:ascii="Arial" w:hAnsi="Arial" w:cs="Arial" w:hint="eastAsia"/>
          <w:b/>
          <w:noProof/>
          <w:kern w:val="0"/>
          <w:sz w:val="24"/>
          <w:szCs w:val="24"/>
        </w:rPr>
        <w:t xml:space="preserve">  </w:t>
      </w:r>
      <w:r w:rsidR="00014841" w:rsidRPr="00014841">
        <w:rPr>
          <w:rFonts w:ascii="Arial" w:hAnsi="Arial" w:cs="Arial"/>
          <w:b/>
          <w:noProof/>
          <w:kern w:val="0"/>
          <w:sz w:val="24"/>
          <w:szCs w:val="24"/>
        </w:rPr>
        <w:t>R4-2418742</w:t>
      </w:r>
    </w:p>
    <w:p w14:paraId="13879372" w14:textId="77777777" w:rsidR="00FE40F0" w:rsidRDefault="00FE40F0" w:rsidP="00FE40F0">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bookmarkEnd w:id="0"/>
    <w:p w14:paraId="2E7B98D0" w14:textId="77777777" w:rsidR="00F302DC" w:rsidRPr="00FE40F0" w:rsidRDefault="00F302DC">
      <w:pPr>
        <w:rPr>
          <w:rFonts w:ascii="Arial" w:hAnsi="Arial" w:cs="Arial"/>
          <w:b/>
          <w:bCs/>
          <w:sz w:val="24"/>
          <w:szCs w:val="28"/>
        </w:rPr>
      </w:pPr>
    </w:p>
    <w:p w14:paraId="56A23083" w14:textId="09318293" w:rsidR="00F302DC" w:rsidRPr="00A10D0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0D0B">
        <w:rPr>
          <w:rFonts w:ascii="Arial" w:eastAsiaTheme="minorEastAsia" w:hAnsi="Arial" w:cs="Arial" w:hint="eastAsia"/>
          <w:b/>
          <w:sz w:val="24"/>
          <w:szCs w:val="24"/>
        </w:rPr>
        <w:t>7.1.1.2.1</w:t>
      </w:r>
    </w:p>
    <w:p w14:paraId="272C0056" w14:textId="77777777" w:rsidR="00F302DC"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15A88D" w14:textId="77777777" w:rsidR="00F302DC"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enhanced MPR scenario</w:t>
      </w:r>
    </w:p>
    <w:p w14:paraId="7FF003BC" w14:textId="77777777" w:rsidR="00F302DC"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5CC2D52" w14:textId="77777777" w:rsidR="00F302DC"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4F37D86" w14:textId="42FD0814" w:rsidR="00F302DC" w:rsidRDefault="00000000">
      <w:pPr>
        <w:spacing w:after="180"/>
        <w:rPr>
          <w:rFonts w:ascii="Times New Roman" w:hAnsi="Times New Roman"/>
          <w:sz w:val="20"/>
        </w:rPr>
      </w:pPr>
      <w:r>
        <w:rPr>
          <w:rFonts w:ascii="Times New Roman" w:hAnsi="Times New Roman" w:hint="eastAsia"/>
          <w:sz w:val="20"/>
        </w:rPr>
        <w:t>In RAN plenary #103 meeting, a new WID of UE power domain enhancement is approved with following RAN4 lead RF part objectives:</w:t>
      </w:r>
    </w:p>
    <w:p w14:paraId="3C237C9C" w14:textId="77777777" w:rsidR="00F302DC" w:rsidRDefault="00000000">
      <w:pPr>
        <w:pStyle w:val="af6"/>
        <w:numPr>
          <w:ilvl w:val="0"/>
          <w:numId w:val="1"/>
        </w:numPr>
        <w:ind w:firstLineChars="0"/>
        <w:jc w:val="left"/>
        <w:rPr>
          <w:rFonts w:ascii="Times New Roman" w:hAnsi="Times New Roman"/>
          <w:sz w:val="20"/>
          <w:szCs w:val="20"/>
        </w:rPr>
      </w:pPr>
      <w:r>
        <w:rPr>
          <w:rFonts w:ascii="Times New Roman" w:hAnsi="Times New Roman" w:hint="eastAsia"/>
          <w:sz w:val="20"/>
          <w:szCs w:val="20"/>
        </w:rPr>
        <w:t>Specify</w:t>
      </w:r>
      <w:r>
        <w:rPr>
          <w:rFonts w:ascii="Times New Roman" w:hAnsi="Times New Roman"/>
          <w:sz w:val="20"/>
          <w:szCs w:val="20"/>
        </w:rPr>
        <w:t xml:space="preserve"> power domain enhancement, e.g., MPR reduction for NR single carrier and NR intra-band UL CA</w:t>
      </w:r>
    </w:p>
    <w:p w14:paraId="38703B1F" w14:textId="77777777" w:rsidR="00F302DC" w:rsidRDefault="00000000">
      <w:pPr>
        <w:pStyle w:val="af6"/>
        <w:numPr>
          <w:ilvl w:val="1"/>
          <w:numId w:val="1"/>
        </w:numPr>
        <w:ind w:firstLineChars="0"/>
        <w:jc w:val="left"/>
        <w:rPr>
          <w:rFonts w:ascii="Times New Roman" w:hAnsi="Times New Roman"/>
          <w:sz w:val="20"/>
          <w:szCs w:val="20"/>
        </w:rPr>
      </w:pPr>
      <w:r>
        <w:rPr>
          <w:rFonts w:ascii="Times New Roman" w:hAnsi="Times New Roman" w:hint="eastAsia"/>
          <w:sz w:val="20"/>
          <w:szCs w:val="20"/>
        </w:rPr>
        <w:t xml:space="preserve">Study </w:t>
      </w:r>
      <w:r>
        <w:rPr>
          <w:rFonts w:ascii="Times New Roman" w:hAnsi="Times New Roman"/>
          <w:sz w:val="20"/>
          <w:szCs w:val="20"/>
        </w:rPr>
        <w:t xml:space="preserve">the scenarios, </w:t>
      </w:r>
      <w:r>
        <w:rPr>
          <w:rFonts w:ascii="Times New Roman" w:hAnsi="Times New Roman" w:hint="eastAsia"/>
          <w:sz w:val="20"/>
          <w:szCs w:val="20"/>
        </w:rPr>
        <w:t>and</w:t>
      </w:r>
      <w:r>
        <w:rPr>
          <w:rFonts w:ascii="Times New Roman" w:hAnsi="Times New Roman"/>
          <w:sz w:val="20"/>
          <w:szCs w:val="20"/>
        </w:rPr>
        <w:t xml:space="preserve"> if feasible,</w:t>
      </w:r>
      <w:r>
        <w:rPr>
          <w:rFonts w:ascii="Times New Roman" w:hAnsi="Times New Roman" w:hint="eastAsia"/>
          <w:sz w:val="20"/>
          <w:szCs w:val="20"/>
        </w:rPr>
        <w:t xml:space="preserve"> sp</w:t>
      </w:r>
      <w:r>
        <w:rPr>
          <w:rFonts w:ascii="Times New Roman" w:hAnsi="Times New Roman"/>
          <w:sz w:val="20"/>
          <w:szCs w:val="20"/>
        </w:rPr>
        <w:t>ecify the power domain enhancement, e.g., MPR reduction, for PC2 and PC3 with applicable ACLR/SEM/spurious emission modification with BS indication for NR FR1 on a single UL carrier</w:t>
      </w:r>
    </w:p>
    <w:p w14:paraId="4498F4EB" w14:textId="77777777" w:rsidR="00F302DC"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Include t</w:t>
      </w:r>
      <w:r>
        <w:rPr>
          <w:rFonts w:ascii="Times New Roman" w:hAnsi="Times New Roman" w:hint="eastAsia"/>
          <w:sz w:val="20"/>
          <w:szCs w:val="20"/>
        </w:rPr>
        <w:t>he following scenarios</w:t>
      </w:r>
      <w:r>
        <w:rPr>
          <w:rFonts w:ascii="Times New Roman" w:hAnsi="Times New Roman"/>
          <w:sz w:val="20"/>
          <w:szCs w:val="20"/>
        </w:rPr>
        <w:t>:</w:t>
      </w:r>
    </w:p>
    <w:p w14:paraId="3AF8C159" w14:textId="77777777" w:rsidR="00F302DC" w:rsidRDefault="00000000">
      <w:pPr>
        <w:pStyle w:val="af6"/>
        <w:numPr>
          <w:ilvl w:val="3"/>
          <w:numId w:val="1"/>
        </w:numPr>
        <w:ind w:firstLineChars="0"/>
        <w:jc w:val="left"/>
        <w:rPr>
          <w:rFonts w:ascii="Times New Roman" w:hAnsi="Times New Roman"/>
          <w:sz w:val="20"/>
          <w:szCs w:val="20"/>
        </w:rPr>
      </w:pPr>
      <w:r>
        <w:rPr>
          <w:rFonts w:ascii="Times New Roman" w:hAnsi="Times New Roman" w:hint="eastAsia"/>
          <w:sz w:val="20"/>
          <w:szCs w:val="20"/>
        </w:rPr>
        <w:t>when there is no</w:t>
      </w:r>
      <w:r>
        <w:rPr>
          <w:rFonts w:ascii="Times New Roman" w:hAnsi="Times New Roman"/>
          <w:sz w:val="20"/>
          <w:szCs w:val="20"/>
        </w:rPr>
        <w:t xml:space="preserve"> adjacent</w:t>
      </w:r>
      <w:r>
        <w:rPr>
          <w:rFonts w:ascii="Times New Roman" w:hAnsi="Times New Roman" w:hint="eastAsia"/>
          <w:sz w:val="20"/>
          <w:szCs w:val="20"/>
        </w:rPr>
        <w:t xml:space="preserve"> </w:t>
      </w:r>
      <w:r>
        <w:rPr>
          <w:rFonts w:ascii="Times New Roman" w:hAnsi="Times New Roman"/>
          <w:sz w:val="20"/>
          <w:szCs w:val="20"/>
        </w:rPr>
        <w:t>in-band/out-of-band co-existence issue</w:t>
      </w:r>
    </w:p>
    <w:p w14:paraId="741E5556" w14:textId="77777777" w:rsidR="00F302DC" w:rsidRDefault="00000000">
      <w:pPr>
        <w:pStyle w:val="af6"/>
        <w:numPr>
          <w:ilvl w:val="3"/>
          <w:numId w:val="1"/>
        </w:numPr>
        <w:ind w:firstLineChars="0"/>
        <w:jc w:val="left"/>
        <w:rPr>
          <w:rFonts w:ascii="Times New Roman" w:hAnsi="Times New Roman"/>
          <w:sz w:val="20"/>
          <w:szCs w:val="20"/>
        </w:rPr>
      </w:pPr>
      <w:r>
        <w:rPr>
          <w:rFonts w:ascii="Times New Roman" w:hAnsi="Times New Roman"/>
          <w:sz w:val="20"/>
          <w:szCs w:val="20"/>
        </w:rPr>
        <w:t>when a UE uses a narrower channel bandwidth within a wider BS bandwidth</w:t>
      </w:r>
    </w:p>
    <w:p w14:paraId="4ABCB48F" w14:textId="77777777" w:rsidR="00F302DC"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Include</w:t>
      </w:r>
      <w:r>
        <w:rPr>
          <w:rFonts w:ascii="Times New Roman" w:hAnsi="Times New Roman" w:hint="eastAsia"/>
          <w:sz w:val="20"/>
          <w:szCs w:val="20"/>
        </w:rPr>
        <w:t xml:space="preserve"> </w:t>
      </w:r>
      <w:r>
        <w:rPr>
          <w:rFonts w:ascii="Times New Roman" w:hAnsi="Times New Roman"/>
          <w:sz w:val="20"/>
          <w:szCs w:val="20"/>
        </w:rPr>
        <w:t>b</w:t>
      </w:r>
      <w:r>
        <w:rPr>
          <w:rFonts w:ascii="Times New Roman" w:hAnsi="Times New Roman" w:hint="eastAsia"/>
          <w:sz w:val="20"/>
          <w:szCs w:val="20"/>
        </w:rPr>
        <w:t xml:space="preserve">oth </w:t>
      </w:r>
      <w:r>
        <w:rPr>
          <w:rFonts w:ascii="Times New Roman" w:hAnsi="Times New Roman"/>
          <w:sz w:val="20"/>
          <w:szCs w:val="20"/>
        </w:rPr>
        <w:t>(e)</w:t>
      </w:r>
      <w:proofErr w:type="spellStart"/>
      <w:r>
        <w:rPr>
          <w:rFonts w:ascii="Times New Roman" w:hAnsi="Times New Roman" w:hint="eastAsia"/>
          <w:sz w:val="20"/>
          <w:szCs w:val="20"/>
        </w:rPr>
        <w:t>RedCap</w:t>
      </w:r>
      <w:proofErr w:type="spellEnd"/>
      <w:r>
        <w:rPr>
          <w:rFonts w:ascii="Times New Roman" w:hAnsi="Times New Roman" w:hint="eastAsia"/>
          <w:sz w:val="20"/>
          <w:szCs w:val="20"/>
        </w:rPr>
        <w:t xml:space="preserve"> UE</w:t>
      </w:r>
      <w:r>
        <w:rPr>
          <w:rFonts w:ascii="Times New Roman" w:hAnsi="Times New Roman"/>
          <w:sz w:val="20"/>
          <w:szCs w:val="20"/>
        </w:rPr>
        <w:t xml:space="preserve"> (only PC3)</w:t>
      </w:r>
      <w:r>
        <w:rPr>
          <w:rFonts w:ascii="Times New Roman" w:hAnsi="Times New Roman" w:hint="eastAsia"/>
          <w:sz w:val="20"/>
          <w:szCs w:val="20"/>
        </w:rPr>
        <w:t xml:space="preserve"> and non-</w:t>
      </w:r>
      <w:proofErr w:type="spellStart"/>
      <w:r>
        <w:rPr>
          <w:rFonts w:ascii="Times New Roman" w:hAnsi="Times New Roman" w:hint="eastAsia"/>
          <w:sz w:val="20"/>
          <w:szCs w:val="20"/>
        </w:rPr>
        <w:t>RedCap</w:t>
      </w:r>
      <w:proofErr w:type="spellEnd"/>
      <w:r>
        <w:rPr>
          <w:rFonts w:ascii="Times New Roman" w:hAnsi="Times New Roman" w:hint="eastAsia"/>
          <w:sz w:val="20"/>
          <w:szCs w:val="20"/>
        </w:rPr>
        <w:t xml:space="preserve"> UE</w:t>
      </w:r>
    </w:p>
    <w:p w14:paraId="4467B694" w14:textId="77777777" w:rsidR="00F302DC"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Limited to QSPK and 16QAM</w:t>
      </w:r>
    </w:p>
    <w:p w14:paraId="59D4236E" w14:textId="77777777" w:rsidR="00F302DC" w:rsidRDefault="00000000">
      <w:pPr>
        <w:pStyle w:val="af6"/>
        <w:numPr>
          <w:ilvl w:val="1"/>
          <w:numId w:val="1"/>
        </w:numPr>
        <w:ind w:firstLineChars="0"/>
        <w:jc w:val="left"/>
        <w:rPr>
          <w:rFonts w:ascii="Times New Roman" w:hAnsi="Times New Roman"/>
          <w:sz w:val="20"/>
          <w:szCs w:val="20"/>
        </w:rPr>
      </w:pPr>
      <w:r>
        <w:rPr>
          <w:rFonts w:ascii="Times New Roman" w:hAnsi="Times New Roman"/>
          <w:sz w:val="20"/>
          <w:szCs w:val="20"/>
        </w:rPr>
        <w:t>Specify MPR applicability based on the UL CCs with activated cells for NR intra-band UL CA configuration</w:t>
      </w:r>
    </w:p>
    <w:p w14:paraId="3A6020BB" w14:textId="77777777" w:rsidR="00F302DC" w:rsidRDefault="00000000">
      <w:pPr>
        <w:pStyle w:val="af6"/>
        <w:numPr>
          <w:ilvl w:val="2"/>
          <w:numId w:val="1"/>
        </w:numPr>
        <w:ind w:firstLineChars="0"/>
        <w:jc w:val="left"/>
        <w:rPr>
          <w:rFonts w:ascii="Times New Roman" w:hAnsi="Times New Roman"/>
          <w:sz w:val="20"/>
          <w:szCs w:val="20"/>
        </w:rPr>
      </w:pPr>
      <w:r>
        <w:rPr>
          <w:rFonts w:ascii="Times New Roman" w:hAnsi="Times New Roman" w:hint="eastAsia"/>
          <w:sz w:val="20"/>
          <w:szCs w:val="20"/>
        </w:rPr>
        <w:t xml:space="preserve">Include both intra-band UL </w:t>
      </w:r>
      <w:r>
        <w:rPr>
          <w:rFonts w:ascii="Times New Roman" w:hAnsi="Times New Roman"/>
          <w:sz w:val="20"/>
          <w:szCs w:val="20"/>
        </w:rPr>
        <w:t>contiguous</w:t>
      </w:r>
      <w:r>
        <w:rPr>
          <w:rFonts w:ascii="Times New Roman" w:hAnsi="Times New Roman" w:hint="eastAsia"/>
          <w:sz w:val="20"/>
          <w:szCs w:val="20"/>
        </w:rPr>
        <w:t xml:space="preserve"> </w:t>
      </w:r>
      <w:r>
        <w:rPr>
          <w:rFonts w:ascii="Times New Roman" w:hAnsi="Times New Roman"/>
          <w:sz w:val="20"/>
          <w:szCs w:val="20"/>
        </w:rPr>
        <w:t>CA and intra-band non-contiguous UL CA for FR1</w:t>
      </w:r>
    </w:p>
    <w:p w14:paraId="14D483BF" w14:textId="77777777" w:rsidR="00F302DC"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Include intra-band UL contiguous CA and intra-band DL contiguous CA with single UL for FR2</w:t>
      </w:r>
    </w:p>
    <w:p w14:paraId="37CEF9C0" w14:textId="77777777" w:rsidR="00F302DC"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 xml:space="preserve">MPR requirement is not applicable until the </w:t>
      </w:r>
      <w:proofErr w:type="spellStart"/>
      <w:r>
        <w:rPr>
          <w:rFonts w:ascii="Times New Roman" w:hAnsi="Times New Roman"/>
          <w:sz w:val="20"/>
          <w:szCs w:val="20"/>
        </w:rPr>
        <w:t>SCell</w:t>
      </w:r>
      <w:proofErr w:type="spellEnd"/>
      <w:r>
        <w:rPr>
          <w:rFonts w:ascii="Times New Roman" w:hAnsi="Times New Roman"/>
          <w:sz w:val="20"/>
          <w:szCs w:val="20"/>
        </w:rPr>
        <w:t xml:space="preserve"> is activated</w:t>
      </w:r>
    </w:p>
    <w:p w14:paraId="1A4FF98B" w14:textId="77777777" w:rsidR="00F302DC" w:rsidRDefault="00000000">
      <w:pPr>
        <w:pStyle w:val="af6"/>
        <w:numPr>
          <w:ilvl w:val="1"/>
          <w:numId w:val="1"/>
        </w:numPr>
        <w:spacing w:after="180"/>
        <w:ind w:firstLineChars="0"/>
        <w:jc w:val="left"/>
        <w:rPr>
          <w:rFonts w:ascii="Times New Roman" w:hAnsi="Times New Roman"/>
          <w:sz w:val="20"/>
          <w:szCs w:val="20"/>
        </w:rPr>
      </w:pPr>
      <w:r>
        <w:rPr>
          <w:rFonts w:ascii="Times New Roman" w:hAnsi="Times New Roman"/>
          <w:sz w:val="20"/>
          <w:szCs w:val="20"/>
        </w:rPr>
        <w:t>Necessary signaling to support the above objectives</w:t>
      </w:r>
    </w:p>
    <w:p w14:paraId="09250538" w14:textId="0EF800D6" w:rsidR="00F302DC" w:rsidRDefault="004444FD">
      <w:pPr>
        <w:spacing w:beforeLines="50" w:before="156"/>
        <w:rPr>
          <w:rFonts w:ascii="Times New Roman" w:hAnsi="Times New Roman"/>
          <w:sz w:val="20"/>
        </w:rPr>
      </w:pPr>
      <w:r w:rsidRPr="004444FD">
        <w:rPr>
          <w:rFonts w:ascii="Times New Roman" w:hAnsi="Times New Roman"/>
          <w:bCs/>
          <w:sz w:val="20"/>
          <w:szCs w:val="20"/>
        </w:rPr>
        <w:t>After several meetings of discussion, we have made some progress.</w:t>
      </w:r>
      <w:r>
        <w:rPr>
          <w:rFonts w:ascii="Times New Roman" w:hAnsi="Times New Roman" w:hint="eastAsia"/>
          <w:bCs/>
          <w:sz w:val="20"/>
          <w:szCs w:val="20"/>
        </w:rPr>
        <w:t xml:space="preserve">, and this paper will focus on the scenario discussion. </w:t>
      </w:r>
    </w:p>
    <w:p w14:paraId="6C45DFE7" w14:textId="77777777" w:rsidR="00F302DC" w:rsidRDefault="00000000">
      <w:pPr>
        <w:keepNext/>
        <w:keepLines/>
        <w:widowControl/>
        <w:pBdr>
          <w:top w:val="single" w:sz="12" w:space="1" w:color="auto"/>
        </w:pBdr>
        <w:tabs>
          <w:tab w:val="left" w:pos="567"/>
        </w:tabs>
        <w:adjustRightInd w:val="0"/>
        <w:spacing w:before="240" w:after="180"/>
        <w:outlineLvl w:val="0"/>
      </w:pPr>
      <w:r>
        <w:rPr>
          <w:rFonts w:ascii="Arial" w:eastAsiaTheme="minorEastAsia" w:hAnsi="Arial" w:cstheme="minorBidi" w:hint="eastAsia"/>
          <w:sz w:val="32"/>
          <w:szCs w:val="36"/>
        </w:rPr>
        <w:t>2.Discussion</w:t>
      </w:r>
      <w:r>
        <w:rPr>
          <w:rFonts w:hint="eastAsia"/>
        </w:rPr>
        <w:t xml:space="preserve"> </w:t>
      </w:r>
    </w:p>
    <w:p w14:paraId="4FAB815A" w14:textId="4FC62289" w:rsidR="00F302DC" w:rsidRDefault="00000000">
      <w:pPr>
        <w:spacing w:after="180"/>
        <w:jc w:val="left"/>
        <w:rPr>
          <w:rFonts w:ascii="Times New Roman" w:hAnsi="Times New Roman"/>
          <w:sz w:val="20"/>
          <w:szCs w:val="20"/>
        </w:rPr>
      </w:pPr>
      <w:r>
        <w:rPr>
          <w:rFonts w:ascii="Times New Roman" w:hAnsi="Times New Roman" w:hint="eastAsia"/>
          <w:sz w:val="20"/>
          <w:szCs w:val="20"/>
        </w:rPr>
        <w:t>Following lists scenarios that lead to relaxation of ACLR/SEM/spurious emission requirements:</w:t>
      </w:r>
    </w:p>
    <w:p w14:paraId="018E2AD9" w14:textId="212BFB64" w:rsidR="00F302DC" w:rsidRDefault="00000000">
      <w:pPr>
        <w:numPr>
          <w:ilvl w:val="0"/>
          <w:numId w:val="2"/>
        </w:numPr>
        <w:tabs>
          <w:tab w:val="clear" w:pos="720"/>
        </w:tabs>
        <w:spacing w:after="180"/>
        <w:jc w:val="left"/>
        <w:rPr>
          <w:rFonts w:ascii="Times New Roman" w:hAnsi="Times New Roman"/>
          <w:sz w:val="20"/>
          <w:szCs w:val="20"/>
        </w:rPr>
      </w:pPr>
      <w:r>
        <w:rPr>
          <w:rFonts w:ascii="Times New Roman" w:hAnsi="Times New Roman" w:hint="eastAsia"/>
          <w:sz w:val="20"/>
          <w:szCs w:val="20"/>
        </w:rPr>
        <w:t>Scenario 1-1: Scenario with no adjacent in-band/out-of-band co-existence issue (single operator)</w:t>
      </w:r>
    </w:p>
    <w:p w14:paraId="460E6F71" w14:textId="77777777" w:rsidR="00F302DC" w:rsidRDefault="00000000">
      <w:pPr>
        <w:numPr>
          <w:ilvl w:val="0"/>
          <w:numId w:val="2"/>
        </w:numPr>
        <w:tabs>
          <w:tab w:val="clear" w:pos="720"/>
        </w:tabs>
        <w:spacing w:after="180"/>
        <w:jc w:val="left"/>
        <w:rPr>
          <w:rFonts w:ascii="Times New Roman" w:hAnsi="Times New Roman"/>
          <w:sz w:val="20"/>
          <w:szCs w:val="20"/>
        </w:rPr>
      </w:pPr>
      <w:r>
        <w:rPr>
          <w:rFonts w:ascii="Times New Roman" w:hAnsi="Times New Roman" w:hint="eastAsia"/>
          <w:sz w:val="20"/>
          <w:szCs w:val="20"/>
        </w:rPr>
        <w:t xml:space="preserve">Scenario 1-2: Scenario with no adjacent in-band/out-of-band co-existence issue (adjacent operators) </w:t>
      </w:r>
    </w:p>
    <w:p w14:paraId="2A9EB5F5" w14:textId="34494AD8" w:rsidR="00F302DC" w:rsidRDefault="00000000">
      <w:pPr>
        <w:numPr>
          <w:ilvl w:val="0"/>
          <w:numId w:val="2"/>
        </w:numPr>
        <w:tabs>
          <w:tab w:val="clear" w:pos="720"/>
        </w:tabs>
        <w:spacing w:after="180"/>
        <w:jc w:val="left"/>
        <w:rPr>
          <w:rFonts w:ascii="Times New Roman" w:hAnsi="Times New Roman"/>
          <w:sz w:val="20"/>
          <w:szCs w:val="20"/>
        </w:rPr>
      </w:pPr>
      <w:r>
        <w:rPr>
          <w:rFonts w:ascii="Times New Roman" w:hAnsi="Times New Roman" w:hint="eastAsia"/>
          <w:sz w:val="20"/>
          <w:szCs w:val="20"/>
        </w:rPr>
        <w:t>Scenario 2: Narrower UE channel BW within wider BS bandwidth.</w:t>
      </w:r>
    </w:p>
    <w:p w14:paraId="4A55E6D5" w14:textId="4D7DE341" w:rsidR="00A343F6" w:rsidRDefault="00A343F6" w:rsidP="00A343F6">
      <w:pPr>
        <w:tabs>
          <w:tab w:val="left" w:pos="720"/>
        </w:tabs>
        <w:spacing w:after="180"/>
        <w:jc w:val="left"/>
        <w:rPr>
          <w:rFonts w:ascii="Times New Roman" w:hAnsi="Times New Roman"/>
          <w:sz w:val="20"/>
          <w:szCs w:val="20"/>
        </w:rPr>
      </w:pPr>
      <w:r>
        <w:rPr>
          <w:rFonts w:ascii="Times New Roman" w:hAnsi="Times New Roman" w:hint="eastAsia"/>
          <w:sz w:val="20"/>
          <w:szCs w:val="20"/>
        </w:rPr>
        <w:t>After last meeting discussion, we had reached the WF below.</w:t>
      </w:r>
    </w:p>
    <w:tbl>
      <w:tblPr>
        <w:tblStyle w:val="af3"/>
        <w:tblW w:w="0" w:type="auto"/>
        <w:tblLook w:val="04A0" w:firstRow="1" w:lastRow="0" w:firstColumn="1" w:lastColumn="0" w:noHBand="0" w:noVBand="1"/>
      </w:tblPr>
      <w:tblGrid>
        <w:gridCol w:w="9736"/>
      </w:tblGrid>
      <w:tr w:rsidR="00A343F6" w14:paraId="3F700B9C" w14:textId="77777777" w:rsidTr="00A343F6">
        <w:tc>
          <w:tcPr>
            <w:tcW w:w="9736" w:type="dxa"/>
          </w:tcPr>
          <w:p w14:paraId="03F8749F" w14:textId="77777777" w:rsidR="00A343F6" w:rsidRPr="00A343F6" w:rsidRDefault="00A343F6" w:rsidP="00A343F6">
            <w:pPr>
              <w:pStyle w:val="4"/>
              <w:spacing w:before="0" w:after="60"/>
              <w:rPr>
                <w:rFonts w:ascii="Times New Roman" w:hAnsi="Times New Roman" w:cs="Times New Roman"/>
                <w:b w:val="0"/>
                <w:color w:val="000000" w:themeColor="text1"/>
                <w:sz w:val="20"/>
                <w:szCs w:val="20"/>
                <w:u w:val="single"/>
                <w:lang w:eastAsia="ko-KR"/>
              </w:rPr>
            </w:pPr>
            <w:r w:rsidRPr="00A343F6">
              <w:rPr>
                <w:rFonts w:ascii="Times New Roman" w:hAnsi="Times New Roman" w:cs="Times New Roman"/>
                <w:color w:val="000000" w:themeColor="text1"/>
                <w:sz w:val="20"/>
                <w:szCs w:val="20"/>
                <w:u w:val="single"/>
                <w:lang w:eastAsia="ko-KR"/>
              </w:rPr>
              <w:lastRenderedPageBreak/>
              <w:t>Issue 1-1-1: Approaches for scenarios 1-1 and 1-2 (see Reference for description of scenarios)</w:t>
            </w:r>
          </w:p>
          <w:p w14:paraId="6D9E9C2D" w14:textId="77777777" w:rsidR="00A343F6" w:rsidRPr="00A343F6" w:rsidRDefault="00A343F6" w:rsidP="00A343F6">
            <w:pPr>
              <w:pStyle w:val="af6"/>
              <w:widowControl/>
              <w:numPr>
                <w:ilvl w:val="0"/>
                <w:numId w:val="4"/>
              </w:numPr>
              <w:spacing w:after="120"/>
              <w:ind w:left="720" w:firstLineChars="0"/>
              <w:jc w:val="left"/>
              <w:rPr>
                <w:rFonts w:ascii="Times New Roman" w:hAnsi="Times New Roman"/>
                <w:color w:val="000000" w:themeColor="text1"/>
                <w:sz w:val="20"/>
                <w:szCs w:val="20"/>
              </w:rPr>
            </w:pPr>
            <w:r w:rsidRPr="00A343F6">
              <w:rPr>
                <w:rFonts w:ascii="Times New Roman" w:hAnsi="Times New Roman"/>
                <w:color w:val="000000" w:themeColor="text1"/>
                <w:sz w:val="20"/>
                <w:szCs w:val="20"/>
              </w:rPr>
              <w:t>WF</w:t>
            </w:r>
          </w:p>
          <w:p w14:paraId="78DA4ED3" w14:textId="77777777" w:rsidR="00A343F6" w:rsidRPr="00A343F6" w:rsidRDefault="00A343F6" w:rsidP="00A343F6">
            <w:pPr>
              <w:pStyle w:val="af6"/>
              <w:widowControl/>
              <w:numPr>
                <w:ilvl w:val="1"/>
                <w:numId w:val="4"/>
              </w:numPr>
              <w:spacing w:after="120"/>
              <w:ind w:left="1440" w:firstLineChars="0"/>
              <w:jc w:val="left"/>
              <w:rPr>
                <w:rFonts w:ascii="Times New Roman" w:hAnsi="Times New Roman"/>
                <w:color w:val="000000" w:themeColor="text1"/>
                <w:sz w:val="20"/>
                <w:szCs w:val="20"/>
              </w:rPr>
            </w:pPr>
            <w:r w:rsidRPr="00A343F6">
              <w:rPr>
                <w:rFonts w:ascii="Times New Roman" w:hAnsi="Times New Roman"/>
                <w:color w:val="000000" w:themeColor="text1"/>
                <w:sz w:val="20"/>
                <w:szCs w:val="20"/>
              </w:rPr>
              <w:t xml:space="preserve">Strive for a unified solution which can accommodate both scenario 1 and scenario 2 under the framework of converting </w:t>
            </w:r>
            <w:bookmarkStart w:id="1" w:name="OLE_LINK29"/>
            <w:r w:rsidRPr="00A343F6">
              <w:rPr>
                <w:rFonts w:ascii="Times New Roman" w:hAnsi="Times New Roman"/>
                <w:color w:val="000000" w:themeColor="text1"/>
                <w:sz w:val="20"/>
                <w:szCs w:val="20"/>
              </w:rPr>
              <w:t>outer RB allocation to inner RB allocation</w:t>
            </w:r>
            <w:bookmarkEnd w:id="1"/>
            <w:r w:rsidRPr="00A343F6">
              <w:rPr>
                <w:rFonts w:ascii="Times New Roman" w:hAnsi="Times New Roman"/>
                <w:color w:val="000000" w:themeColor="text1"/>
                <w:sz w:val="20"/>
                <w:szCs w:val="20"/>
              </w:rPr>
              <w:t>.</w:t>
            </w:r>
          </w:p>
          <w:p w14:paraId="6A0EE4D1" w14:textId="77777777" w:rsidR="00A343F6" w:rsidRPr="00A343F6" w:rsidRDefault="00A343F6" w:rsidP="00A343F6">
            <w:pPr>
              <w:pStyle w:val="af6"/>
              <w:widowControl/>
              <w:numPr>
                <w:ilvl w:val="2"/>
                <w:numId w:val="4"/>
              </w:numPr>
              <w:spacing w:after="120"/>
              <w:ind w:firstLineChars="0"/>
              <w:jc w:val="left"/>
              <w:rPr>
                <w:rFonts w:ascii="Times New Roman" w:hAnsi="Times New Roman"/>
                <w:color w:val="000000" w:themeColor="text1"/>
                <w:sz w:val="20"/>
                <w:szCs w:val="20"/>
              </w:rPr>
            </w:pPr>
            <w:r w:rsidRPr="00A343F6">
              <w:rPr>
                <w:rFonts w:ascii="Times New Roman" w:hAnsi="Times New Roman"/>
                <w:color w:val="000000" w:themeColor="text1"/>
                <w:sz w:val="20"/>
                <w:szCs w:val="20"/>
              </w:rPr>
              <w:t>It does not preclude separate solutions for each applicable scenario</w:t>
            </w:r>
          </w:p>
          <w:p w14:paraId="7F998429" w14:textId="3143F0BD" w:rsidR="00A343F6" w:rsidRPr="00A343F6" w:rsidRDefault="00A343F6" w:rsidP="00A343F6">
            <w:pPr>
              <w:spacing w:after="120"/>
              <w:rPr>
                <w:rFonts w:ascii="Times New Roman" w:eastAsiaTheme="minorEastAsia" w:hAnsi="Times New Roman"/>
                <w:color w:val="000000" w:themeColor="text1"/>
                <w:sz w:val="20"/>
                <w:szCs w:val="20"/>
              </w:rPr>
            </w:pPr>
            <w:r w:rsidRPr="00A343F6">
              <w:rPr>
                <w:rFonts w:ascii="Times New Roman" w:hAnsi="Times New Roman"/>
                <w:color w:val="000000" w:themeColor="text1"/>
                <w:sz w:val="20"/>
                <w:szCs w:val="20"/>
              </w:rPr>
              <w:t>No relaxation of ACLR/SEM/SE values</w:t>
            </w:r>
          </w:p>
        </w:tc>
      </w:tr>
    </w:tbl>
    <w:p w14:paraId="73B51818" w14:textId="77777777" w:rsidR="00A343F6" w:rsidRDefault="00A343F6" w:rsidP="00A343F6">
      <w:pPr>
        <w:tabs>
          <w:tab w:val="left" w:pos="720"/>
        </w:tabs>
        <w:spacing w:after="180"/>
        <w:jc w:val="left"/>
        <w:rPr>
          <w:rFonts w:ascii="Times New Roman" w:hAnsi="Times New Roman"/>
          <w:sz w:val="20"/>
          <w:szCs w:val="20"/>
        </w:rPr>
      </w:pPr>
    </w:p>
    <w:p w14:paraId="2D8F421D" w14:textId="651B7A65" w:rsidR="00F302DC" w:rsidRDefault="00000000">
      <w:pPr>
        <w:spacing w:after="180"/>
        <w:jc w:val="left"/>
        <w:rPr>
          <w:rFonts w:ascii="Times New Roman" w:hAnsi="Times New Roman"/>
          <w:sz w:val="20"/>
          <w:szCs w:val="20"/>
        </w:rPr>
      </w:pPr>
      <w:r>
        <w:rPr>
          <w:rFonts w:ascii="Times New Roman" w:hAnsi="Times New Roman" w:hint="eastAsia"/>
          <w:sz w:val="20"/>
          <w:szCs w:val="20"/>
        </w:rPr>
        <w:t>For scenario 1-1,</w:t>
      </w:r>
      <w:r w:rsidR="00A343F6">
        <w:rPr>
          <w:rFonts w:ascii="Times New Roman" w:hAnsi="Times New Roman" w:hint="eastAsia"/>
          <w:sz w:val="20"/>
          <w:szCs w:val="20"/>
        </w:rPr>
        <w:t xml:space="preserve"> t</w:t>
      </w:r>
      <w:r>
        <w:rPr>
          <w:rFonts w:ascii="Times New Roman" w:hAnsi="Times New Roman" w:hint="eastAsia"/>
          <w:sz w:val="20"/>
          <w:szCs w:val="20"/>
        </w:rPr>
        <w:t>o avoid spectrum fragment, the regulatory agency usually allocates the whole band spec</w:t>
      </w:r>
      <w:r>
        <w:rPr>
          <w:rFonts w:ascii="Times New Roman" w:hAnsi="Times New Roman"/>
          <w:sz w:val="20"/>
          <w:szCs w:val="20"/>
        </w:rPr>
        <w:t>trum for only one operator. For example, the band n3</w:t>
      </w:r>
      <w:r>
        <w:rPr>
          <w:rFonts w:ascii="Times New Roman" w:hAnsi="Times New Roman" w:hint="eastAsia"/>
          <w:sz w:val="20"/>
          <w:szCs w:val="20"/>
        </w:rPr>
        <w:t>4</w:t>
      </w:r>
      <w:r>
        <w:rPr>
          <w:rFonts w:ascii="Times New Roman" w:hAnsi="Times New Roman"/>
          <w:sz w:val="20"/>
          <w:szCs w:val="20"/>
        </w:rPr>
        <w:t xml:space="preserve"> (2010-2025MHz) with </w:t>
      </w:r>
      <w:r>
        <w:rPr>
          <w:rFonts w:ascii="Times New Roman" w:hAnsi="Times New Roman" w:hint="eastAsia"/>
          <w:sz w:val="20"/>
          <w:szCs w:val="20"/>
        </w:rPr>
        <w:t>total</w:t>
      </w:r>
      <w:r>
        <w:rPr>
          <w:rFonts w:ascii="Times New Roman" w:hAnsi="Times New Roman"/>
          <w:sz w:val="20"/>
          <w:szCs w:val="20"/>
        </w:rPr>
        <w:t xml:space="preserve"> 15MHz frequency range is only allocated for CMCC in China. For this case, to be honest, ACLR</w:t>
      </w:r>
      <w:r>
        <w:rPr>
          <w:rFonts w:ascii="Times New Roman" w:hAnsi="Times New Roman" w:hint="eastAsia"/>
          <w:sz w:val="20"/>
          <w:szCs w:val="20"/>
        </w:rPr>
        <w:t>/SEM</w:t>
      </w:r>
      <w:r>
        <w:rPr>
          <w:rFonts w:ascii="Times New Roman" w:hAnsi="Times New Roman"/>
          <w:sz w:val="20"/>
          <w:szCs w:val="20"/>
        </w:rPr>
        <w:t xml:space="preserve"> requirement</w:t>
      </w:r>
      <w:r>
        <w:rPr>
          <w:rFonts w:ascii="Times New Roman" w:hAnsi="Times New Roman" w:hint="eastAsia"/>
          <w:sz w:val="20"/>
          <w:szCs w:val="20"/>
        </w:rPr>
        <w:t>s</w:t>
      </w:r>
      <w:r>
        <w:rPr>
          <w:rFonts w:ascii="Times New Roman" w:hAnsi="Times New Roman"/>
          <w:sz w:val="20"/>
          <w:szCs w:val="20"/>
        </w:rPr>
        <w:t xml:space="preserve"> may not be needed </w:t>
      </w:r>
      <w:r>
        <w:rPr>
          <w:rFonts w:ascii="Times New Roman" w:hAnsi="Times New Roman" w:hint="eastAsia"/>
          <w:sz w:val="20"/>
          <w:szCs w:val="20"/>
        </w:rPr>
        <w:t xml:space="preserve">if only considering </w:t>
      </w:r>
      <w:r>
        <w:rPr>
          <w:rFonts w:ascii="Times New Roman" w:hAnsi="Times New Roman"/>
          <w:sz w:val="20"/>
          <w:szCs w:val="20"/>
        </w:rPr>
        <w:t xml:space="preserve">adjacent carrier interference among different operators. </w:t>
      </w:r>
      <w:r w:rsidR="003C75D4" w:rsidRPr="003C75D4">
        <w:rPr>
          <w:rFonts w:ascii="Times New Roman" w:hAnsi="Times New Roman"/>
          <w:sz w:val="20"/>
          <w:szCs w:val="20"/>
        </w:rPr>
        <w:t xml:space="preserve">Without </w:t>
      </w:r>
      <w:r w:rsidR="003C75D4">
        <w:rPr>
          <w:rFonts w:ascii="Times New Roman" w:hAnsi="Times New Roman" w:hint="eastAsia"/>
          <w:sz w:val="20"/>
          <w:szCs w:val="20"/>
        </w:rPr>
        <w:t>relaxation of ACLR/SEM/SE</w:t>
      </w:r>
      <w:r w:rsidR="003C75D4" w:rsidRPr="003C75D4">
        <w:rPr>
          <w:rFonts w:ascii="Times New Roman" w:hAnsi="Times New Roman"/>
          <w:sz w:val="20"/>
          <w:szCs w:val="20"/>
        </w:rPr>
        <w:t>, converting outer RB allocation to inner RB allocation</w:t>
      </w:r>
      <w:r w:rsidR="003C75D4">
        <w:rPr>
          <w:rFonts w:ascii="Times New Roman" w:hAnsi="Times New Roman" w:hint="eastAsia"/>
          <w:sz w:val="20"/>
          <w:szCs w:val="20"/>
        </w:rPr>
        <w:t xml:space="preserve"> means </w:t>
      </w:r>
      <w:r w:rsidR="003C75D4" w:rsidRPr="003C75D4">
        <w:rPr>
          <w:rFonts w:ascii="Times New Roman" w:hAnsi="Times New Roman"/>
          <w:sz w:val="20"/>
          <w:szCs w:val="20"/>
        </w:rPr>
        <w:t>shift</w:t>
      </w:r>
      <w:r w:rsidR="003C75D4">
        <w:rPr>
          <w:rFonts w:ascii="Times New Roman" w:hAnsi="Times New Roman" w:hint="eastAsia"/>
          <w:sz w:val="20"/>
          <w:szCs w:val="20"/>
        </w:rPr>
        <w:t xml:space="preserve"> the</w:t>
      </w:r>
      <w:r w:rsidR="003C75D4" w:rsidRPr="003C75D4">
        <w:rPr>
          <w:rFonts w:ascii="Times New Roman" w:hAnsi="Times New Roman"/>
          <w:sz w:val="20"/>
          <w:szCs w:val="20"/>
        </w:rPr>
        <w:t xml:space="preserve"> OOB applicable frequency range</w:t>
      </w:r>
      <w:r w:rsidR="003C75D4">
        <w:rPr>
          <w:rFonts w:ascii="Times New Roman" w:hAnsi="Times New Roman" w:hint="eastAsia"/>
          <w:sz w:val="20"/>
          <w:szCs w:val="20"/>
        </w:rPr>
        <w:t>,</w:t>
      </w:r>
      <w:r w:rsidR="003C75D4" w:rsidRPr="003C75D4">
        <w:rPr>
          <w:rFonts w:ascii="Times New Roman" w:hAnsi="Times New Roman"/>
          <w:sz w:val="20"/>
          <w:szCs w:val="20"/>
        </w:rPr>
        <w:t xml:space="preserve"> </w:t>
      </w:r>
      <w:r w:rsidR="003C75D4">
        <w:rPr>
          <w:rFonts w:ascii="Times New Roman" w:hAnsi="Times New Roman" w:hint="eastAsia"/>
          <w:sz w:val="20"/>
          <w:szCs w:val="20"/>
        </w:rPr>
        <w:t xml:space="preserve">and we think it </w:t>
      </w:r>
      <w:r w:rsidR="003C75D4" w:rsidRPr="003C75D4">
        <w:rPr>
          <w:rFonts w:ascii="Times New Roman" w:hAnsi="Times New Roman"/>
          <w:sz w:val="20"/>
          <w:szCs w:val="20"/>
        </w:rPr>
        <w:t>is indeed a good approach.</w:t>
      </w:r>
    </w:p>
    <w:p w14:paraId="79840103" w14:textId="41335089" w:rsidR="003C75D4" w:rsidRPr="003C75D4" w:rsidRDefault="003C75D4">
      <w:pPr>
        <w:spacing w:after="180"/>
        <w:jc w:val="left"/>
        <w:rPr>
          <w:rFonts w:ascii="Times New Roman" w:hAnsi="Times New Roman"/>
          <w:b/>
          <w:bCs/>
          <w:sz w:val="20"/>
          <w:szCs w:val="20"/>
        </w:rPr>
      </w:pPr>
      <w:r w:rsidRPr="003C75D4">
        <w:rPr>
          <w:rFonts w:ascii="Times New Roman" w:hAnsi="Times New Roman"/>
          <w:b/>
          <w:bCs/>
          <w:sz w:val="20"/>
          <w:szCs w:val="20"/>
        </w:rPr>
        <w:t xml:space="preserve">Proposal </w:t>
      </w:r>
      <w:r w:rsidRPr="003C75D4">
        <w:rPr>
          <w:rFonts w:ascii="Times New Roman" w:hAnsi="Times New Roman" w:hint="eastAsia"/>
          <w:b/>
          <w:bCs/>
          <w:sz w:val="20"/>
          <w:szCs w:val="20"/>
        </w:rPr>
        <w:t>1</w:t>
      </w:r>
      <w:r w:rsidRPr="003C75D4">
        <w:rPr>
          <w:rFonts w:ascii="Times New Roman" w:hAnsi="Times New Roman"/>
          <w:b/>
          <w:bCs/>
          <w:sz w:val="20"/>
          <w:szCs w:val="20"/>
        </w:rPr>
        <w:t xml:space="preserve">: </w:t>
      </w:r>
      <w:r w:rsidRPr="003C75D4">
        <w:rPr>
          <w:rFonts w:ascii="Times New Roman" w:hAnsi="Times New Roman" w:hint="eastAsia"/>
          <w:b/>
          <w:bCs/>
          <w:sz w:val="20"/>
          <w:szCs w:val="20"/>
        </w:rPr>
        <w:t>C</w:t>
      </w:r>
      <w:r w:rsidRPr="003C75D4">
        <w:rPr>
          <w:rFonts w:ascii="Times New Roman" w:hAnsi="Times New Roman"/>
          <w:b/>
          <w:bCs/>
          <w:sz w:val="20"/>
          <w:szCs w:val="20"/>
        </w:rPr>
        <w:t>onverting outer RB allocation to inner RB allocation</w:t>
      </w:r>
      <w:r w:rsidRPr="003C75D4">
        <w:rPr>
          <w:rFonts w:ascii="Times New Roman" w:hAnsi="Times New Roman" w:hint="eastAsia"/>
          <w:b/>
          <w:bCs/>
          <w:sz w:val="20"/>
          <w:szCs w:val="20"/>
        </w:rPr>
        <w:t xml:space="preserve"> to </w:t>
      </w:r>
      <w:r w:rsidRPr="003C75D4">
        <w:rPr>
          <w:rFonts w:ascii="Times New Roman" w:hAnsi="Times New Roman"/>
          <w:b/>
          <w:bCs/>
          <w:sz w:val="20"/>
          <w:szCs w:val="20"/>
        </w:rPr>
        <w:t>shift the OOB applicable frequency range</w:t>
      </w:r>
      <w:r w:rsidRPr="003C75D4">
        <w:rPr>
          <w:rFonts w:ascii="Times New Roman" w:hAnsi="Times New Roman" w:hint="eastAsia"/>
          <w:b/>
          <w:bCs/>
          <w:sz w:val="20"/>
          <w:szCs w:val="20"/>
        </w:rPr>
        <w:t xml:space="preserve"> is a good approach to enhanced MPR</w:t>
      </w:r>
      <w:r w:rsidRPr="003C75D4">
        <w:rPr>
          <w:rFonts w:ascii="Times New Roman" w:hAnsi="Times New Roman"/>
          <w:b/>
          <w:bCs/>
          <w:sz w:val="20"/>
          <w:szCs w:val="20"/>
        </w:rPr>
        <w:t>.</w:t>
      </w:r>
    </w:p>
    <w:p w14:paraId="30950906" w14:textId="77777777" w:rsidR="001E3FC5" w:rsidRDefault="00000000">
      <w:pPr>
        <w:spacing w:after="180"/>
        <w:jc w:val="left"/>
        <w:rPr>
          <w:rFonts w:ascii="Times New Roman" w:hAnsi="Times New Roman"/>
          <w:sz w:val="20"/>
          <w:szCs w:val="20"/>
        </w:rPr>
      </w:pPr>
      <w:bookmarkStart w:id="2" w:name="OLE_LINK28"/>
      <w:r>
        <w:rPr>
          <w:rFonts w:ascii="Times New Roman" w:hAnsi="Times New Roman" w:hint="eastAsia"/>
          <w:sz w:val="20"/>
          <w:szCs w:val="20"/>
        </w:rPr>
        <w:t xml:space="preserve">However, for scenario 1, </w:t>
      </w:r>
      <w:r w:rsidR="001E3FC5">
        <w:rPr>
          <w:rFonts w:ascii="Times New Roman" w:hAnsi="Times New Roman" w:hint="eastAsia"/>
          <w:sz w:val="20"/>
          <w:szCs w:val="20"/>
        </w:rPr>
        <w:t>d</w:t>
      </w:r>
      <w:r w:rsidR="001E3FC5" w:rsidRPr="001E3FC5">
        <w:rPr>
          <w:rFonts w:ascii="Times New Roman" w:hAnsi="Times New Roman"/>
          <w:sz w:val="20"/>
          <w:szCs w:val="20"/>
        </w:rPr>
        <w:t>ifferent bands have different deployment scenarios in different countries.</w:t>
      </w:r>
      <w:r w:rsidR="001E3FC5">
        <w:rPr>
          <w:rFonts w:ascii="Times New Roman" w:hAnsi="Times New Roman" w:hint="eastAsia"/>
          <w:sz w:val="20"/>
          <w:szCs w:val="20"/>
        </w:rPr>
        <w:t xml:space="preserve"> For example, </w:t>
      </w:r>
      <w:r w:rsidR="001E3FC5" w:rsidRPr="001E3FC5">
        <w:rPr>
          <w:rFonts w:ascii="Times New Roman" w:hAnsi="Times New Roman"/>
          <w:sz w:val="20"/>
          <w:szCs w:val="20"/>
        </w:rPr>
        <w:t>band n28 in China is only allocated to one individual operator without adjacent-carrier interference issue. Besides, its adjacent band is broadcasting services which is outside of 3GPP scope so it’s hard to identify whether outer RB allocation</w:t>
      </w:r>
      <w:r w:rsidR="001E3FC5">
        <w:rPr>
          <w:rFonts w:ascii="Times New Roman" w:hAnsi="Times New Roman" w:hint="eastAsia"/>
          <w:sz w:val="20"/>
          <w:szCs w:val="20"/>
        </w:rPr>
        <w:t xml:space="preserve"> could be c</w:t>
      </w:r>
      <w:r w:rsidR="001E3FC5" w:rsidRPr="001E3FC5">
        <w:rPr>
          <w:rFonts w:ascii="Times New Roman" w:hAnsi="Times New Roman"/>
          <w:sz w:val="20"/>
          <w:szCs w:val="20"/>
        </w:rPr>
        <w:t>onvert</w:t>
      </w:r>
      <w:r w:rsidR="001E3FC5">
        <w:rPr>
          <w:rFonts w:ascii="Times New Roman" w:hAnsi="Times New Roman" w:hint="eastAsia"/>
          <w:sz w:val="20"/>
          <w:szCs w:val="20"/>
        </w:rPr>
        <w:t>ed</w:t>
      </w:r>
      <w:r w:rsidR="001E3FC5" w:rsidRPr="001E3FC5">
        <w:rPr>
          <w:rFonts w:ascii="Times New Roman" w:hAnsi="Times New Roman"/>
          <w:sz w:val="20"/>
          <w:szCs w:val="20"/>
        </w:rPr>
        <w:t xml:space="preserve"> to inner RB allocation. </w:t>
      </w:r>
    </w:p>
    <w:p w14:paraId="7F22F275" w14:textId="16C153A6" w:rsidR="001E3FC5" w:rsidRDefault="001E3FC5">
      <w:pPr>
        <w:spacing w:after="180"/>
        <w:jc w:val="left"/>
        <w:rPr>
          <w:rFonts w:ascii="Times New Roman" w:hAnsi="Times New Roman"/>
          <w:sz w:val="20"/>
          <w:szCs w:val="20"/>
        </w:rPr>
      </w:pPr>
      <w:r w:rsidRPr="001E3FC5">
        <w:rPr>
          <w:rFonts w:ascii="Times New Roman" w:hAnsi="Times New Roman"/>
          <w:sz w:val="20"/>
          <w:szCs w:val="20"/>
        </w:rPr>
        <w:t xml:space="preserve">For the band n39, in China it is also only allocated to CMCC without adjacent carrier interference issue. But n39 is adjacent to both band n3 DL and band n1 UL. To avoid the </w:t>
      </w:r>
      <w:proofErr w:type="spellStart"/>
      <w:r w:rsidRPr="001E3FC5">
        <w:rPr>
          <w:rFonts w:ascii="Times New Roman" w:hAnsi="Times New Roman"/>
          <w:sz w:val="20"/>
          <w:szCs w:val="20"/>
        </w:rPr>
        <w:t>gNB</w:t>
      </w:r>
      <w:proofErr w:type="spellEnd"/>
      <w:r w:rsidRPr="001E3FC5">
        <w:rPr>
          <w:rFonts w:ascii="Times New Roman" w:hAnsi="Times New Roman"/>
          <w:sz w:val="20"/>
          <w:szCs w:val="20"/>
        </w:rPr>
        <w:t>-to-</w:t>
      </w:r>
      <w:proofErr w:type="spellStart"/>
      <w:r w:rsidRPr="001E3FC5">
        <w:rPr>
          <w:rFonts w:ascii="Times New Roman" w:hAnsi="Times New Roman"/>
          <w:sz w:val="20"/>
          <w:szCs w:val="20"/>
        </w:rPr>
        <w:t>gNB</w:t>
      </w:r>
      <w:proofErr w:type="spellEnd"/>
      <w:r w:rsidRPr="001E3FC5">
        <w:rPr>
          <w:rFonts w:ascii="Times New Roman" w:hAnsi="Times New Roman"/>
          <w:sz w:val="20"/>
          <w:szCs w:val="20"/>
        </w:rPr>
        <w:t xml:space="preserve"> interference, guard spectrum is reserved, i.e. 5MHz as shown below. For this case, according to 3GPP, band n39 UE ACLR1 still applies in the frequency range of band n1 even with guard band. but it seems </w:t>
      </w:r>
      <w:r>
        <w:rPr>
          <w:rFonts w:ascii="Times New Roman" w:hAnsi="Times New Roman" w:hint="eastAsia"/>
          <w:sz w:val="20"/>
          <w:szCs w:val="20"/>
        </w:rPr>
        <w:t>c</w:t>
      </w:r>
      <w:r w:rsidRPr="001E3FC5">
        <w:rPr>
          <w:rFonts w:ascii="Times New Roman" w:hAnsi="Times New Roman"/>
          <w:sz w:val="20"/>
          <w:szCs w:val="20"/>
        </w:rPr>
        <w:t xml:space="preserve">onverting outer RB allocation is allowed due to the guard band. RAN4 </w:t>
      </w:r>
      <w:r>
        <w:rPr>
          <w:rFonts w:ascii="Times New Roman" w:hAnsi="Times New Roman" w:hint="eastAsia"/>
          <w:sz w:val="20"/>
          <w:szCs w:val="20"/>
        </w:rPr>
        <w:t>should consider</w:t>
      </w:r>
      <w:r w:rsidRPr="001E3FC5">
        <w:rPr>
          <w:rFonts w:ascii="Times New Roman" w:hAnsi="Times New Roman"/>
          <w:sz w:val="20"/>
          <w:szCs w:val="20"/>
        </w:rPr>
        <w:t xml:space="preserve"> whether </w:t>
      </w:r>
      <w:r>
        <w:rPr>
          <w:rFonts w:ascii="Times New Roman" w:hAnsi="Times New Roman" w:hint="eastAsia"/>
          <w:sz w:val="20"/>
          <w:szCs w:val="20"/>
        </w:rPr>
        <w:t>this feature</w:t>
      </w:r>
      <w:r w:rsidRPr="001E3FC5">
        <w:rPr>
          <w:rFonts w:ascii="Times New Roman" w:hAnsi="Times New Roman"/>
          <w:sz w:val="20"/>
          <w:szCs w:val="20"/>
        </w:rPr>
        <w:t xml:space="preserve"> is allowed or not when there is certain guard band and the guard band is less than the CBW assumption.</w:t>
      </w:r>
    </w:p>
    <w:p w14:paraId="15C5BDE3" w14:textId="0B252454" w:rsidR="00431847" w:rsidRDefault="00431847" w:rsidP="00431847">
      <w:pPr>
        <w:spacing w:after="180"/>
        <w:jc w:val="center"/>
        <w:rPr>
          <w:rFonts w:ascii="Times New Roman" w:hAnsi="Times New Roman"/>
          <w:sz w:val="20"/>
          <w:szCs w:val="20"/>
        </w:rPr>
      </w:pPr>
      <w:r>
        <w:rPr>
          <w:rFonts w:ascii="Times New Roman" w:hAnsi="Times New Roman"/>
          <w:noProof/>
          <w:sz w:val="20"/>
          <w:szCs w:val="20"/>
        </w:rPr>
        <w:drawing>
          <wp:inline distT="0" distB="0" distL="114300" distR="114300" wp14:anchorId="2AEF6FAD" wp14:editId="3E9C0C6D">
            <wp:extent cx="3721100" cy="1073150"/>
            <wp:effectExtent l="0" t="0" r="0" b="6350"/>
            <wp:docPr id="1046759080" name="图片 1046759080" descr="171248868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2488682184"/>
                    <pic:cNvPicPr>
                      <a:picLocks noChangeAspect="1"/>
                    </pic:cNvPicPr>
                  </pic:nvPicPr>
                  <pic:blipFill>
                    <a:blip r:embed="rId8"/>
                    <a:stretch>
                      <a:fillRect/>
                    </a:stretch>
                  </pic:blipFill>
                  <pic:spPr>
                    <a:xfrm>
                      <a:off x="0" y="0"/>
                      <a:ext cx="3721100" cy="1073150"/>
                    </a:xfrm>
                    <a:prstGeom prst="rect">
                      <a:avLst/>
                    </a:prstGeom>
                  </pic:spPr>
                </pic:pic>
              </a:graphicData>
            </a:graphic>
          </wp:inline>
        </w:drawing>
      </w:r>
    </w:p>
    <w:p w14:paraId="7CF7F8C1" w14:textId="235B3DD6" w:rsidR="00431847" w:rsidRPr="00431847" w:rsidRDefault="00431847">
      <w:pPr>
        <w:spacing w:after="180"/>
        <w:jc w:val="left"/>
        <w:rPr>
          <w:rFonts w:ascii="Times New Roman" w:hAnsi="Times New Roman"/>
          <w:sz w:val="20"/>
          <w:szCs w:val="20"/>
        </w:rPr>
      </w:pPr>
      <w:r w:rsidRPr="00431847">
        <w:rPr>
          <w:rFonts w:ascii="Times New Roman" w:hAnsi="Times New Roman" w:hint="eastAsia"/>
          <w:sz w:val="20"/>
          <w:szCs w:val="20"/>
        </w:rPr>
        <w:t xml:space="preserve">Based on the above analysis, we think when RAN4 define </w:t>
      </w:r>
      <w:proofErr w:type="gramStart"/>
      <w:r w:rsidRPr="00431847">
        <w:rPr>
          <w:rFonts w:ascii="Times New Roman" w:hAnsi="Times New Roman" w:hint="eastAsia"/>
          <w:sz w:val="20"/>
          <w:szCs w:val="20"/>
        </w:rPr>
        <w:t>an</w:t>
      </w:r>
      <w:proofErr w:type="gramEnd"/>
      <w:r w:rsidRPr="00431847">
        <w:rPr>
          <w:rFonts w:ascii="Times New Roman" w:hAnsi="Times New Roman" w:hint="eastAsia"/>
          <w:sz w:val="20"/>
          <w:szCs w:val="20"/>
        </w:rPr>
        <w:t xml:space="preserve"> </w:t>
      </w:r>
      <w:r w:rsidRPr="00431847">
        <w:rPr>
          <w:rFonts w:ascii="Times New Roman" w:hAnsi="Times New Roman"/>
          <w:sz w:val="20"/>
          <w:szCs w:val="20"/>
        </w:rPr>
        <w:t>unified solution</w:t>
      </w:r>
      <w:r w:rsidRPr="00431847">
        <w:rPr>
          <w:rFonts w:ascii="Times New Roman" w:hAnsi="Times New Roman" w:hint="eastAsia"/>
          <w:sz w:val="20"/>
          <w:szCs w:val="20"/>
        </w:rPr>
        <w:t xml:space="preserve">, </w:t>
      </w:r>
      <w:r w:rsidRPr="00431847">
        <w:rPr>
          <w:rFonts w:ascii="Times New Roman" w:hAnsi="Times New Roman"/>
          <w:sz w:val="20"/>
          <w:szCs w:val="20"/>
        </w:rPr>
        <w:t>scenario 1</w:t>
      </w:r>
      <w:r w:rsidRPr="00431847">
        <w:rPr>
          <w:rFonts w:ascii="Times New Roman" w:hAnsi="Times New Roman" w:hint="eastAsia"/>
          <w:sz w:val="20"/>
          <w:szCs w:val="20"/>
        </w:rPr>
        <w:t xml:space="preserve">-1 should be considered. Besides, during the discussion of these issues, the </w:t>
      </w:r>
      <w:r w:rsidRPr="00431847">
        <w:rPr>
          <w:rFonts w:ascii="Times New Roman" w:hAnsi="Times New Roman"/>
          <w:sz w:val="20"/>
          <w:szCs w:val="20"/>
        </w:rPr>
        <w:t>adjacent carrier interference</w:t>
      </w:r>
      <w:r w:rsidRPr="00431847">
        <w:rPr>
          <w:rFonts w:ascii="Times New Roman" w:hAnsi="Times New Roman" w:hint="eastAsia"/>
          <w:sz w:val="20"/>
          <w:szCs w:val="20"/>
        </w:rPr>
        <w:t xml:space="preserve"> and different deployment scenarios should also be considered.</w:t>
      </w:r>
    </w:p>
    <w:p w14:paraId="789390FA" w14:textId="77777777" w:rsidR="00FE40F0" w:rsidRPr="00FE40F0" w:rsidRDefault="00431847" w:rsidP="00C40A86">
      <w:pPr>
        <w:spacing w:after="180"/>
        <w:jc w:val="left"/>
        <w:rPr>
          <w:rFonts w:ascii="Times New Roman" w:hAnsi="Times New Roman"/>
          <w:b/>
          <w:bCs/>
          <w:sz w:val="20"/>
          <w:szCs w:val="20"/>
        </w:rPr>
      </w:pPr>
      <w:bookmarkStart w:id="3" w:name="_Hlk181956918"/>
      <w:bookmarkEnd w:id="2"/>
      <w:r w:rsidRPr="00FE40F0">
        <w:rPr>
          <w:rFonts w:ascii="Times New Roman" w:hAnsi="Times New Roman"/>
          <w:b/>
          <w:bCs/>
          <w:sz w:val="20"/>
          <w:szCs w:val="20"/>
        </w:rPr>
        <w:t xml:space="preserve">Proposal </w:t>
      </w:r>
      <w:r w:rsidR="00FE40F0" w:rsidRPr="00FE40F0">
        <w:rPr>
          <w:rFonts w:ascii="Times New Roman" w:hAnsi="Times New Roman" w:hint="eastAsia"/>
          <w:b/>
          <w:bCs/>
          <w:sz w:val="20"/>
          <w:szCs w:val="20"/>
        </w:rPr>
        <w:t>2</w:t>
      </w:r>
      <w:r w:rsidRPr="00FE40F0">
        <w:rPr>
          <w:rFonts w:ascii="Times New Roman" w:hAnsi="Times New Roman"/>
          <w:b/>
          <w:bCs/>
          <w:sz w:val="20"/>
          <w:szCs w:val="20"/>
        </w:rPr>
        <w:t xml:space="preserve">: </w:t>
      </w:r>
      <w:r w:rsidR="00FE40F0" w:rsidRPr="00FE40F0">
        <w:rPr>
          <w:rFonts w:ascii="Times New Roman" w:hAnsi="Times New Roman"/>
          <w:b/>
          <w:bCs/>
          <w:sz w:val="20"/>
          <w:szCs w:val="20"/>
        </w:rPr>
        <w:t>Scenario 1-1 needs to be taken into account</w:t>
      </w:r>
    </w:p>
    <w:p w14:paraId="49666AC7" w14:textId="2A263138" w:rsidR="001E3FC5" w:rsidRPr="00FE40F0" w:rsidRDefault="00FE40F0" w:rsidP="00C40A86">
      <w:pPr>
        <w:spacing w:after="180"/>
        <w:jc w:val="left"/>
        <w:rPr>
          <w:rFonts w:ascii="Times New Roman" w:hAnsi="Times New Roman"/>
          <w:b/>
          <w:bCs/>
          <w:sz w:val="20"/>
          <w:szCs w:val="20"/>
        </w:rPr>
      </w:pPr>
      <w:r w:rsidRPr="00FE40F0">
        <w:rPr>
          <w:rFonts w:ascii="Times New Roman" w:hAnsi="Times New Roman"/>
          <w:b/>
          <w:bCs/>
          <w:sz w:val="20"/>
          <w:szCs w:val="20"/>
        </w:rPr>
        <w:t>Proposal 3: Adjacent carrier interference and spectrum deployment should be factored into every scenario.</w:t>
      </w:r>
    </w:p>
    <w:bookmarkEnd w:id="3"/>
    <w:p w14:paraId="0CC21119" w14:textId="77777777" w:rsidR="00F302DC"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0C16A269" w14:textId="77777777" w:rsidR="00F302DC"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rPr>
        <w:t>the scenario for ACLR/SEM relaxation</w:t>
      </w:r>
      <w:r>
        <w:rPr>
          <w:rFonts w:ascii="Times New Roman" w:hAnsi="Times New Roman" w:hint="eastAsia"/>
          <w:sz w:val="20"/>
          <w:szCs w:val="20"/>
        </w:rPr>
        <w:t xml:space="preserve"> are discussed with following observations and proposals.</w:t>
      </w:r>
    </w:p>
    <w:p w14:paraId="6A05C01D" w14:textId="77777777" w:rsidR="00FE40F0" w:rsidRDefault="00FE40F0" w:rsidP="00FE40F0">
      <w:pPr>
        <w:spacing w:after="180"/>
        <w:jc w:val="left"/>
        <w:rPr>
          <w:rFonts w:ascii="Times New Roman" w:hAnsi="Times New Roman"/>
          <w:b/>
          <w:bCs/>
          <w:sz w:val="20"/>
          <w:szCs w:val="20"/>
        </w:rPr>
      </w:pPr>
      <w:r w:rsidRPr="00FE40F0">
        <w:rPr>
          <w:rFonts w:ascii="Times New Roman" w:hAnsi="Times New Roman"/>
          <w:b/>
          <w:bCs/>
          <w:sz w:val="20"/>
          <w:szCs w:val="20"/>
        </w:rPr>
        <w:t xml:space="preserve">Proposal </w:t>
      </w:r>
      <w:r w:rsidRPr="00FE40F0">
        <w:rPr>
          <w:rFonts w:ascii="Times New Roman" w:hAnsi="Times New Roman" w:hint="eastAsia"/>
          <w:b/>
          <w:bCs/>
          <w:sz w:val="20"/>
          <w:szCs w:val="20"/>
        </w:rPr>
        <w:t>1</w:t>
      </w:r>
      <w:r w:rsidRPr="00FE40F0">
        <w:rPr>
          <w:rFonts w:ascii="Times New Roman" w:hAnsi="Times New Roman"/>
          <w:b/>
          <w:bCs/>
          <w:sz w:val="20"/>
          <w:szCs w:val="20"/>
        </w:rPr>
        <w:t xml:space="preserve">: </w:t>
      </w:r>
      <w:r w:rsidRPr="00FE40F0">
        <w:rPr>
          <w:rFonts w:ascii="Times New Roman" w:hAnsi="Times New Roman" w:hint="eastAsia"/>
          <w:b/>
          <w:bCs/>
          <w:sz w:val="20"/>
          <w:szCs w:val="20"/>
        </w:rPr>
        <w:t>C</w:t>
      </w:r>
      <w:r w:rsidRPr="00FE40F0">
        <w:rPr>
          <w:rFonts w:ascii="Times New Roman" w:hAnsi="Times New Roman"/>
          <w:b/>
          <w:bCs/>
          <w:sz w:val="20"/>
          <w:szCs w:val="20"/>
        </w:rPr>
        <w:t>onverting outer RB allocation to inner RB allocation</w:t>
      </w:r>
      <w:r w:rsidRPr="00FE40F0">
        <w:rPr>
          <w:rFonts w:ascii="Times New Roman" w:hAnsi="Times New Roman" w:hint="eastAsia"/>
          <w:b/>
          <w:bCs/>
          <w:sz w:val="20"/>
          <w:szCs w:val="20"/>
        </w:rPr>
        <w:t xml:space="preserve"> to </w:t>
      </w:r>
      <w:r w:rsidRPr="00FE40F0">
        <w:rPr>
          <w:rFonts w:ascii="Times New Roman" w:hAnsi="Times New Roman"/>
          <w:b/>
          <w:bCs/>
          <w:sz w:val="20"/>
          <w:szCs w:val="20"/>
        </w:rPr>
        <w:t>shift the OOB applicable frequency range</w:t>
      </w:r>
      <w:r w:rsidRPr="00FE40F0">
        <w:rPr>
          <w:rFonts w:ascii="Times New Roman" w:hAnsi="Times New Roman" w:hint="eastAsia"/>
          <w:b/>
          <w:bCs/>
          <w:sz w:val="20"/>
          <w:szCs w:val="20"/>
        </w:rPr>
        <w:t xml:space="preserve"> is a good approach to enhanced MPR</w:t>
      </w:r>
      <w:r w:rsidRPr="00FE40F0">
        <w:rPr>
          <w:rFonts w:ascii="Times New Roman" w:hAnsi="Times New Roman"/>
          <w:b/>
          <w:bCs/>
          <w:sz w:val="20"/>
          <w:szCs w:val="20"/>
        </w:rPr>
        <w:t>.</w:t>
      </w:r>
    </w:p>
    <w:p w14:paraId="6FFE1DF0" w14:textId="77777777" w:rsidR="00FE40F0" w:rsidRPr="00FE40F0" w:rsidRDefault="00FE40F0" w:rsidP="00FE40F0">
      <w:pPr>
        <w:spacing w:after="180"/>
        <w:jc w:val="left"/>
        <w:rPr>
          <w:rFonts w:ascii="Times New Roman" w:hAnsi="Times New Roman"/>
          <w:b/>
          <w:bCs/>
          <w:sz w:val="20"/>
          <w:szCs w:val="20"/>
        </w:rPr>
      </w:pPr>
      <w:r w:rsidRPr="00FE40F0">
        <w:rPr>
          <w:rFonts w:ascii="Times New Roman" w:hAnsi="Times New Roman"/>
          <w:b/>
          <w:bCs/>
          <w:sz w:val="20"/>
          <w:szCs w:val="20"/>
        </w:rPr>
        <w:t>Proposal 2: Scenario 1-1 needs to be taken into account</w:t>
      </w:r>
    </w:p>
    <w:p w14:paraId="1EE0E334" w14:textId="02CF766E" w:rsidR="00FE40F0" w:rsidRPr="00FE40F0" w:rsidRDefault="00FE40F0" w:rsidP="00FE40F0">
      <w:pPr>
        <w:spacing w:after="180"/>
        <w:jc w:val="left"/>
        <w:rPr>
          <w:rFonts w:ascii="Times New Roman" w:hAnsi="Times New Roman"/>
          <w:b/>
          <w:bCs/>
          <w:sz w:val="20"/>
          <w:szCs w:val="20"/>
        </w:rPr>
      </w:pPr>
      <w:r w:rsidRPr="00FE40F0">
        <w:rPr>
          <w:rFonts w:ascii="Times New Roman" w:hAnsi="Times New Roman"/>
          <w:b/>
          <w:bCs/>
          <w:sz w:val="20"/>
          <w:szCs w:val="20"/>
        </w:rPr>
        <w:t>Proposal 3: Adjacent carrier interference and spectrum deployment should be factored into every scenario.</w:t>
      </w:r>
    </w:p>
    <w:p w14:paraId="3204E23B" w14:textId="77777777" w:rsidR="00F302DC"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0067BFD0" w14:textId="10707A9F" w:rsidR="00F302DC" w:rsidRDefault="00FE40F0">
      <w:pPr>
        <w:numPr>
          <w:ilvl w:val="0"/>
          <w:numId w:val="3"/>
        </w:numPr>
        <w:tabs>
          <w:tab w:val="right" w:pos="10440"/>
          <w:tab w:val="right" w:pos="13323"/>
        </w:tabs>
        <w:jc w:val="left"/>
        <w:rPr>
          <w:rFonts w:ascii="Times New Roman" w:hAnsi="Times New Roman"/>
          <w:sz w:val="20"/>
          <w:szCs w:val="20"/>
        </w:rPr>
      </w:pPr>
      <w:r w:rsidRPr="00FE40F0">
        <w:rPr>
          <w:rFonts w:ascii="Times New Roman" w:hAnsi="Times New Roman"/>
          <w:sz w:val="20"/>
          <w:szCs w:val="20"/>
        </w:rPr>
        <w:t>R4-2417111</w:t>
      </w:r>
      <w:r>
        <w:rPr>
          <w:rFonts w:ascii="Times New Roman" w:hAnsi="Times New Roman" w:hint="eastAsia"/>
          <w:sz w:val="20"/>
          <w:szCs w:val="20"/>
        </w:rPr>
        <w:t>,</w:t>
      </w:r>
      <w:r w:rsidRPr="00FE40F0">
        <w:t xml:space="preserve"> </w:t>
      </w:r>
      <w:r w:rsidRPr="00FE40F0">
        <w:rPr>
          <w:rFonts w:ascii="Times New Roman" w:hAnsi="Times New Roman"/>
          <w:sz w:val="20"/>
          <w:szCs w:val="20"/>
        </w:rPr>
        <w:t>WF on power domain enhancements</w:t>
      </w:r>
    </w:p>
    <w:sectPr w:rsidR="00F302D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A6DAC" w14:textId="77777777" w:rsidR="006C171F" w:rsidRDefault="006C171F">
      <w:r>
        <w:separator/>
      </w:r>
    </w:p>
  </w:endnote>
  <w:endnote w:type="continuationSeparator" w:id="0">
    <w:p w14:paraId="4E94012B" w14:textId="77777777" w:rsidR="006C171F" w:rsidRDefault="006C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8E4CF" w14:textId="77777777" w:rsidR="006C171F" w:rsidRDefault="006C171F">
      <w:r>
        <w:separator/>
      </w:r>
    </w:p>
  </w:footnote>
  <w:footnote w:type="continuationSeparator" w:id="0">
    <w:p w14:paraId="4785C20F" w14:textId="77777777" w:rsidR="006C171F" w:rsidRDefault="006C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AB570" w14:textId="77777777" w:rsidR="00F302DC" w:rsidRDefault="00F302D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EE3185"/>
    <w:multiLevelType w:val="multilevel"/>
    <w:tmpl w:val="3DEE31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247005276">
    <w:abstractNumId w:val="1"/>
  </w:num>
  <w:num w:numId="2" w16cid:durableId="687565878">
    <w:abstractNumId w:val="2"/>
  </w:num>
  <w:num w:numId="3" w16cid:durableId="720253290">
    <w:abstractNumId w:val="0"/>
  </w:num>
  <w:num w:numId="4" w16cid:durableId="844634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484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3FC5"/>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45F"/>
    <w:rsid w:val="003C6757"/>
    <w:rsid w:val="003C6A82"/>
    <w:rsid w:val="003C75D4"/>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847"/>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4FD"/>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21E"/>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5F6"/>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1F"/>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0D0B"/>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3F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0C8C"/>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0A86"/>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2DC"/>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0F0"/>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A5041"/>
    <w:rsid w:val="010B6346"/>
    <w:rsid w:val="01721063"/>
    <w:rsid w:val="01BD0368"/>
    <w:rsid w:val="01DC539A"/>
    <w:rsid w:val="01DE089D"/>
    <w:rsid w:val="01F20EEE"/>
    <w:rsid w:val="020970CA"/>
    <w:rsid w:val="0226460D"/>
    <w:rsid w:val="023B43AB"/>
    <w:rsid w:val="028945B9"/>
    <w:rsid w:val="028E1852"/>
    <w:rsid w:val="02C81B1F"/>
    <w:rsid w:val="03256636"/>
    <w:rsid w:val="03391357"/>
    <w:rsid w:val="035967B1"/>
    <w:rsid w:val="035D4591"/>
    <w:rsid w:val="035E5896"/>
    <w:rsid w:val="03631D1E"/>
    <w:rsid w:val="037E5DCB"/>
    <w:rsid w:val="03DD0363"/>
    <w:rsid w:val="03E26584"/>
    <w:rsid w:val="03E35AEF"/>
    <w:rsid w:val="04492C16"/>
    <w:rsid w:val="044D771D"/>
    <w:rsid w:val="047B4D00"/>
    <w:rsid w:val="04A732AF"/>
    <w:rsid w:val="04B527F1"/>
    <w:rsid w:val="05026E46"/>
    <w:rsid w:val="0533347B"/>
    <w:rsid w:val="053C405B"/>
    <w:rsid w:val="054D3C9F"/>
    <w:rsid w:val="056F5AD7"/>
    <w:rsid w:val="057E7A8F"/>
    <w:rsid w:val="059E10D1"/>
    <w:rsid w:val="05A012C8"/>
    <w:rsid w:val="05BF54F8"/>
    <w:rsid w:val="05E277B3"/>
    <w:rsid w:val="05FF6A11"/>
    <w:rsid w:val="060557D7"/>
    <w:rsid w:val="06285D29"/>
    <w:rsid w:val="06305334"/>
    <w:rsid w:val="06434355"/>
    <w:rsid w:val="066C0AAE"/>
    <w:rsid w:val="068C7C4C"/>
    <w:rsid w:val="06963DDF"/>
    <w:rsid w:val="06CC0A35"/>
    <w:rsid w:val="07031681"/>
    <w:rsid w:val="072126BE"/>
    <w:rsid w:val="07530E8A"/>
    <w:rsid w:val="0769686A"/>
    <w:rsid w:val="076E27BD"/>
    <w:rsid w:val="0770402F"/>
    <w:rsid w:val="078E5270"/>
    <w:rsid w:val="07B42F31"/>
    <w:rsid w:val="07C25ACA"/>
    <w:rsid w:val="07CA6B66"/>
    <w:rsid w:val="07D06FDE"/>
    <w:rsid w:val="07F15671"/>
    <w:rsid w:val="08200491"/>
    <w:rsid w:val="08425E71"/>
    <w:rsid w:val="0847398B"/>
    <w:rsid w:val="085D3E3F"/>
    <w:rsid w:val="087912F3"/>
    <w:rsid w:val="088C4ECC"/>
    <w:rsid w:val="08973524"/>
    <w:rsid w:val="08A26EE3"/>
    <w:rsid w:val="08A65D3D"/>
    <w:rsid w:val="0900762B"/>
    <w:rsid w:val="09210F0A"/>
    <w:rsid w:val="09264BC9"/>
    <w:rsid w:val="092D4D1C"/>
    <w:rsid w:val="09626007"/>
    <w:rsid w:val="097C4A9B"/>
    <w:rsid w:val="098766B0"/>
    <w:rsid w:val="09993AB5"/>
    <w:rsid w:val="09F66D51"/>
    <w:rsid w:val="0A0219DF"/>
    <w:rsid w:val="0A175F9F"/>
    <w:rsid w:val="0A7E0A7F"/>
    <w:rsid w:val="0A894FD9"/>
    <w:rsid w:val="0AA20101"/>
    <w:rsid w:val="0ABA1F25"/>
    <w:rsid w:val="0ADD2F10"/>
    <w:rsid w:val="0AE113D2"/>
    <w:rsid w:val="0AF67B8B"/>
    <w:rsid w:val="0B0758A7"/>
    <w:rsid w:val="0B1B4548"/>
    <w:rsid w:val="0B3166EB"/>
    <w:rsid w:val="0B51119F"/>
    <w:rsid w:val="0B7C5C6F"/>
    <w:rsid w:val="0BBF5056"/>
    <w:rsid w:val="0BE65845"/>
    <w:rsid w:val="0BE92617"/>
    <w:rsid w:val="0BEA0098"/>
    <w:rsid w:val="0BF0521B"/>
    <w:rsid w:val="0BF132A6"/>
    <w:rsid w:val="0BF7455D"/>
    <w:rsid w:val="0BFE4B3A"/>
    <w:rsid w:val="0C0B3633"/>
    <w:rsid w:val="0C200572"/>
    <w:rsid w:val="0C296C83"/>
    <w:rsid w:val="0C5C1421"/>
    <w:rsid w:val="0C6E64A7"/>
    <w:rsid w:val="0C8D3125"/>
    <w:rsid w:val="0D4F6A66"/>
    <w:rsid w:val="0D545798"/>
    <w:rsid w:val="0D624402"/>
    <w:rsid w:val="0D747B9F"/>
    <w:rsid w:val="0D8F41B3"/>
    <w:rsid w:val="0DD237BC"/>
    <w:rsid w:val="0DDA3199"/>
    <w:rsid w:val="0E037D57"/>
    <w:rsid w:val="0E1D4B35"/>
    <w:rsid w:val="0E241F41"/>
    <w:rsid w:val="0E454950"/>
    <w:rsid w:val="0E5E15C4"/>
    <w:rsid w:val="0E5F68A3"/>
    <w:rsid w:val="0E7813A9"/>
    <w:rsid w:val="0E7D3C55"/>
    <w:rsid w:val="0E8A2F6A"/>
    <w:rsid w:val="0EA55D13"/>
    <w:rsid w:val="0EBC441C"/>
    <w:rsid w:val="0EBD33B9"/>
    <w:rsid w:val="0EBE690E"/>
    <w:rsid w:val="0EE522F1"/>
    <w:rsid w:val="0F1A117A"/>
    <w:rsid w:val="0F1C3F4D"/>
    <w:rsid w:val="0F5116AE"/>
    <w:rsid w:val="0F596ABB"/>
    <w:rsid w:val="0F5F09C4"/>
    <w:rsid w:val="0F5F4247"/>
    <w:rsid w:val="0F6273CA"/>
    <w:rsid w:val="0F737665"/>
    <w:rsid w:val="0F7D4B34"/>
    <w:rsid w:val="0FC419ED"/>
    <w:rsid w:val="0FD9288C"/>
    <w:rsid w:val="0FED4DB0"/>
    <w:rsid w:val="0FEE6FAE"/>
    <w:rsid w:val="0FF20B73"/>
    <w:rsid w:val="0FF643BB"/>
    <w:rsid w:val="0FFE504A"/>
    <w:rsid w:val="10003991"/>
    <w:rsid w:val="100565B7"/>
    <w:rsid w:val="101F3001"/>
    <w:rsid w:val="10254F0A"/>
    <w:rsid w:val="107A5C99"/>
    <w:rsid w:val="107B7E97"/>
    <w:rsid w:val="10994EC9"/>
    <w:rsid w:val="109C57D8"/>
    <w:rsid w:val="10D64689"/>
    <w:rsid w:val="10ED29B0"/>
    <w:rsid w:val="10EF7E56"/>
    <w:rsid w:val="10F20636"/>
    <w:rsid w:val="10FB74EC"/>
    <w:rsid w:val="11321BC4"/>
    <w:rsid w:val="113A6FD0"/>
    <w:rsid w:val="11475BCD"/>
    <w:rsid w:val="1155307D"/>
    <w:rsid w:val="11690246"/>
    <w:rsid w:val="117C38F8"/>
    <w:rsid w:val="117D6EEE"/>
    <w:rsid w:val="11AB188E"/>
    <w:rsid w:val="11B5219D"/>
    <w:rsid w:val="11DF67EB"/>
    <w:rsid w:val="12106FE1"/>
    <w:rsid w:val="12213A4B"/>
    <w:rsid w:val="122946DB"/>
    <w:rsid w:val="12750F57"/>
    <w:rsid w:val="129C3395"/>
    <w:rsid w:val="12E83AF4"/>
    <w:rsid w:val="131A26ED"/>
    <w:rsid w:val="134E0C3A"/>
    <w:rsid w:val="13771DFE"/>
    <w:rsid w:val="13D554C5"/>
    <w:rsid w:val="13F25EC4"/>
    <w:rsid w:val="14245767"/>
    <w:rsid w:val="14363136"/>
    <w:rsid w:val="145C23B3"/>
    <w:rsid w:val="14790727"/>
    <w:rsid w:val="149E7662"/>
    <w:rsid w:val="1508348E"/>
    <w:rsid w:val="15350710"/>
    <w:rsid w:val="155F416A"/>
    <w:rsid w:val="156354FD"/>
    <w:rsid w:val="156C0FB4"/>
    <w:rsid w:val="15701BB9"/>
    <w:rsid w:val="157A51BC"/>
    <w:rsid w:val="157D2E02"/>
    <w:rsid w:val="159557BE"/>
    <w:rsid w:val="15A85596"/>
    <w:rsid w:val="15BE773A"/>
    <w:rsid w:val="15CD7D54"/>
    <w:rsid w:val="15D00CD9"/>
    <w:rsid w:val="15E450B5"/>
    <w:rsid w:val="16371982"/>
    <w:rsid w:val="163D388B"/>
    <w:rsid w:val="1683077C"/>
    <w:rsid w:val="168B5B89"/>
    <w:rsid w:val="16A44534"/>
    <w:rsid w:val="16C005E1"/>
    <w:rsid w:val="16E06917"/>
    <w:rsid w:val="16FD2BCB"/>
    <w:rsid w:val="17137D33"/>
    <w:rsid w:val="175862BF"/>
    <w:rsid w:val="17590897"/>
    <w:rsid w:val="176D19FF"/>
    <w:rsid w:val="1784209C"/>
    <w:rsid w:val="179D67CA"/>
    <w:rsid w:val="17B730F8"/>
    <w:rsid w:val="17C80E13"/>
    <w:rsid w:val="17CB3F96"/>
    <w:rsid w:val="17E56F60"/>
    <w:rsid w:val="17F263D4"/>
    <w:rsid w:val="17F47A83"/>
    <w:rsid w:val="17F52BDC"/>
    <w:rsid w:val="180D2D20"/>
    <w:rsid w:val="182249A5"/>
    <w:rsid w:val="183A0ACF"/>
    <w:rsid w:val="183C484C"/>
    <w:rsid w:val="18642373"/>
    <w:rsid w:val="187831B6"/>
    <w:rsid w:val="18834ED9"/>
    <w:rsid w:val="18971C7B"/>
    <w:rsid w:val="18A656AF"/>
    <w:rsid w:val="18CE28C0"/>
    <w:rsid w:val="18E26C79"/>
    <w:rsid w:val="18E55D68"/>
    <w:rsid w:val="18FE0AB6"/>
    <w:rsid w:val="19813C3F"/>
    <w:rsid w:val="19A17418"/>
    <w:rsid w:val="19B263B5"/>
    <w:rsid w:val="19B93092"/>
    <w:rsid w:val="19DF2D99"/>
    <w:rsid w:val="19EA686E"/>
    <w:rsid w:val="1A5F4359"/>
    <w:rsid w:val="1A7C2F66"/>
    <w:rsid w:val="1A7D000B"/>
    <w:rsid w:val="1A8670A6"/>
    <w:rsid w:val="1A877692"/>
    <w:rsid w:val="1AA2734E"/>
    <w:rsid w:val="1AB02A55"/>
    <w:rsid w:val="1AE4582E"/>
    <w:rsid w:val="1AEE79D2"/>
    <w:rsid w:val="1AFD11C6"/>
    <w:rsid w:val="1B00542F"/>
    <w:rsid w:val="1B2F42F1"/>
    <w:rsid w:val="1B301DA5"/>
    <w:rsid w:val="1B3F3E40"/>
    <w:rsid w:val="1B7C00B3"/>
    <w:rsid w:val="1B7C0EA4"/>
    <w:rsid w:val="1BB42683"/>
    <w:rsid w:val="1BD62837"/>
    <w:rsid w:val="1BEF2DFC"/>
    <w:rsid w:val="1BF509C2"/>
    <w:rsid w:val="1BF95FEE"/>
    <w:rsid w:val="1C1B332C"/>
    <w:rsid w:val="1C2A6C2E"/>
    <w:rsid w:val="1C363B56"/>
    <w:rsid w:val="1C512181"/>
    <w:rsid w:val="1C527C03"/>
    <w:rsid w:val="1C700838"/>
    <w:rsid w:val="1C7D7B4D"/>
    <w:rsid w:val="1CE56278"/>
    <w:rsid w:val="1CFC261A"/>
    <w:rsid w:val="1CFF6E5D"/>
    <w:rsid w:val="1D0432AA"/>
    <w:rsid w:val="1D0A4412"/>
    <w:rsid w:val="1D0B38F8"/>
    <w:rsid w:val="1D1D5776"/>
    <w:rsid w:val="1D1D70F1"/>
    <w:rsid w:val="1D2753AE"/>
    <w:rsid w:val="1D3E218A"/>
    <w:rsid w:val="1D41310E"/>
    <w:rsid w:val="1D6D7456"/>
    <w:rsid w:val="1D7522E4"/>
    <w:rsid w:val="1D7879E5"/>
    <w:rsid w:val="1D867707"/>
    <w:rsid w:val="1DB146C7"/>
    <w:rsid w:val="1DB96250"/>
    <w:rsid w:val="1E295925"/>
    <w:rsid w:val="1E3D0B9B"/>
    <w:rsid w:val="1E535731"/>
    <w:rsid w:val="1E76570A"/>
    <w:rsid w:val="1E81151C"/>
    <w:rsid w:val="1E884DB6"/>
    <w:rsid w:val="1EA529D6"/>
    <w:rsid w:val="1EFE1319"/>
    <w:rsid w:val="1F0D1045"/>
    <w:rsid w:val="1F1F489E"/>
    <w:rsid w:val="1F2F076D"/>
    <w:rsid w:val="1F7C7AD5"/>
    <w:rsid w:val="1FCF33BD"/>
    <w:rsid w:val="1FFB17BC"/>
    <w:rsid w:val="200C3221"/>
    <w:rsid w:val="201828B7"/>
    <w:rsid w:val="203D39F0"/>
    <w:rsid w:val="20471021"/>
    <w:rsid w:val="20731CCC"/>
    <w:rsid w:val="20817033"/>
    <w:rsid w:val="208F37FB"/>
    <w:rsid w:val="20990887"/>
    <w:rsid w:val="20B523B5"/>
    <w:rsid w:val="20E833A7"/>
    <w:rsid w:val="20EA2C10"/>
    <w:rsid w:val="21182A73"/>
    <w:rsid w:val="2139298F"/>
    <w:rsid w:val="21637056"/>
    <w:rsid w:val="216C01F4"/>
    <w:rsid w:val="21884F0C"/>
    <w:rsid w:val="219168A1"/>
    <w:rsid w:val="21B038D2"/>
    <w:rsid w:val="21D70408"/>
    <w:rsid w:val="2217457B"/>
    <w:rsid w:val="221E7789"/>
    <w:rsid w:val="223076A3"/>
    <w:rsid w:val="227F2CA6"/>
    <w:rsid w:val="228700B2"/>
    <w:rsid w:val="228B3B2E"/>
    <w:rsid w:val="22E84C54"/>
    <w:rsid w:val="22ED23E8"/>
    <w:rsid w:val="234D453C"/>
    <w:rsid w:val="235E2230"/>
    <w:rsid w:val="2370600B"/>
    <w:rsid w:val="237B1C44"/>
    <w:rsid w:val="23CA7445"/>
    <w:rsid w:val="23CC2948"/>
    <w:rsid w:val="240671CC"/>
    <w:rsid w:val="241B0EB4"/>
    <w:rsid w:val="24513BF6"/>
    <w:rsid w:val="24683E4B"/>
    <w:rsid w:val="246C2851"/>
    <w:rsid w:val="24735F6B"/>
    <w:rsid w:val="24775DB4"/>
    <w:rsid w:val="24841763"/>
    <w:rsid w:val="2488042D"/>
    <w:rsid w:val="24896A55"/>
    <w:rsid w:val="248A4000"/>
    <w:rsid w:val="24B86D4A"/>
    <w:rsid w:val="24C36C6D"/>
    <w:rsid w:val="24D50BFC"/>
    <w:rsid w:val="24FD0ABB"/>
    <w:rsid w:val="250E205A"/>
    <w:rsid w:val="2533171D"/>
    <w:rsid w:val="254E0ABD"/>
    <w:rsid w:val="25641764"/>
    <w:rsid w:val="257C268E"/>
    <w:rsid w:val="258A21E5"/>
    <w:rsid w:val="25A10883"/>
    <w:rsid w:val="25A66580"/>
    <w:rsid w:val="25BB2173"/>
    <w:rsid w:val="25C34EA0"/>
    <w:rsid w:val="25D729E7"/>
    <w:rsid w:val="260E417C"/>
    <w:rsid w:val="260F5480"/>
    <w:rsid w:val="26207919"/>
    <w:rsid w:val="26382DB8"/>
    <w:rsid w:val="265C4D5F"/>
    <w:rsid w:val="26644B8A"/>
    <w:rsid w:val="268A1547"/>
    <w:rsid w:val="268B3CAF"/>
    <w:rsid w:val="269C5985"/>
    <w:rsid w:val="26A73075"/>
    <w:rsid w:val="26B2270B"/>
    <w:rsid w:val="26BA4369"/>
    <w:rsid w:val="26E94DE4"/>
    <w:rsid w:val="26F853FE"/>
    <w:rsid w:val="27097897"/>
    <w:rsid w:val="270B1F80"/>
    <w:rsid w:val="274B1605"/>
    <w:rsid w:val="274D4B08"/>
    <w:rsid w:val="27570C9B"/>
    <w:rsid w:val="27596454"/>
    <w:rsid w:val="27706A48"/>
    <w:rsid w:val="277D7855"/>
    <w:rsid w:val="27816C71"/>
    <w:rsid w:val="278B3C06"/>
    <w:rsid w:val="27990C94"/>
    <w:rsid w:val="27BE60C1"/>
    <w:rsid w:val="27C61EE6"/>
    <w:rsid w:val="27E33F9B"/>
    <w:rsid w:val="27F23097"/>
    <w:rsid w:val="2805016B"/>
    <w:rsid w:val="2844761E"/>
    <w:rsid w:val="286036CB"/>
    <w:rsid w:val="28A2792A"/>
    <w:rsid w:val="28AA4C8A"/>
    <w:rsid w:val="28D6498F"/>
    <w:rsid w:val="28DF529E"/>
    <w:rsid w:val="29026777"/>
    <w:rsid w:val="294A494E"/>
    <w:rsid w:val="29560760"/>
    <w:rsid w:val="2960326E"/>
    <w:rsid w:val="2975343F"/>
    <w:rsid w:val="297731BB"/>
    <w:rsid w:val="29922597"/>
    <w:rsid w:val="29BC0105"/>
    <w:rsid w:val="29C71D19"/>
    <w:rsid w:val="2A144016"/>
    <w:rsid w:val="2A24682F"/>
    <w:rsid w:val="2A270F8C"/>
    <w:rsid w:val="2A2C74BF"/>
    <w:rsid w:val="2A53737E"/>
    <w:rsid w:val="2A573A81"/>
    <w:rsid w:val="2A704730"/>
    <w:rsid w:val="2AC70C94"/>
    <w:rsid w:val="2AE354DA"/>
    <w:rsid w:val="2B1E47FB"/>
    <w:rsid w:val="2B2A3B5F"/>
    <w:rsid w:val="2B7A5997"/>
    <w:rsid w:val="2B7B1F28"/>
    <w:rsid w:val="2BC2085A"/>
    <w:rsid w:val="2C0547C6"/>
    <w:rsid w:val="2C0D5456"/>
    <w:rsid w:val="2C380499"/>
    <w:rsid w:val="2C3C2722"/>
    <w:rsid w:val="2C401128"/>
    <w:rsid w:val="2C7A1F15"/>
    <w:rsid w:val="2C8A2F49"/>
    <w:rsid w:val="2C9F3BCE"/>
    <w:rsid w:val="2CA64350"/>
    <w:rsid w:val="2CDB65A6"/>
    <w:rsid w:val="2CF9108B"/>
    <w:rsid w:val="2D4D51B1"/>
    <w:rsid w:val="2D4D79AC"/>
    <w:rsid w:val="2D593F87"/>
    <w:rsid w:val="2D932CD3"/>
    <w:rsid w:val="2DB7418D"/>
    <w:rsid w:val="2DD00879"/>
    <w:rsid w:val="2DD5373D"/>
    <w:rsid w:val="2DF80479"/>
    <w:rsid w:val="2E0B52AE"/>
    <w:rsid w:val="2E0E041F"/>
    <w:rsid w:val="2E183EA3"/>
    <w:rsid w:val="2E747DC3"/>
    <w:rsid w:val="2E8E096D"/>
    <w:rsid w:val="2E9C0F87"/>
    <w:rsid w:val="2EA61F97"/>
    <w:rsid w:val="2EB7077F"/>
    <w:rsid w:val="2EB8044F"/>
    <w:rsid w:val="2EC16B9C"/>
    <w:rsid w:val="2EC83E9D"/>
    <w:rsid w:val="2EDF426C"/>
    <w:rsid w:val="2EEC4E92"/>
    <w:rsid w:val="2F1A1856"/>
    <w:rsid w:val="2F1C0982"/>
    <w:rsid w:val="2F4A67B3"/>
    <w:rsid w:val="2F5B00C1"/>
    <w:rsid w:val="2F747966"/>
    <w:rsid w:val="2F882242"/>
    <w:rsid w:val="2FA801C0"/>
    <w:rsid w:val="2FAD26B1"/>
    <w:rsid w:val="2FB32CCE"/>
    <w:rsid w:val="2FCB6344"/>
    <w:rsid w:val="2FEC0BD0"/>
    <w:rsid w:val="2FEC1523"/>
    <w:rsid w:val="3011145B"/>
    <w:rsid w:val="30347DA4"/>
    <w:rsid w:val="30524DF2"/>
    <w:rsid w:val="30665FF5"/>
    <w:rsid w:val="306B7868"/>
    <w:rsid w:val="308E71B9"/>
    <w:rsid w:val="3099089E"/>
    <w:rsid w:val="30B26EBD"/>
    <w:rsid w:val="31432160"/>
    <w:rsid w:val="31490DA5"/>
    <w:rsid w:val="31570E00"/>
    <w:rsid w:val="315F5D75"/>
    <w:rsid w:val="31A237FE"/>
    <w:rsid w:val="31C24433"/>
    <w:rsid w:val="31CA113F"/>
    <w:rsid w:val="31E91E87"/>
    <w:rsid w:val="320E10B5"/>
    <w:rsid w:val="3243059C"/>
    <w:rsid w:val="32697D44"/>
    <w:rsid w:val="326D0948"/>
    <w:rsid w:val="328A5CFA"/>
    <w:rsid w:val="329A2711"/>
    <w:rsid w:val="32B02D6E"/>
    <w:rsid w:val="32C835E0"/>
    <w:rsid w:val="32D23EF0"/>
    <w:rsid w:val="32DF7982"/>
    <w:rsid w:val="331537CD"/>
    <w:rsid w:val="331602B6"/>
    <w:rsid w:val="331E4E70"/>
    <w:rsid w:val="33285651"/>
    <w:rsid w:val="332F4289"/>
    <w:rsid w:val="33334E8E"/>
    <w:rsid w:val="33493273"/>
    <w:rsid w:val="336E17F0"/>
    <w:rsid w:val="33C133A6"/>
    <w:rsid w:val="33CC276C"/>
    <w:rsid w:val="33E2230D"/>
    <w:rsid w:val="33FB26D9"/>
    <w:rsid w:val="3424001A"/>
    <w:rsid w:val="34291F23"/>
    <w:rsid w:val="34413D46"/>
    <w:rsid w:val="344A45A5"/>
    <w:rsid w:val="345C5BF5"/>
    <w:rsid w:val="34692D0C"/>
    <w:rsid w:val="348103B3"/>
    <w:rsid w:val="350D2195"/>
    <w:rsid w:val="356F47B8"/>
    <w:rsid w:val="357C3ACE"/>
    <w:rsid w:val="35915FF2"/>
    <w:rsid w:val="35962F2D"/>
    <w:rsid w:val="359F2D89"/>
    <w:rsid w:val="35B629AE"/>
    <w:rsid w:val="35B71496"/>
    <w:rsid w:val="35B73EBF"/>
    <w:rsid w:val="35B8262E"/>
    <w:rsid w:val="35CC12CF"/>
    <w:rsid w:val="35D319E6"/>
    <w:rsid w:val="35D72EE3"/>
    <w:rsid w:val="35DC43BF"/>
    <w:rsid w:val="35E768F5"/>
    <w:rsid w:val="35F559C7"/>
    <w:rsid w:val="36075C31"/>
    <w:rsid w:val="36242FE2"/>
    <w:rsid w:val="362D458B"/>
    <w:rsid w:val="36354715"/>
    <w:rsid w:val="36414A73"/>
    <w:rsid w:val="364A0F5C"/>
    <w:rsid w:val="36510879"/>
    <w:rsid w:val="36BF2266"/>
    <w:rsid w:val="36DA3A0A"/>
    <w:rsid w:val="36E16C19"/>
    <w:rsid w:val="37036DCD"/>
    <w:rsid w:val="372F46A7"/>
    <w:rsid w:val="37380F75"/>
    <w:rsid w:val="37382DC9"/>
    <w:rsid w:val="37726C9D"/>
    <w:rsid w:val="379A1E22"/>
    <w:rsid w:val="37BD6848"/>
    <w:rsid w:val="37CC6816"/>
    <w:rsid w:val="37DE6907"/>
    <w:rsid w:val="37E810A7"/>
    <w:rsid w:val="380E1C87"/>
    <w:rsid w:val="38A9437C"/>
    <w:rsid w:val="38C2712E"/>
    <w:rsid w:val="38CA1FBC"/>
    <w:rsid w:val="38CD2F41"/>
    <w:rsid w:val="38D16127"/>
    <w:rsid w:val="393C0FF6"/>
    <w:rsid w:val="39515718"/>
    <w:rsid w:val="39706EC7"/>
    <w:rsid w:val="39741150"/>
    <w:rsid w:val="39787B56"/>
    <w:rsid w:val="398E1CFA"/>
    <w:rsid w:val="39916502"/>
    <w:rsid w:val="39923F83"/>
    <w:rsid w:val="399A358E"/>
    <w:rsid w:val="39B62EBE"/>
    <w:rsid w:val="3A16675B"/>
    <w:rsid w:val="3A2A75FA"/>
    <w:rsid w:val="3A3544AC"/>
    <w:rsid w:val="3A3F5379"/>
    <w:rsid w:val="3A436689"/>
    <w:rsid w:val="3A675260"/>
    <w:rsid w:val="3A8646CD"/>
    <w:rsid w:val="3AAC45FF"/>
    <w:rsid w:val="3AC37B79"/>
    <w:rsid w:val="3AE070A1"/>
    <w:rsid w:val="3B1C5C89"/>
    <w:rsid w:val="3B1E2869"/>
    <w:rsid w:val="3B236D85"/>
    <w:rsid w:val="3B4F775C"/>
    <w:rsid w:val="3B617677"/>
    <w:rsid w:val="3B757B5E"/>
    <w:rsid w:val="3B883620"/>
    <w:rsid w:val="3B997439"/>
    <w:rsid w:val="3BA65BED"/>
    <w:rsid w:val="3BDB4DC2"/>
    <w:rsid w:val="3C090267"/>
    <w:rsid w:val="3C09240E"/>
    <w:rsid w:val="3C146221"/>
    <w:rsid w:val="3C1D10AF"/>
    <w:rsid w:val="3C5C6615"/>
    <w:rsid w:val="3CBA2232"/>
    <w:rsid w:val="3CC365B8"/>
    <w:rsid w:val="3CD51844"/>
    <w:rsid w:val="3CE979FE"/>
    <w:rsid w:val="3D08452F"/>
    <w:rsid w:val="3D3675FD"/>
    <w:rsid w:val="3D5001A7"/>
    <w:rsid w:val="3D55441E"/>
    <w:rsid w:val="3D6B2F4F"/>
    <w:rsid w:val="3D713555"/>
    <w:rsid w:val="3D741DEE"/>
    <w:rsid w:val="3D85737C"/>
    <w:rsid w:val="3D8B05D6"/>
    <w:rsid w:val="3D9C3FFF"/>
    <w:rsid w:val="3DA92F31"/>
    <w:rsid w:val="3DB3244A"/>
    <w:rsid w:val="3DB868D1"/>
    <w:rsid w:val="3DDE328E"/>
    <w:rsid w:val="3E0B0DB0"/>
    <w:rsid w:val="3E0C635B"/>
    <w:rsid w:val="3E116F60"/>
    <w:rsid w:val="3E572F58"/>
    <w:rsid w:val="3E573937"/>
    <w:rsid w:val="3E636D6A"/>
    <w:rsid w:val="3E872DEF"/>
    <w:rsid w:val="3E962A3C"/>
    <w:rsid w:val="3E9704BE"/>
    <w:rsid w:val="3F043070"/>
    <w:rsid w:val="3F1D2CEE"/>
    <w:rsid w:val="3F2413A7"/>
    <w:rsid w:val="3F4D6968"/>
    <w:rsid w:val="3F8B424E"/>
    <w:rsid w:val="3F934EDE"/>
    <w:rsid w:val="3FA97081"/>
    <w:rsid w:val="3FC812ED"/>
    <w:rsid w:val="3FCE6ABE"/>
    <w:rsid w:val="400D5F11"/>
    <w:rsid w:val="40130E98"/>
    <w:rsid w:val="401776B5"/>
    <w:rsid w:val="403501D5"/>
    <w:rsid w:val="40516596"/>
    <w:rsid w:val="407E4ADB"/>
    <w:rsid w:val="408E7C60"/>
    <w:rsid w:val="40B04E56"/>
    <w:rsid w:val="40C60753"/>
    <w:rsid w:val="40C761D4"/>
    <w:rsid w:val="40D15800"/>
    <w:rsid w:val="40D24565"/>
    <w:rsid w:val="40D74270"/>
    <w:rsid w:val="40D7478B"/>
    <w:rsid w:val="410113A2"/>
    <w:rsid w:val="415D4149"/>
    <w:rsid w:val="416F143B"/>
    <w:rsid w:val="41785171"/>
    <w:rsid w:val="41880811"/>
    <w:rsid w:val="41B44DE2"/>
    <w:rsid w:val="41C60C56"/>
    <w:rsid w:val="41D24675"/>
    <w:rsid w:val="41E9727E"/>
    <w:rsid w:val="41F50509"/>
    <w:rsid w:val="420226D9"/>
    <w:rsid w:val="42190100"/>
    <w:rsid w:val="42375131"/>
    <w:rsid w:val="42610172"/>
    <w:rsid w:val="426339F7"/>
    <w:rsid w:val="42705E47"/>
    <w:rsid w:val="42733C91"/>
    <w:rsid w:val="427C45A1"/>
    <w:rsid w:val="428C76CE"/>
    <w:rsid w:val="42916AC5"/>
    <w:rsid w:val="42A3645B"/>
    <w:rsid w:val="42CE0B28"/>
    <w:rsid w:val="43046EDF"/>
    <w:rsid w:val="432106B2"/>
    <w:rsid w:val="43603542"/>
    <w:rsid w:val="436807A8"/>
    <w:rsid w:val="43790FC1"/>
    <w:rsid w:val="439901E8"/>
    <w:rsid w:val="43A14703"/>
    <w:rsid w:val="43CD51C7"/>
    <w:rsid w:val="43EC12FF"/>
    <w:rsid w:val="43F11B33"/>
    <w:rsid w:val="43F17986"/>
    <w:rsid w:val="43FF4262"/>
    <w:rsid w:val="44062B2A"/>
    <w:rsid w:val="444678CE"/>
    <w:rsid w:val="444744C8"/>
    <w:rsid w:val="44495B09"/>
    <w:rsid w:val="44565A46"/>
    <w:rsid w:val="445C041A"/>
    <w:rsid w:val="44604594"/>
    <w:rsid w:val="447E086E"/>
    <w:rsid w:val="448E5285"/>
    <w:rsid w:val="44B454C5"/>
    <w:rsid w:val="44C125DD"/>
    <w:rsid w:val="44CA2EEC"/>
    <w:rsid w:val="44D35D7A"/>
    <w:rsid w:val="44DC2E06"/>
    <w:rsid w:val="44DD6689"/>
    <w:rsid w:val="44E7774D"/>
    <w:rsid w:val="44E85BF4"/>
    <w:rsid w:val="44EF1E27"/>
    <w:rsid w:val="45127C50"/>
    <w:rsid w:val="454416D4"/>
    <w:rsid w:val="454C21C0"/>
    <w:rsid w:val="45595C53"/>
    <w:rsid w:val="455E7EDC"/>
    <w:rsid w:val="45830A1B"/>
    <w:rsid w:val="458D51A8"/>
    <w:rsid w:val="459B4244"/>
    <w:rsid w:val="45A33E4B"/>
    <w:rsid w:val="45A94422"/>
    <w:rsid w:val="45B253E8"/>
    <w:rsid w:val="45CC5F92"/>
    <w:rsid w:val="46236563"/>
    <w:rsid w:val="465C2D4B"/>
    <w:rsid w:val="465C457C"/>
    <w:rsid w:val="467609A9"/>
    <w:rsid w:val="469F3F0A"/>
    <w:rsid w:val="46C23027"/>
    <w:rsid w:val="46E67A01"/>
    <w:rsid w:val="47257848"/>
    <w:rsid w:val="47262D4B"/>
    <w:rsid w:val="47670737"/>
    <w:rsid w:val="477F6C5D"/>
    <w:rsid w:val="47D927EF"/>
    <w:rsid w:val="47F00216"/>
    <w:rsid w:val="47F236FB"/>
    <w:rsid w:val="480F5247"/>
    <w:rsid w:val="4839608B"/>
    <w:rsid w:val="483A3F41"/>
    <w:rsid w:val="485D1370"/>
    <w:rsid w:val="48622CF7"/>
    <w:rsid w:val="48754878"/>
    <w:rsid w:val="488678AB"/>
    <w:rsid w:val="48B06FCF"/>
    <w:rsid w:val="48C37CC6"/>
    <w:rsid w:val="48D70326"/>
    <w:rsid w:val="48FF25D1"/>
    <w:rsid w:val="49281A93"/>
    <w:rsid w:val="492F313E"/>
    <w:rsid w:val="495010D7"/>
    <w:rsid w:val="49505853"/>
    <w:rsid w:val="4955555E"/>
    <w:rsid w:val="49611371"/>
    <w:rsid w:val="49A21DDA"/>
    <w:rsid w:val="49E453DD"/>
    <w:rsid w:val="49EE4458"/>
    <w:rsid w:val="4A136C16"/>
    <w:rsid w:val="4A521971"/>
    <w:rsid w:val="4A880DD3"/>
    <w:rsid w:val="4A9C4E28"/>
    <w:rsid w:val="4AFF7B18"/>
    <w:rsid w:val="4B254325"/>
    <w:rsid w:val="4B275459"/>
    <w:rsid w:val="4B2941E0"/>
    <w:rsid w:val="4B7D2F03"/>
    <w:rsid w:val="4BA74AAE"/>
    <w:rsid w:val="4BE90D9B"/>
    <w:rsid w:val="4BEF2CA4"/>
    <w:rsid w:val="4BFF2F3E"/>
    <w:rsid w:val="4C0F5757"/>
    <w:rsid w:val="4C1208DA"/>
    <w:rsid w:val="4C261BDE"/>
    <w:rsid w:val="4C334692"/>
    <w:rsid w:val="4C415DA1"/>
    <w:rsid w:val="4C660668"/>
    <w:rsid w:val="4C816990"/>
    <w:rsid w:val="4CB613E8"/>
    <w:rsid w:val="4CB76E6A"/>
    <w:rsid w:val="4CCC6E0F"/>
    <w:rsid w:val="4CE51F37"/>
    <w:rsid w:val="4CEA63BF"/>
    <w:rsid w:val="4D1B40EF"/>
    <w:rsid w:val="4D2079EB"/>
    <w:rsid w:val="4D2B4C2A"/>
    <w:rsid w:val="4D570F71"/>
    <w:rsid w:val="4D9A4EDE"/>
    <w:rsid w:val="4DA05023"/>
    <w:rsid w:val="4DA14869"/>
    <w:rsid w:val="4DEE01EB"/>
    <w:rsid w:val="4DF036EE"/>
    <w:rsid w:val="4DF30DF0"/>
    <w:rsid w:val="4DF6271E"/>
    <w:rsid w:val="4DFC16FF"/>
    <w:rsid w:val="4E03108A"/>
    <w:rsid w:val="4E05458D"/>
    <w:rsid w:val="4E2373C0"/>
    <w:rsid w:val="4E2822B5"/>
    <w:rsid w:val="4E305CD2"/>
    <w:rsid w:val="4E5A1A99"/>
    <w:rsid w:val="4E640249"/>
    <w:rsid w:val="4E723844"/>
    <w:rsid w:val="4E7D0D54"/>
    <w:rsid w:val="4E835C30"/>
    <w:rsid w:val="4E85035F"/>
    <w:rsid w:val="4E9E77F7"/>
    <w:rsid w:val="4EB95335"/>
    <w:rsid w:val="4ED33CE1"/>
    <w:rsid w:val="4F01352B"/>
    <w:rsid w:val="4F13254C"/>
    <w:rsid w:val="4F26376B"/>
    <w:rsid w:val="4F423F95"/>
    <w:rsid w:val="4F4C1158"/>
    <w:rsid w:val="4F511846"/>
    <w:rsid w:val="4F6279AB"/>
    <w:rsid w:val="4F9D6C2D"/>
    <w:rsid w:val="4FA74FBE"/>
    <w:rsid w:val="4FB27ACC"/>
    <w:rsid w:val="4FBF6DE2"/>
    <w:rsid w:val="501555F2"/>
    <w:rsid w:val="502D7993"/>
    <w:rsid w:val="504273BB"/>
    <w:rsid w:val="505605DA"/>
    <w:rsid w:val="506A727A"/>
    <w:rsid w:val="50941CF8"/>
    <w:rsid w:val="509636E2"/>
    <w:rsid w:val="50B13272"/>
    <w:rsid w:val="50B6710F"/>
    <w:rsid w:val="50BC2F96"/>
    <w:rsid w:val="50DE7239"/>
    <w:rsid w:val="50F019F4"/>
    <w:rsid w:val="51435EF0"/>
    <w:rsid w:val="514E1F83"/>
    <w:rsid w:val="51506273"/>
    <w:rsid w:val="51A227FA"/>
    <w:rsid w:val="51A57002"/>
    <w:rsid w:val="51A64A84"/>
    <w:rsid w:val="51F65583"/>
    <w:rsid w:val="520A0F25"/>
    <w:rsid w:val="521274CB"/>
    <w:rsid w:val="52611333"/>
    <w:rsid w:val="528278EA"/>
    <w:rsid w:val="52B5070D"/>
    <w:rsid w:val="52D62BF7"/>
    <w:rsid w:val="52E03A67"/>
    <w:rsid w:val="52FC46EA"/>
    <w:rsid w:val="534D042C"/>
    <w:rsid w:val="5350703E"/>
    <w:rsid w:val="537F430A"/>
    <w:rsid w:val="53882620"/>
    <w:rsid w:val="538B07B0"/>
    <w:rsid w:val="538C361F"/>
    <w:rsid w:val="538D10A1"/>
    <w:rsid w:val="53A46AC8"/>
    <w:rsid w:val="53A54549"/>
    <w:rsid w:val="53C25E9B"/>
    <w:rsid w:val="53CF0B3E"/>
    <w:rsid w:val="53DC6880"/>
    <w:rsid w:val="53E378B1"/>
    <w:rsid w:val="53F47B4C"/>
    <w:rsid w:val="5403314B"/>
    <w:rsid w:val="54471188"/>
    <w:rsid w:val="544A4CD7"/>
    <w:rsid w:val="545309AA"/>
    <w:rsid w:val="54BF0519"/>
    <w:rsid w:val="54E603D9"/>
    <w:rsid w:val="552114B7"/>
    <w:rsid w:val="552827AD"/>
    <w:rsid w:val="552B1450"/>
    <w:rsid w:val="55584783"/>
    <w:rsid w:val="556D3B35"/>
    <w:rsid w:val="55735A3E"/>
    <w:rsid w:val="55835CD9"/>
    <w:rsid w:val="558561A8"/>
    <w:rsid w:val="558E2FA7"/>
    <w:rsid w:val="55B464A8"/>
    <w:rsid w:val="55B7742C"/>
    <w:rsid w:val="55BD2802"/>
    <w:rsid w:val="55D80B5E"/>
    <w:rsid w:val="55E028DC"/>
    <w:rsid w:val="55F969E7"/>
    <w:rsid w:val="56024028"/>
    <w:rsid w:val="5616190A"/>
    <w:rsid w:val="567120DE"/>
    <w:rsid w:val="567B0F28"/>
    <w:rsid w:val="56856B80"/>
    <w:rsid w:val="56941399"/>
    <w:rsid w:val="569F71AC"/>
    <w:rsid w:val="56BA15D9"/>
    <w:rsid w:val="56EF3AF5"/>
    <w:rsid w:val="56F83407"/>
    <w:rsid w:val="571A4227"/>
    <w:rsid w:val="571E54DC"/>
    <w:rsid w:val="572210F5"/>
    <w:rsid w:val="572A730E"/>
    <w:rsid w:val="572C4E22"/>
    <w:rsid w:val="574B7843"/>
    <w:rsid w:val="576146B9"/>
    <w:rsid w:val="57677173"/>
    <w:rsid w:val="57722F85"/>
    <w:rsid w:val="57730A07"/>
    <w:rsid w:val="577865C9"/>
    <w:rsid w:val="578F7CCE"/>
    <w:rsid w:val="579C1BCB"/>
    <w:rsid w:val="57B74973"/>
    <w:rsid w:val="57E1103B"/>
    <w:rsid w:val="57E22340"/>
    <w:rsid w:val="57E23AB5"/>
    <w:rsid w:val="57F020A7"/>
    <w:rsid w:val="580637F9"/>
    <w:rsid w:val="58467715"/>
    <w:rsid w:val="586D0C1F"/>
    <w:rsid w:val="587B1239"/>
    <w:rsid w:val="58886F75"/>
    <w:rsid w:val="589A16F0"/>
    <w:rsid w:val="58B21713"/>
    <w:rsid w:val="58B65B9B"/>
    <w:rsid w:val="58D202D1"/>
    <w:rsid w:val="58D4514B"/>
    <w:rsid w:val="592119C7"/>
    <w:rsid w:val="593309E8"/>
    <w:rsid w:val="599808C6"/>
    <w:rsid w:val="59B07FB1"/>
    <w:rsid w:val="59E91410"/>
    <w:rsid w:val="59F60DAD"/>
    <w:rsid w:val="59FB712C"/>
    <w:rsid w:val="59FD262F"/>
    <w:rsid w:val="5A050D40"/>
    <w:rsid w:val="5A09064B"/>
    <w:rsid w:val="5A364636"/>
    <w:rsid w:val="5A5468C1"/>
    <w:rsid w:val="5A770B6E"/>
    <w:rsid w:val="5A8A0BF0"/>
    <w:rsid w:val="5A9102A6"/>
    <w:rsid w:val="5AB246DC"/>
    <w:rsid w:val="5AB3215E"/>
    <w:rsid w:val="5AB61CF5"/>
    <w:rsid w:val="5AD05E8B"/>
    <w:rsid w:val="5AD42692"/>
    <w:rsid w:val="5B15697F"/>
    <w:rsid w:val="5B195385"/>
    <w:rsid w:val="5B224AB4"/>
    <w:rsid w:val="5B2F7529"/>
    <w:rsid w:val="5B814DBA"/>
    <w:rsid w:val="5B8931D8"/>
    <w:rsid w:val="5BBA168B"/>
    <w:rsid w:val="5BBD01B3"/>
    <w:rsid w:val="5C13779B"/>
    <w:rsid w:val="5CC611FF"/>
    <w:rsid w:val="5CCF11D3"/>
    <w:rsid w:val="5D4A309B"/>
    <w:rsid w:val="5D514C25"/>
    <w:rsid w:val="5D7F7CF2"/>
    <w:rsid w:val="5D851C35"/>
    <w:rsid w:val="5DB37248"/>
    <w:rsid w:val="5DC72F8C"/>
    <w:rsid w:val="5DDA7107"/>
    <w:rsid w:val="5EB80CF4"/>
    <w:rsid w:val="5F187E14"/>
    <w:rsid w:val="5F255EFF"/>
    <w:rsid w:val="5F452DBD"/>
    <w:rsid w:val="5F5159EF"/>
    <w:rsid w:val="5FBE2597"/>
    <w:rsid w:val="5FD4774C"/>
    <w:rsid w:val="5FDA5B33"/>
    <w:rsid w:val="5FDC7E75"/>
    <w:rsid w:val="5FF120B4"/>
    <w:rsid w:val="603A596D"/>
    <w:rsid w:val="605F2329"/>
    <w:rsid w:val="606345B3"/>
    <w:rsid w:val="60680A3A"/>
    <w:rsid w:val="607B393B"/>
    <w:rsid w:val="609B470C"/>
    <w:rsid w:val="60AC4695"/>
    <w:rsid w:val="60BA2331"/>
    <w:rsid w:val="60D45B6B"/>
    <w:rsid w:val="60EB32AF"/>
    <w:rsid w:val="61171AD8"/>
    <w:rsid w:val="612620F2"/>
    <w:rsid w:val="6142291C"/>
    <w:rsid w:val="614E316C"/>
    <w:rsid w:val="61B73BDF"/>
    <w:rsid w:val="61EE1B3B"/>
    <w:rsid w:val="61FE0917"/>
    <w:rsid w:val="620F67EC"/>
    <w:rsid w:val="623E513D"/>
    <w:rsid w:val="62563CE5"/>
    <w:rsid w:val="62E47AC9"/>
    <w:rsid w:val="6350047D"/>
    <w:rsid w:val="63EA17AF"/>
    <w:rsid w:val="6412053C"/>
    <w:rsid w:val="643519F5"/>
    <w:rsid w:val="64430D0B"/>
    <w:rsid w:val="64465512"/>
    <w:rsid w:val="64523523"/>
    <w:rsid w:val="648065F1"/>
    <w:rsid w:val="64971BDD"/>
    <w:rsid w:val="64CA7CEA"/>
    <w:rsid w:val="65046BCA"/>
    <w:rsid w:val="650A2CD2"/>
    <w:rsid w:val="651435E1"/>
    <w:rsid w:val="654153AA"/>
    <w:rsid w:val="654D4A40"/>
    <w:rsid w:val="6566621E"/>
    <w:rsid w:val="657E2C91"/>
    <w:rsid w:val="65821697"/>
    <w:rsid w:val="659A6D3E"/>
    <w:rsid w:val="65C61544"/>
    <w:rsid w:val="65CD4095"/>
    <w:rsid w:val="65CE6293"/>
    <w:rsid w:val="65F740ED"/>
    <w:rsid w:val="66077C6A"/>
    <w:rsid w:val="661E7317"/>
    <w:rsid w:val="663D1DCA"/>
    <w:rsid w:val="66495BDD"/>
    <w:rsid w:val="669E696B"/>
    <w:rsid w:val="66BA4C17"/>
    <w:rsid w:val="66C60005"/>
    <w:rsid w:val="66D435C2"/>
    <w:rsid w:val="66DB09CF"/>
    <w:rsid w:val="66ED66EB"/>
    <w:rsid w:val="67763396"/>
    <w:rsid w:val="6779274B"/>
    <w:rsid w:val="6789682B"/>
    <w:rsid w:val="678A1A6C"/>
    <w:rsid w:val="679F070D"/>
    <w:rsid w:val="67A9335C"/>
    <w:rsid w:val="67D44D17"/>
    <w:rsid w:val="680A7DBC"/>
    <w:rsid w:val="680B32BF"/>
    <w:rsid w:val="680C4CB4"/>
    <w:rsid w:val="680E2045"/>
    <w:rsid w:val="68172D95"/>
    <w:rsid w:val="68374408"/>
    <w:rsid w:val="683F2814"/>
    <w:rsid w:val="68400296"/>
    <w:rsid w:val="68976726"/>
    <w:rsid w:val="68A015B4"/>
    <w:rsid w:val="68CF2103"/>
    <w:rsid w:val="69156EBB"/>
    <w:rsid w:val="696D3947"/>
    <w:rsid w:val="69760313"/>
    <w:rsid w:val="698A6FB3"/>
    <w:rsid w:val="69DD483F"/>
    <w:rsid w:val="69F47683"/>
    <w:rsid w:val="69F942E4"/>
    <w:rsid w:val="6A0568FD"/>
    <w:rsid w:val="6A2B6B3C"/>
    <w:rsid w:val="6A310A46"/>
    <w:rsid w:val="6A5F0290"/>
    <w:rsid w:val="6A865F51"/>
    <w:rsid w:val="6AA40D85"/>
    <w:rsid w:val="6B7845E0"/>
    <w:rsid w:val="6B9B5A9A"/>
    <w:rsid w:val="6B9F60AC"/>
    <w:rsid w:val="6BA350A4"/>
    <w:rsid w:val="6BF948CC"/>
    <w:rsid w:val="6BFA38B5"/>
    <w:rsid w:val="6C0618C6"/>
    <w:rsid w:val="6C0A3B4F"/>
    <w:rsid w:val="6C254067"/>
    <w:rsid w:val="6C3426E1"/>
    <w:rsid w:val="6C4526AF"/>
    <w:rsid w:val="6C5703CB"/>
    <w:rsid w:val="6C5E57D7"/>
    <w:rsid w:val="6C774F51"/>
    <w:rsid w:val="6C7A1884"/>
    <w:rsid w:val="6CE846A3"/>
    <w:rsid w:val="6D0A6F75"/>
    <w:rsid w:val="6D2E4BAB"/>
    <w:rsid w:val="6D4A44DB"/>
    <w:rsid w:val="6D534D54"/>
    <w:rsid w:val="6D63623C"/>
    <w:rsid w:val="6D812437"/>
    <w:rsid w:val="6D853006"/>
    <w:rsid w:val="6DEB7F47"/>
    <w:rsid w:val="6E087CA3"/>
    <w:rsid w:val="6E123F24"/>
    <w:rsid w:val="6E391BE5"/>
    <w:rsid w:val="6E3B72E7"/>
    <w:rsid w:val="6E5C02CB"/>
    <w:rsid w:val="6E680DA5"/>
    <w:rsid w:val="6E804558"/>
    <w:rsid w:val="6EA0288E"/>
    <w:rsid w:val="6EE509F4"/>
    <w:rsid w:val="6EFC51A7"/>
    <w:rsid w:val="6F023405"/>
    <w:rsid w:val="6F0B13DB"/>
    <w:rsid w:val="6F123AC7"/>
    <w:rsid w:val="6F25039A"/>
    <w:rsid w:val="6F6822D7"/>
    <w:rsid w:val="6FA841C0"/>
    <w:rsid w:val="6FA8783E"/>
    <w:rsid w:val="6FBC2EB1"/>
    <w:rsid w:val="703277A2"/>
    <w:rsid w:val="70623166"/>
    <w:rsid w:val="70714D08"/>
    <w:rsid w:val="7073020B"/>
    <w:rsid w:val="709C35CE"/>
    <w:rsid w:val="70D127A3"/>
    <w:rsid w:val="70F86AD9"/>
    <w:rsid w:val="71032079"/>
    <w:rsid w:val="718F54DB"/>
    <w:rsid w:val="71936767"/>
    <w:rsid w:val="720F35F2"/>
    <w:rsid w:val="72100F31"/>
    <w:rsid w:val="72287D95"/>
    <w:rsid w:val="72304FDF"/>
    <w:rsid w:val="723356D2"/>
    <w:rsid w:val="72434C03"/>
    <w:rsid w:val="7247717D"/>
    <w:rsid w:val="728B348E"/>
    <w:rsid w:val="729926C8"/>
    <w:rsid w:val="72B077B6"/>
    <w:rsid w:val="72E650E9"/>
    <w:rsid w:val="72FE0BBA"/>
    <w:rsid w:val="73096F4B"/>
    <w:rsid w:val="73131A58"/>
    <w:rsid w:val="73142D5D"/>
    <w:rsid w:val="7317045F"/>
    <w:rsid w:val="732D5E85"/>
    <w:rsid w:val="733D42E3"/>
    <w:rsid w:val="737230F7"/>
    <w:rsid w:val="73854316"/>
    <w:rsid w:val="73997733"/>
    <w:rsid w:val="73A57DF9"/>
    <w:rsid w:val="73A744CA"/>
    <w:rsid w:val="73BF1040"/>
    <w:rsid w:val="73CC19D5"/>
    <w:rsid w:val="74126445"/>
    <w:rsid w:val="741A7D2C"/>
    <w:rsid w:val="742D382A"/>
    <w:rsid w:val="74364139"/>
    <w:rsid w:val="744077D3"/>
    <w:rsid w:val="74694588"/>
    <w:rsid w:val="746C550D"/>
    <w:rsid w:val="74956F50"/>
    <w:rsid w:val="74AF2AFE"/>
    <w:rsid w:val="74E146D2"/>
    <w:rsid w:val="74F86B15"/>
    <w:rsid w:val="756A3232"/>
    <w:rsid w:val="75745DF5"/>
    <w:rsid w:val="75876F5E"/>
    <w:rsid w:val="75895CE5"/>
    <w:rsid w:val="759901A2"/>
    <w:rsid w:val="759F2407"/>
    <w:rsid w:val="75D02BD6"/>
    <w:rsid w:val="75E15270"/>
    <w:rsid w:val="76116EC2"/>
    <w:rsid w:val="76325B80"/>
    <w:rsid w:val="76B72ED4"/>
    <w:rsid w:val="76C8536C"/>
    <w:rsid w:val="76F00D88"/>
    <w:rsid w:val="771928DB"/>
    <w:rsid w:val="771C067A"/>
    <w:rsid w:val="772032D2"/>
    <w:rsid w:val="772A6AEC"/>
    <w:rsid w:val="77693C0F"/>
    <w:rsid w:val="77695CCA"/>
    <w:rsid w:val="776C5E7A"/>
    <w:rsid w:val="779415BD"/>
    <w:rsid w:val="779C0BC8"/>
    <w:rsid w:val="779C4C9B"/>
    <w:rsid w:val="77C2468B"/>
    <w:rsid w:val="77CB1717"/>
    <w:rsid w:val="77CD049D"/>
    <w:rsid w:val="780B5507"/>
    <w:rsid w:val="7855167B"/>
    <w:rsid w:val="788F4999"/>
    <w:rsid w:val="78A53586"/>
    <w:rsid w:val="78A92755"/>
    <w:rsid w:val="78B8009B"/>
    <w:rsid w:val="78B9366E"/>
    <w:rsid w:val="78BC17CD"/>
    <w:rsid w:val="78C5192F"/>
    <w:rsid w:val="78C86137"/>
    <w:rsid w:val="78D366C6"/>
    <w:rsid w:val="790B20A3"/>
    <w:rsid w:val="79650BAD"/>
    <w:rsid w:val="796C47DC"/>
    <w:rsid w:val="79917D7E"/>
    <w:rsid w:val="79DF2C7C"/>
    <w:rsid w:val="79E47779"/>
    <w:rsid w:val="79F57AA2"/>
    <w:rsid w:val="7A194129"/>
    <w:rsid w:val="7A1F66E8"/>
    <w:rsid w:val="7A29287B"/>
    <w:rsid w:val="7A4C3D34"/>
    <w:rsid w:val="7A6300D6"/>
    <w:rsid w:val="7A7D4CC5"/>
    <w:rsid w:val="7AC04CBB"/>
    <w:rsid w:val="7AD57A5A"/>
    <w:rsid w:val="7AD9139A"/>
    <w:rsid w:val="7AE67D87"/>
    <w:rsid w:val="7B5B3EF1"/>
    <w:rsid w:val="7B6E2211"/>
    <w:rsid w:val="7B8472B4"/>
    <w:rsid w:val="7BC80470"/>
    <w:rsid w:val="7BE0484E"/>
    <w:rsid w:val="7C081A8C"/>
    <w:rsid w:val="7C0F40E4"/>
    <w:rsid w:val="7C153320"/>
    <w:rsid w:val="7C482875"/>
    <w:rsid w:val="7C4A7F77"/>
    <w:rsid w:val="7C5D3714"/>
    <w:rsid w:val="7C92278E"/>
    <w:rsid w:val="7C941670"/>
    <w:rsid w:val="7C970076"/>
    <w:rsid w:val="7CD32459"/>
    <w:rsid w:val="7CDE07EA"/>
    <w:rsid w:val="7CF22D0E"/>
    <w:rsid w:val="7D0C0035"/>
    <w:rsid w:val="7D4D3494"/>
    <w:rsid w:val="7D9E7791"/>
    <w:rsid w:val="7DA22244"/>
    <w:rsid w:val="7DBC28DE"/>
    <w:rsid w:val="7DC50AE8"/>
    <w:rsid w:val="7DCB716E"/>
    <w:rsid w:val="7DCE3976"/>
    <w:rsid w:val="7DF65A34"/>
    <w:rsid w:val="7DFB0564"/>
    <w:rsid w:val="7E0B59D9"/>
    <w:rsid w:val="7E23763C"/>
    <w:rsid w:val="7E4C3A0F"/>
    <w:rsid w:val="7E4C3A98"/>
    <w:rsid w:val="7E4C4244"/>
    <w:rsid w:val="7E7E25DA"/>
    <w:rsid w:val="7E926F37"/>
    <w:rsid w:val="7E9E07CB"/>
    <w:rsid w:val="7EA43B26"/>
    <w:rsid w:val="7EDD5D31"/>
    <w:rsid w:val="7EF97BE0"/>
    <w:rsid w:val="7F1A61C1"/>
    <w:rsid w:val="7F23352A"/>
    <w:rsid w:val="7F6C689A"/>
    <w:rsid w:val="7F7347EE"/>
    <w:rsid w:val="7F7D33DC"/>
    <w:rsid w:val="7F8242C1"/>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A0EA3"/>
  <w15:docId w15:val="{44C571AC-F271-467B-BCC2-264BA08C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A343F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Bullet list,清單段落1,列出段落,목록 단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A343F6"/>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189</cp:revision>
  <dcterms:created xsi:type="dcterms:W3CDTF">2022-04-25T02:55:00Z</dcterms:created>
  <dcterms:modified xsi:type="dcterms:W3CDTF">2024-11-08T09:45:00Z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