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E939" w14:textId="4AA1791A" w:rsidR="00D738D3" w:rsidRPr="008B6C01" w:rsidRDefault="00D738D3" w:rsidP="00D738D3">
      <w:pPr>
        <w:pStyle w:val="3GPPHeader"/>
        <w:spacing w:after="60"/>
        <w:rPr>
          <w:sz w:val="28"/>
          <w:szCs w:val="28"/>
        </w:rPr>
      </w:pPr>
      <w:bookmarkStart w:id="0" w:name="_Hlk181286768"/>
      <w:bookmarkEnd w:id="0"/>
      <w:r w:rsidRPr="008B6C01">
        <w:rPr>
          <w:szCs w:val="24"/>
        </w:rPr>
        <w:t>3GPP TSG-RAN WG4 #11</w:t>
      </w:r>
      <w:r w:rsidR="00E81B65">
        <w:rPr>
          <w:szCs w:val="24"/>
        </w:rPr>
        <w:t>3</w:t>
      </w:r>
      <w:r w:rsidRPr="00F82993">
        <w:tab/>
      </w:r>
      <w:bookmarkStart w:id="1" w:name="_GoBack"/>
      <w:r w:rsidR="002A7604" w:rsidRPr="002A7604">
        <w:rPr>
          <w:sz w:val="28"/>
          <w:szCs w:val="28"/>
        </w:rPr>
        <w:t>R4-2418679</w:t>
      </w:r>
      <w:bookmarkEnd w:id="1"/>
    </w:p>
    <w:p w14:paraId="5B5F3BA2" w14:textId="77777777" w:rsidR="004F0725" w:rsidRDefault="004F0725" w:rsidP="00D738D3">
      <w:pPr>
        <w:pStyle w:val="3GPPHeader"/>
      </w:pPr>
      <w:r w:rsidRPr="004F0725">
        <w:t>Orlando, Florida, USA, 18 – 22 November, 2024</w:t>
      </w:r>
    </w:p>
    <w:p w14:paraId="0A09A3B2" w14:textId="49FF1F43" w:rsidR="00D738D3" w:rsidRPr="00F82993" w:rsidRDefault="00D738D3" w:rsidP="00D738D3">
      <w:pPr>
        <w:pStyle w:val="3GPPHeader"/>
        <w:rPr>
          <w:sz w:val="22"/>
        </w:rPr>
      </w:pPr>
      <w:r w:rsidRPr="00F82993">
        <w:rPr>
          <w:sz w:val="22"/>
        </w:rPr>
        <w:t xml:space="preserve">Source: </w:t>
      </w:r>
      <w:r w:rsidRPr="00F82993">
        <w:rPr>
          <w:sz w:val="22"/>
        </w:rPr>
        <w:tab/>
      </w:r>
      <w:r w:rsidRPr="00F82993">
        <w:rPr>
          <w:b w:val="0"/>
          <w:sz w:val="22"/>
        </w:rPr>
        <w:t>Huawei</w:t>
      </w:r>
      <w:r w:rsidR="00A84702" w:rsidRPr="00F82993">
        <w:rPr>
          <w:b w:val="0"/>
          <w:sz w:val="22"/>
        </w:rPr>
        <w:t xml:space="preserve">, </w:t>
      </w:r>
      <w:proofErr w:type="spellStart"/>
      <w:r w:rsidR="00610248" w:rsidRPr="00F82993">
        <w:rPr>
          <w:b w:val="0"/>
          <w:sz w:val="22"/>
        </w:rPr>
        <w:t>Hi</w:t>
      </w:r>
      <w:r w:rsidR="00DD6C54">
        <w:rPr>
          <w:b w:val="0"/>
          <w:sz w:val="22"/>
        </w:rPr>
        <w:t>S</w:t>
      </w:r>
      <w:r w:rsidR="00610248" w:rsidRPr="00F82993">
        <w:rPr>
          <w:b w:val="0"/>
          <w:sz w:val="22"/>
        </w:rPr>
        <w:t>ilicon</w:t>
      </w:r>
      <w:proofErr w:type="spellEnd"/>
    </w:p>
    <w:p w14:paraId="2ED9AA19" w14:textId="612CB71C" w:rsidR="00D738D3" w:rsidRPr="00F82993" w:rsidRDefault="00D738D3" w:rsidP="00D738D3">
      <w:pPr>
        <w:pStyle w:val="3GPPHeader"/>
        <w:rPr>
          <w:sz w:val="22"/>
        </w:rPr>
      </w:pPr>
      <w:r w:rsidRPr="00F82993">
        <w:rPr>
          <w:sz w:val="22"/>
        </w:rPr>
        <w:t xml:space="preserve">Title:  </w:t>
      </w:r>
      <w:r w:rsidRPr="00F82993">
        <w:rPr>
          <w:sz w:val="22"/>
        </w:rPr>
        <w:tab/>
      </w:r>
      <w:r w:rsidRPr="00F82993">
        <w:rPr>
          <w:b w:val="0"/>
          <w:sz w:val="22"/>
        </w:rPr>
        <w:t xml:space="preserve">Discussions on RRM </w:t>
      </w:r>
      <w:r w:rsidR="00B35E65" w:rsidRPr="00F82993">
        <w:rPr>
          <w:b w:val="0"/>
          <w:sz w:val="22"/>
        </w:rPr>
        <w:t>requirements for Rel-19 ATG</w:t>
      </w:r>
    </w:p>
    <w:p w14:paraId="6F5F5107" w14:textId="022F7F82" w:rsidR="00D738D3" w:rsidRPr="00F82993" w:rsidRDefault="00D738D3" w:rsidP="00D738D3">
      <w:pPr>
        <w:pStyle w:val="3GPPHeader"/>
        <w:rPr>
          <w:sz w:val="22"/>
        </w:rPr>
      </w:pPr>
      <w:r w:rsidRPr="00F82993">
        <w:rPr>
          <w:sz w:val="22"/>
        </w:rPr>
        <w:t>Agenda Item:</w:t>
      </w:r>
      <w:r w:rsidRPr="00F82993">
        <w:rPr>
          <w:sz w:val="22"/>
        </w:rPr>
        <w:tab/>
      </w:r>
      <w:r w:rsidR="004F0725" w:rsidRPr="004F0725">
        <w:rPr>
          <w:b w:val="0"/>
          <w:sz w:val="22"/>
        </w:rPr>
        <w:t>7</w:t>
      </w:r>
      <w:r w:rsidR="00091077" w:rsidRPr="004F0725">
        <w:rPr>
          <w:b w:val="0"/>
          <w:sz w:val="22"/>
        </w:rPr>
        <w:t>.10.4</w:t>
      </w:r>
    </w:p>
    <w:p w14:paraId="36B4727A" w14:textId="77777777" w:rsidR="00D738D3" w:rsidRPr="00F82993" w:rsidRDefault="00D738D3" w:rsidP="00D738D3">
      <w:pPr>
        <w:pStyle w:val="3GPPHeader"/>
        <w:rPr>
          <w:sz w:val="22"/>
        </w:rPr>
      </w:pPr>
      <w:r w:rsidRPr="00F82993">
        <w:rPr>
          <w:sz w:val="22"/>
        </w:rPr>
        <w:t>Document for:</w:t>
      </w:r>
      <w:r w:rsidRPr="00F82993">
        <w:rPr>
          <w:sz w:val="22"/>
        </w:rPr>
        <w:tab/>
      </w:r>
      <w:r w:rsidRPr="00F82993">
        <w:rPr>
          <w:b w:val="0"/>
          <w:sz w:val="22"/>
        </w:rPr>
        <w:t>Discussion</w:t>
      </w:r>
    </w:p>
    <w:p w14:paraId="439892C1" w14:textId="77777777" w:rsidR="00D738D3" w:rsidRPr="00F82993" w:rsidRDefault="00D738D3" w:rsidP="00FD1206">
      <w:pPr>
        <w:pStyle w:val="1"/>
      </w:pPr>
      <w:r w:rsidRPr="00F82993">
        <w:t>Introduction</w:t>
      </w:r>
    </w:p>
    <w:p w14:paraId="4F42C72F" w14:textId="4C201072" w:rsidR="004749E1" w:rsidRPr="00F82993" w:rsidRDefault="00B35E65" w:rsidP="00EF5258">
      <w:pPr>
        <w:rPr>
          <w:kern w:val="2"/>
          <w:lang w:val="en-GB"/>
        </w:rPr>
      </w:pPr>
      <w:r w:rsidRPr="00F82993">
        <w:t xml:space="preserve">In </w:t>
      </w:r>
      <w:r w:rsidR="000E5708" w:rsidRPr="00F82993">
        <w:rPr>
          <w:lang w:val="en-GB"/>
        </w:rPr>
        <w:t>the last meeting</w:t>
      </w:r>
      <w:r w:rsidR="00A139DE" w:rsidRPr="00F82993">
        <w:rPr>
          <w:lang w:val="en-GB"/>
        </w:rPr>
        <w:t>,</w:t>
      </w:r>
      <w:r w:rsidR="000E5708" w:rsidRPr="00F82993">
        <w:rPr>
          <w:lang w:val="en-GB"/>
        </w:rPr>
        <w:t xml:space="preserve"> </w:t>
      </w:r>
      <w:r w:rsidR="00353759" w:rsidRPr="00F82993">
        <w:rPr>
          <w:lang w:val="en-GB"/>
        </w:rPr>
        <w:t>we started the discussion of the Rel-19 ATG CA enh</w:t>
      </w:r>
      <w:r w:rsidR="00A139DE" w:rsidRPr="00F82993">
        <w:rPr>
          <w:lang w:val="en-GB"/>
        </w:rPr>
        <w:t>anceme</w:t>
      </w:r>
      <w:r w:rsidR="00353759" w:rsidRPr="00F82993">
        <w:rPr>
          <w:lang w:val="en-GB"/>
        </w:rPr>
        <w:t>nt.</w:t>
      </w:r>
      <w:r w:rsidR="004B10C9" w:rsidRPr="00F82993">
        <w:rPr>
          <w:lang w:val="en-GB"/>
        </w:rPr>
        <w:t xml:space="preserve"> </w:t>
      </w:r>
      <w:r w:rsidR="00A139DE" w:rsidRPr="00F82993">
        <w:rPr>
          <w:lang w:val="en-GB"/>
        </w:rPr>
        <w:t xml:space="preserve">The points and views of companies are detailed in the </w:t>
      </w:r>
      <w:r w:rsidR="00325D2E" w:rsidRPr="00F82993">
        <w:rPr>
          <w:lang w:val="en-GB"/>
        </w:rPr>
        <w:t>WF [</w:t>
      </w:r>
      <w:r w:rsidR="00A139DE" w:rsidRPr="00F82993">
        <w:rPr>
          <w:lang w:val="en-GB"/>
        </w:rPr>
        <w:t xml:space="preserve">1]. </w:t>
      </w:r>
      <w:r w:rsidR="00383073">
        <w:t>This paper presents</w:t>
      </w:r>
      <w:r w:rsidR="00496B38" w:rsidRPr="00F82993">
        <w:t xml:space="preserve"> our observations and </w:t>
      </w:r>
      <w:r w:rsidR="00496B38" w:rsidRPr="00F82993">
        <w:rPr>
          <w:rFonts w:hint="eastAsia"/>
        </w:rPr>
        <w:t>views</w:t>
      </w:r>
      <w:r w:rsidR="00496B38" w:rsidRPr="00F82993">
        <w:t xml:space="preserve"> on RRM impacts </w:t>
      </w:r>
      <w:r w:rsidR="0091597A">
        <w:t>on</w:t>
      </w:r>
      <w:r w:rsidR="00496B38" w:rsidRPr="00F82993">
        <w:t xml:space="preserve"> </w:t>
      </w:r>
      <w:r w:rsidR="0091597A">
        <w:t>A</w:t>
      </w:r>
      <w:r w:rsidR="00496B38" w:rsidRPr="00F82993">
        <w:t>TG</w:t>
      </w:r>
      <w:r w:rsidR="0091597A">
        <w:t xml:space="preserve"> CA</w:t>
      </w:r>
      <w:r w:rsidR="00496B38" w:rsidRPr="00F82993">
        <w:t>.</w:t>
      </w:r>
    </w:p>
    <w:p w14:paraId="1E519057" w14:textId="611963BE" w:rsidR="006B4867" w:rsidRPr="00F82993" w:rsidRDefault="00BD612D" w:rsidP="00FD1206">
      <w:pPr>
        <w:pStyle w:val="1"/>
        <w:rPr>
          <w:lang w:val="en-GB"/>
        </w:rPr>
      </w:pPr>
      <w:r w:rsidRPr="00F82993">
        <w:rPr>
          <w:lang w:val="en-GB"/>
        </w:rPr>
        <w:t>RRM core requirement analysis</w:t>
      </w:r>
    </w:p>
    <w:p w14:paraId="7FA1B786" w14:textId="240E32B6" w:rsidR="00A45CCD" w:rsidRPr="00F82993" w:rsidRDefault="008E1DA0" w:rsidP="00B50ECE">
      <w:pPr>
        <w:rPr>
          <w:lang w:val="en-GB"/>
        </w:rPr>
      </w:pPr>
      <w:r w:rsidRPr="00F82993">
        <w:rPr>
          <w:lang w:val="en-GB"/>
        </w:rPr>
        <w:t>Compared with the requirements defined in Rel-18 ATG for single</w:t>
      </w:r>
      <w:r w:rsidR="00DC56EB" w:rsidRPr="00F82993">
        <w:rPr>
          <w:lang w:val="en-GB"/>
        </w:rPr>
        <w:t>-</w:t>
      </w:r>
      <w:r w:rsidRPr="00F82993">
        <w:rPr>
          <w:lang w:val="en-GB"/>
        </w:rPr>
        <w:t xml:space="preserve">Cell, we provide our analysis on the potential RRM impacts to support CA in case by case manner in </w:t>
      </w:r>
      <w:r w:rsidR="00717F0A" w:rsidRPr="00F82993">
        <w:rPr>
          <w:lang w:val="en-GB"/>
        </w:rPr>
        <w:t xml:space="preserve">the </w:t>
      </w:r>
      <w:r w:rsidRPr="00F82993">
        <w:rPr>
          <w:lang w:val="en-GB"/>
        </w:rPr>
        <w:t>following part.</w:t>
      </w:r>
    </w:p>
    <w:p w14:paraId="3D941FDF" w14:textId="5E13818A" w:rsidR="003D4B4A" w:rsidRDefault="002C7CE6" w:rsidP="003D4B4A">
      <w:pPr>
        <w:pStyle w:val="2"/>
        <w:rPr>
          <w:lang w:val="en-GB"/>
        </w:rPr>
      </w:pPr>
      <w:r w:rsidRPr="002C7CE6">
        <w:rPr>
          <w:lang w:val="en-GB"/>
        </w:rPr>
        <w:t>UE antenna type for inter-band CA</w:t>
      </w:r>
    </w:p>
    <w:p w14:paraId="2D5D7F0C" w14:textId="5B9977AA" w:rsidR="002C7CE6" w:rsidRDefault="000B3817" w:rsidP="002C7CE6">
      <w:pPr>
        <w:rPr>
          <w:lang w:val="en-GB"/>
        </w:rPr>
      </w:pPr>
      <w:r>
        <w:rPr>
          <w:lang w:val="en-GB"/>
        </w:rPr>
        <w:t>In the last meeting, we have an online understanding type, which is shown below:</w:t>
      </w:r>
    </w:p>
    <w:tbl>
      <w:tblPr>
        <w:tblStyle w:val="af0"/>
        <w:tblW w:w="0" w:type="auto"/>
        <w:tblLook w:val="04A0" w:firstRow="1" w:lastRow="0" w:firstColumn="1" w:lastColumn="0" w:noHBand="0" w:noVBand="1"/>
      </w:tblPr>
      <w:tblGrid>
        <w:gridCol w:w="9560"/>
      </w:tblGrid>
      <w:tr w:rsidR="000B3817" w14:paraId="79249920" w14:textId="77777777" w:rsidTr="000B3817">
        <w:tc>
          <w:tcPr>
            <w:tcW w:w="9560" w:type="dxa"/>
          </w:tcPr>
          <w:p w14:paraId="3CDC5590" w14:textId="77777777" w:rsidR="000B3817" w:rsidRDefault="000B3817" w:rsidP="000B3817">
            <w:pPr>
              <w:snapToGrid w:val="0"/>
              <w:rPr>
                <w:rFonts w:eastAsia="等线"/>
                <w:sz w:val="21"/>
                <w:highlight w:val="yellow"/>
              </w:rPr>
            </w:pPr>
            <w:r>
              <w:rPr>
                <w:rFonts w:eastAsia="等线"/>
                <w:sz w:val="21"/>
                <w:highlight w:val="yellow"/>
              </w:rPr>
              <w:t>Further check which understanding is correct:</w:t>
            </w:r>
          </w:p>
          <w:p w14:paraId="6BCB4B67" w14:textId="77777777" w:rsidR="000B3817" w:rsidRDefault="000B3817" w:rsidP="000B3817">
            <w:pPr>
              <w:widowControl/>
              <w:numPr>
                <w:ilvl w:val="0"/>
                <w:numId w:val="38"/>
              </w:numPr>
              <w:tabs>
                <w:tab w:val="left" w:pos="-420"/>
              </w:tabs>
              <w:overflowPunct w:val="0"/>
              <w:ind w:left="600"/>
              <w:jc w:val="left"/>
              <w:textAlignment w:val="baseline"/>
              <w:rPr>
                <w:rFonts w:eastAsia="等线"/>
                <w:kern w:val="2"/>
                <w:sz w:val="21"/>
              </w:rPr>
            </w:pPr>
            <w:r>
              <w:rPr>
                <w:rFonts w:eastAsia="等线" w:hint="eastAsia"/>
                <w:kern w:val="2"/>
                <w:sz w:val="21"/>
              </w:rPr>
              <w:t>U</w:t>
            </w:r>
            <w:r>
              <w:rPr>
                <w:rFonts w:eastAsia="等线"/>
                <w:kern w:val="2"/>
                <w:sz w:val="21"/>
              </w:rPr>
              <w:t>nderstanding #1: Case 4 is excluded in RF session.</w:t>
            </w:r>
          </w:p>
          <w:p w14:paraId="1CFB8B88" w14:textId="1F1BC5D2" w:rsidR="000B3817" w:rsidRPr="000B3817" w:rsidRDefault="000B3817" w:rsidP="002C7CE6">
            <w:pPr>
              <w:widowControl/>
              <w:numPr>
                <w:ilvl w:val="0"/>
                <w:numId w:val="38"/>
              </w:numPr>
              <w:tabs>
                <w:tab w:val="left" w:pos="-420"/>
              </w:tabs>
              <w:overflowPunct w:val="0"/>
              <w:ind w:left="600"/>
              <w:jc w:val="left"/>
              <w:textAlignment w:val="baseline"/>
              <w:rPr>
                <w:b/>
                <w:sz w:val="21"/>
                <w:u w:val="single"/>
              </w:rPr>
            </w:pPr>
            <w:r>
              <w:rPr>
                <w:rFonts w:eastAsia="等线"/>
                <w:kern w:val="2"/>
                <w:sz w:val="21"/>
              </w:rPr>
              <w:t xml:space="preserve">Understanding #2: Case 4 is not explicitly discussed in RF session, since no case 4 specific RF requirement. Case 4 UE implementation is possible. </w:t>
            </w:r>
          </w:p>
        </w:tc>
      </w:tr>
    </w:tbl>
    <w:p w14:paraId="500460BF" w14:textId="7F8C5D40" w:rsidR="000B3817" w:rsidRDefault="000B3817" w:rsidP="002C7CE6">
      <w:pPr>
        <w:rPr>
          <w:lang w:val="en-GB"/>
        </w:rPr>
      </w:pPr>
      <w:r>
        <w:rPr>
          <w:lang w:val="en-GB"/>
        </w:rPr>
        <w:t xml:space="preserve">In our understanding, this type of UE antenna type </w:t>
      </w:r>
      <w:r w:rsidR="00F10902">
        <w:rPr>
          <w:lang w:val="en-GB"/>
        </w:rPr>
        <w:t>is not discussed in</w:t>
      </w:r>
      <w:r>
        <w:rPr>
          <w:lang w:val="en-GB"/>
        </w:rPr>
        <w:t xml:space="preserve"> the current band</w:t>
      </w:r>
      <w:r w:rsidR="00F10902">
        <w:rPr>
          <w:lang w:val="en-GB"/>
        </w:rPr>
        <w:t xml:space="preserve"> </w:t>
      </w:r>
      <w:r>
        <w:rPr>
          <w:lang w:val="en-GB"/>
        </w:rPr>
        <w:t>combination in WID, so all the RF discussions on the n3 and n39 combination inter-band CA assume that the antenna of UE is omnidirectional.</w:t>
      </w:r>
      <w:r w:rsidR="00F10902">
        <w:rPr>
          <w:lang w:val="en-GB"/>
        </w:rPr>
        <w:t xml:space="preserve"> If the RF can discuss case 4 further, RRM can keep discussing the requirements of case 4. </w:t>
      </w:r>
    </w:p>
    <w:p w14:paraId="5DD11D9A" w14:textId="052947C2" w:rsidR="000B3817" w:rsidRPr="000B3817" w:rsidRDefault="000B3817" w:rsidP="002C7CE6">
      <w:pPr>
        <w:rPr>
          <w:b/>
          <w:lang w:val="en-GB"/>
        </w:rPr>
      </w:pPr>
      <w:r w:rsidRPr="000B3817">
        <w:rPr>
          <w:b/>
          <w:lang w:val="en-GB"/>
        </w:rPr>
        <w:t>Proposal 1:</w:t>
      </w:r>
      <w:r w:rsidR="002352E9">
        <w:rPr>
          <w:b/>
          <w:lang w:val="en-GB"/>
        </w:rPr>
        <w:t xml:space="preserve"> W</w:t>
      </w:r>
      <w:r w:rsidR="00F10902" w:rsidRPr="00F10902">
        <w:rPr>
          <w:b/>
          <w:lang w:val="en-GB"/>
        </w:rPr>
        <w:t xml:space="preserve">ait for </w:t>
      </w:r>
      <w:r w:rsidR="00FE32C1" w:rsidRPr="00FE32C1">
        <w:rPr>
          <w:b/>
          <w:lang w:val="en-GB"/>
        </w:rPr>
        <w:t>further RF conclusion/clarification on antenna type for inter-band CA.</w:t>
      </w:r>
    </w:p>
    <w:p w14:paraId="1489D4C2" w14:textId="77777777" w:rsidR="002C7CE6" w:rsidRPr="002352E9" w:rsidRDefault="002C7CE6" w:rsidP="002C7CE6">
      <w:pPr>
        <w:rPr>
          <w:lang w:val="en-GB"/>
        </w:rPr>
      </w:pPr>
    </w:p>
    <w:p w14:paraId="6F94A924" w14:textId="2AE3EA85" w:rsidR="00BD612D" w:rsidRPr="00F10902" w:rsidRDefault="00BD612D" w:rsidP="00BD612D">
      <w:pPr>
        <w:pStyle w:val="2"/>
        <w:rPr>
          <w:lang w:val="en-GB"/>
        </w:rPr>
      </w:pPr>
      <w:r w:rsidRPr="00F10902">
        <w:rPr>
          <w:lang w:val="en-GB"/>
        </w:rPr>
        <w:t>MRTD</w:t>
      </w:r>
    </w:p>
    <w:p w14:paraId="2E1F80C0" w14:textId="099B16C0" w:rsidR="00C83C3B" w:rsidRPr="00F82993" w:rsidRDefault="00EA6160" w:rsidP="004E6BC9">
      <w:pPr>
        <w:rPr>
          <w:lang w:val="en-GB"/>
        </w:rPr>
      </w:pPr>
      <w:r w:rsidRPr="00EA6160">
        <w:t>The reuse of legacy int</w:t>
      </w:r>
      <w:r w:rsidR="001B0EC7">
        <w:t>ra</w:t>
      </w:r>
      <w:r w:rsidRPr="00EA6160">
        <w:t>-band MRTD requirements represents a prudent choice for ATG CA.</w:t>
      </w:r>
      <w:r w:rsidR="004744D5">
        <w:t xml:space="preserve"> </w:t>
      </w:r>
      <w:r w:rsidR="008A3E48">
        <w:t>For inter-band CA, UE has separate RF chains. We see no implementation issue to maintain the same MRTD value for inter-band CA, which is 33 us.</w:t>
      </w:r>
      <w:r w:rsidR="00145837">
        <w:rPr>
          <w:rFonts w:hint="eastAsia"/>
        </w:rPr>
        <w:t xml:space="preserve"> </w:t>
      </w:r>
      <w:r w:rsidR="00145837">
        <w:t>This requirement supports that UE has separate ant</w:t>
      </w:r>
      <w:r w:rsidR="00A910EB">
        <w:t>ennas</w:t>
      </w:r>
      <w:r w:rsidR="00145837">
        <w:t xml:space="preserve"> on each band. </w:t>
      </w:r>
      <w:r w:rsidR="00685E95">
        <w:t xml:space="preserve">Whether to define two MTRD requirements or redefine the MRTD </w:t>
      </w:r>
      <w:r w:rsidR="00685E95">
        <w:lastRenderedPageBreak/>
        <w:t>requirement is</w:t>
      </w:r>
      <w:r w:rsidR="00145837">
        <w:t xml:space="preserve"> up to the discussion </w:t>
      </w:r>
      <w:r w:rsidR="00A910EB">
        <w:t xml:space="preserve">conclusion </w:t>
      </w:r>
      <w:r w:rsidR="00145837">
        <w:t xml:space="preserve">of </w:t>
      </w:r>
      <w:r w:rsidR="00685E95">
        <w:t xml:space="preserve">the </w:t>
      </w:r>
      <w:r w:rsidR="00145837">
        <w:t>UE</w:t>
      </w:r>
      <w:r w:rsidR="00145837" w:rsidRPr="00145837">
        <w:rPr>
          <w:lang w:val="en-GB"/>
        </w:rPr>
        <w:t xml:space="preserve"> </w:t>
      </w:r>
      <w:r w:rsidR="00145837" w:rsidRPr="002C7CE6">
        <w:rPr>
          <w:lang w:val="en-GB"/>
        </w:rPr>
        <w:t>antenna type</w:t>
      </w:r>
      <w:r w:rsidR="00145837">
        <w:rPr>
          <w:lang w:val="en-GB"/>
        </w:rPr>
        <w:t>.</w:t>
      </w:r>
    </w:p>
    <w:p w14:paraId="4EA68DD4" w14:textId="33AC1314" w:rsidR="00BA4895" w:rsidRDefault="004E6BC9" w:rsidP="00BA4895">
      <w:pPr>
        <w:rPr>
          <w:b/>
          <w:lang w:val="en-GB"/>
        </w:rPr>
      </w:pPr>
      <w:r w:rsidRPr="00F82993">
        <w:rPr>
          <w:rFonts w:hint="eastAsia"/>
          <w:b/>
          <w:lang w:val="en-GB"/>
        </w:rPr>
        <w:t>P</w:t>
      </w:r>
      <w:r w:rsidRPr="00F82993">
        <w:rPr>
          <w:b/>
          <w:lang w:val="en-GB"/>
        </w:rPr>
        <w:t xml:space="preserve">roposal </w:t>
      </w:r>
      <w:r w:rsidR="00145837">
        <w:rPr>
          <w:b/>
          <w:lang w:val="en-GB"/>
        </w:rPr>
        <w:t>2</w:t>
      </w:r>
      <w:r w:rsidRPr="00F82993">
        <w:rPr>
          <w:b/>
          <w:lang w:val="en-GB"/>
        </w:rPr>
        <w:t xml:space="preserve">: </w:t>
      </w:r>
      <w:r w:rsidR="009E1042" w:rsidRPr="00F82993">
        <w:rPr>
          <w:b/>
          <w:lang w:val="en-GB"/>
        </w:rPr>
        <w:t>Reused</w:t>
      </w:r>
      <w:r w:rsidRPr="00F82993">
        <w:rPr>
          <w:b/>
          <w:lang w:val="en-GB"/>
        </w:rPr>
        <w:t xml:space="preserve"> the legacy MRTD </w:t>
      </w:r>
      <w:r w:rsidR="00BC6B4B" w:rsidRPr="00F82993">
        <w:rPr>
          <w:b/>
          <w:lang w:val="en-GB"/>
        </w:rPr>
        <w:t>requirement</w:t>
      </w:r>
      <w:r w:rsidR="00145837">
        <w:rPr>
          <w:b/>
          <w:lang w:val="en-GB"/>
        </w:rPr>
        <w:t xml:space="preserve"> 33 us</w:t>
      </w:r>
      <w:r w:rsidR="00BC6B4B" w:rsidRPr="00F82993">
        <w:rPr>
          <w:b/>
          <w:lang w:val="en-GB"/>
        </w:rPr>
        <w:t xml:space="preserve"> </w:t>
      </w:r>
      <w:r w:rsidR="0011679E" w:rsidRPr="00F82993">
        <w:rPr>
          <w:b/>
          <w:lang w:val="en-GB"/>
        </w:rPr>
        <w:t xml:space="preserve">for </w:t>
      </w:r>
      <w:r w:rsidR="006426E6">
        <w:rPr>
          <w:rFonts w:hint="eastAsia"/>
          <w:b/>
          <w:lang w:val="en-GB"/>
        </w:rPr>
        <w:t>ATG</w:t>
      </w:r>
      <w:r w:rsidR="006426E6">
        <w:rPr>
          <w:b/>
          <w:lang w:val="en-GB"/>
        </w:rPr>
        <w:t xml:space="preserve"> </w:t>
      </w:r>
      <w:r w:rsidR="0011679E" w:rsidRPr="00F82993">
        <w:rPr>
          <w:b/>
          <w:lang w:val="en-GB"/>
        </w:rPr>
        <w:t>inter-band</w:t>
      </w:r>
      <w:r w:rsidR="00BC6B4B" w:rsidRPr="00F82993">
        <w:rPr>
          <w:b/>
          <w:lang w:val="en-GB"/>
        </w:rPr>
        <w:t xml:space="preserve"> CA</w:t>
      </w:r>
      <w:r w:rsidR="00145837">
        <w:rPr>
          <w:b/>
          <w:lang w:val="en-GB"/>
        </w:rPr>
        <w:t xml:space="preserve"> separate antenna UE.</w:t>
      </w:r>
    </w:p>
    <w:p w14:paraId="70AD625E" w14:textId="7E52A0E7" w:rsidR="00145837" w:rsidRDefault="00145837" w:rsidP="00BA4895">
      <w:pPr>
        <w:rPr>
          <w:b/>
          <w:lang w:val="en-GB"/>
        </w:rPr>
      </w:pPr>
      <w:r>
        <w:rPr>
          <w:rFonts w:hint="eastAsia"/>
          <w:b/>
          <w:lang w:val="en-GB"/>
        </w:rPr>
        <w:t>P</w:t>
      </w:r>
      <w:r>
        <w:rPr>
          <w:b/>
          <w:lang w:val="en-GB"/>
        </w:rPr>
        <w:t xml:space="preserve">roposal 3: The MRTD requirement </w:t>
      </w:r>
      <w:r>
        <w:rPr>
          <w:rFonts w:hint="eastAsia"/>
          <w:b/>
          <w:lang w:val="en-GB"/>
        </w:rPr>
        <w:t>for</w:t>
      </w:r>
      <w:r>
        <w:rPr>
          <w:b/>
          <w:lang w:val="en-GB"/>
        </w:rPr>
        <w:t xml:space="preserve"> </w:t>
      </w:r>
      <w:r>
        <w:rPr>
          <w:rFonts w:hint="eastAsia"/>
          <w:b/>
          <w:lang w:val="en-GB"/>
        </w:rPr>
        <w:t>shar</w:t>
      </w:r>
      <w:r>
        <w:rPr>
          <w:b/>
          <w:lang w:val="en-GB"/>
        </w:rPr>
        <w:t>ing panel UE need</w:t>
      </w:r>
      <w:r w:rsidR="00802617">
        <w:rPr>
          <w:b/>
          <w:lang w:val="en-GB"/>
        </w:rPr>
        <w:t>s</w:t>
      </w:r>
      <w:r>
        <w:rPr>
          <w:b/>
          <w:lang w:val="en-GB"/>
        </w:rPr>
        <w:t xml:space="preserve"> to</w:t>
      </w:r>
      <w:r w:rsidR="0070764E">
        <w:rPr>
          <w:b/>
          <w:lang w:val="en-GB"/>
        </w:rPr>
        <w:t xml:space="preserve"> </w:t>
      </w:r>
      <w:r w:rsidR="0070764E">
        <w:rPr>
          <w:rFonts w:hint="eastAsia"/>
          <w:b/>
          <w:lang w:val="en-GB"/>
        </w:rPr>
        <w:t>be</w:t>
      </w:r>
      <w:r>
        <w:rPr>
          <w:b/>
          <w:lang w:val="en-GB"/>
        </w:rPr>
        <w:t xml:space="preserve"> FFS.</w:t>
      </w:r>
    </w:p>
    <w:p w14:paraId="184AE9CA" w14:textId="77777777" w:rsidR="008C2C16" w:rsidRPr="00802617" w:rsidRDefault="008C2C16" w:rsidP="00BA4895">
      <w:pPr>
        <w:rPr>
          <w:b/>
          <w:lang w:val="en-GB"/>
        </w:rPr>
      </w:pPr>
    </w:p>
    <w:p w14:paraId="306A8B86" w14:textId="3CFA0BF6" w:rsidR="00F1684B" w:rsidRPr="00F82993" w:rsidRDefault="006F3DD7" w:rsidP="00BA4895">
      <w:pPr>
        <w:pStyle w:val="2"/>
        <w:rPr>
          <w:lang w:val="en-GB"/>
        </w:rPr>
      </w:pPr>
      <w:r w:rsidRPr="00F82993">
        <w:rPr>
          <w:rFonts w:hint="eastAsia"/>
          <w:lang w:val="en-GB"/>
        </w:rPr>
        <w:t>I</w:t>
      </w:r>
      <w:r w:rsidRPr="00F82993">
        <w:rPr>
          <w:lang w:val="en-GB"/>
        </w:rPr>
        <w:t>nterruption</w:t>
      </w:r>
    </w:p>
    <w:p w14:paraId="00CD62AA" w14:textId="76318B3A" w:rsidR="009B6E2A" w:rsidRPr="00F82993" w:rsidRDefault="009B6E2A" w:rsidP="00BB431E">
      <w:r w:rsidRPr="00F82993">
        <w:t xml:space="preserve">For UE supporting CA, it is straightforward that there could be an interruption in one Cell caused by certain procedures from the other Cells. Based on the current interruption requirements in </w:t>
      </w:r>
      <w:r w:rsidRPr="00F82993">
        <w:rPr>
          <w:rFonts w:hint="eastAsia"/>
        </w:rPr>
        <w:t>chapter</w:t>
      </w:r>
      <w:r w:rsidRPr="00F82993">
        <w:t xml:space="preserve"> 8.2 of 38.133, it is evident that there is no distinction made between different scenarios or UE types</w:t>
      </w:r>
      <w:r w:rsidRPr="00F82993">
        <w:rPr>
          <w:rFonts w:hint="eastAsia"/>
        </w:rPr>
        <w:t>.</w:t>
      </w:r>
      <w:r w:rsidRPr="00F82993">
        <w:t xml:space="preserve"> Following the same logic, we think current interruption requirements can also apply to ATG-supporting CA without the need for any additional specifications. If there are ATG new procedures </w:t>
      </w:r>
      <w:r w:rsidR="0034114A">
        <w:t>that</w:t>
      </w:r>
      <w:r w:rsidRPr="00F82993">
        <w:t xml:space="preserve"> are not covered in current interruption requirements, RAN4 could discuss whether to introduce new interruption requirements.</w:t>
      </w:r>
    </w:p>
    <w:p w14:paraId="624EBBC5" w14:textId="4EE211E4" w:rsidR="009B6E2A" w:rsidRDefault="009B6E2A" w:rsidP="009B6E2A">
      <w:pPr>
        <w:rPr>
          <w:b/>
        </w:rPr>
      </w:pPr>
      <w:r w:rsidRPr="00F82993">
        <w:rPr>
          <w:b/>
        </w:rPr>
        <w:t xml:space="preserve">Proposal </w:t>
      </w:r>
      <w:r w:rsidR="009B7487">
        <w:rPr>
          <w:b/>
        </w:rPr>
        <w:t>4</w:t>
      </w:r>
      <w:r w:rsidRPr="00F82993">
        <w:rPr>
          <w:b/>
        </w:rPr>
        <w:t xml:space="preserve">: Existing interruption requirements can also apply to ATG supporting CA. RAN4 could discuss whether to introduce new interruption requirements if there are ATG new procedures </w:t>
      </w:r>
      <w:r w:rsidR="0034114A">
        <w:rPr>
          <w:b/>
        </w:rPr>
        <w:t>that</w:t>
      </w:r>
      <w:r w:rsidRPr="00F82993">
        <w:rPr>
          <w:b/>
        </w:rPr>
        <w:t xml:space="preserve"> are not covered in current interruption requirements.</w:t>
      </w:r>
    </w:p>
    <w:p w14:paraId="51D53FFA" w14:textId="77777777" w:rsidR="00685E95" w:rsidRPr="00F82993" w:rsidRDefault="00685E95" w:rsidP="009B6E2A">
      <w:pPr>
        <w:rPr>
          <w:b/>
        </w:rPr>
      </w:pPr>
    </w:p>
    <w:p w14:paraId="755BC536" w14:textId="5A11087D" w:rsidR="006F3DD7" w:rsidRPr="00F82993" w:rsidRDefault="006F3DD7" w:rsidP="00BA4895">
      <w:pPr>
        <w:pStyle w:val="2"/>
        <w:rPr>
          <w:lang w:val="en-GB"/>
        </w:rPr>
      </w:pPr>
      <w:r w:rsidRPr="00F82993">
        <w:rPr>
          <w:lang w:val="en-GB"/>
        </w:rPr>
        <w:t>SCell Activation and Deactivation Delay</w:t>
      </w:r>
    </w:p>
    <w:p w14:paraId="427E9DFF" w14:textId="37B7AE03" w:rsidR="003825A0" w:rsidRDefault="003825A0" w:rsidP="009B6E2A">
      <w:r>
        <w:t>In the last meeting, we already discussed the SCell activation well. The agreement is shown below:</w:t>
      </w:r>
    </w:p>
    <w:tbl>
      <w:tblPr>
        <w:tblStyle w:val="af0"/>
        <w:tblW w:w="0" w:type="auto"/>
        <w:tblLook w:val="04A0" w:firstRow="1" w:lastRow="0" w:firstColumn="1" w:lastColumn="0" w:noHBand="0" w:noVBand="1"/>
      </w:tblPr>
      <w:tblGrid>
        <w:gridCol w:w="9560"/>
      </w:tblGrid>
      <w:tr w:rsidR="003825A0" w14:paraId="07C545BA" w14:textId="77777777" w:rsidTr="003825A0">
        <w:tc>
          <w:tcPr>
            <w:tcW w:w="9560" w:type="dxa"/>
          </w:tcPr>
          <w:p w14:paraId="3A189383" w14:textId="77777777" w:rsidR="003825A0" w:rsidRDefault="003825A0" w:rsidP="003825A0">
            <w:pPr>
              <w:snapToGrid w:val="0"/>
              <w:rPr>
                <w:sz w:val="21"/>
              </w:rPr>
            </w:pPr>
            <w:r>
              <w:rPr>
                <w:rFonts w:hint="eastAsia"/>
                <w:sz w:val="21"/>
                <w:highlight w:val="green"/>
              </w:rPr>
              <w:t>A</w:t>
            </w:r>
            <w:r>
              <w:rPr>
                <w:sz w:val="21"/>
                <w:highlight w:val="green"/>
              </w:rPr>
              <w:t>greement:</w:t>
            </w:r>
          </w:p>
          <w:p w14:paraId="5BDFD47E" w14:textId="77777777" w:rsidR="003825A0" w:rsidRDefault="003825A0" w:rsidP="003825A0">
            <w:pPr>
              <w:widowControl/>
              <w:numPr>
                <w:ilvl w:val="0"/>
                <w:numId w:val="38"/>
              </w:numPr>
              <w:tabs>
                <w:tab w:val="left" w:pos="-420"/>
              </w:tabs>
              <w:overflowPunct w:val="0"/>
              <w:spacing w:line="240" w:lineRule="auto"/>
              <w:ind w:left="600" w:hanging="357"/>
              <w:jc w:val="left"/>
              <w:textAlignment w:val="baseline"/>
              <w:rPr>
                <w:sz w:val="21"/>
              </w:rPr>
            </w:pPr>
            <w:r>
              <w:rPr>
                <w:rFonts w:hint="eastAsia"/>
                <w:sz w:val="21"/>
              </w:rPr>
              <w:t>SCell Activation and Deactivation Delay requirements should be introduced for ATG, reuse the current FR1 requirements as the starting point</w:t>
            </w:r>
          </w:p>
          <w:p w14:paraId="34E7BFB0" w14:textId="77777777" w:rsidR="003825A0" w:rsidRDefault="003825A0" w:rsidP="003825A0">
            <w:pPr>
              <w:widowControl/>
              <w:numPr>
                <w:ilvl w:val="1"/>
                <w:numId w:val="38"/>
              </w:numPr>
              <w:tabs>
                <w:tab w:val="left" w:pos="-420"/>
              </w:tabs>
              <w:overflowPunct w:val="0"/>
              <w:spacing w:line="240" w:lineRule="auto"/>
              <w:ind w:left="1020" w:hanging="357"/>
              <w:jc w:val="left"/>
              <w:textAlignment w:val="baseline"/>
              <w:rPr>
                <w:sz w:val="21"/>
              </w:rPr>
            </w:pPr>
            <w:r>
              <w:rPr>
                <w:rFonts w:hint="eastAsia"/>
                <w:sz w:val="21"/>
              </w:rPr>
              <w:t>SCell Activation Delay Requirement for Deactivated SCell</w:t>
            </w:r>
          </w:p>
          <w:p w14:paraId="39B19B94" w14:textId="77777777" w:rsidR="003825A0" w:rsidRDefault="003825A0" w:rsidP="003825A0">
            <w:pPr>
              <w:widowControl/>
              <w:numPr>
                <w:ilvl w:val="1"/>
                <w:numId w:val="38"/>
              </w:numPr>
              <w:tabs>
                <w:tab w:val="left" w:pos="-420"/>
              </w:tabs>
              <w:overflowPunct w:val="0"/>
              <w:spacing w:line="240" w:lineRule="auto"/>
              <w:ind w:left="1020" w:hanging="357"/>
              <w:jc w:val="left"/>
              <w:textAlignment w:val="baseline"/>
              <w:rPr>
                <w:sz w:val="21"/>
              </w:rPr>
            </w:pPr>
            <w:r>
              <w:rPr>
                <w:rFonts w:hint="eastAsia"/>
                <w:sz w:val="21"/>
              </w:rPr>
              <w:t xml:space="preserve">SCell Deactivation Delay Requirement for Activated SCell </w:t>
            </w:r>
          </w:p>
          <w:p w14:paraId="6DAA5208" w14:textId="77777777" w:rsidR="003825A0" w:rsidRDefault="003825A0" w:rsidP="003825A0">
            <w:pPr>
              <w:widowControl/>
              <w:numPr>
                <w:ilvl w:val="1"/>
                <w:numId w:val="38"/>
              </w:numPr>
              <w:tabs>
                <w:tab w:val="left" w:pos="-420"/>
              </w:tabs>
              <w:overflowPunct w:val="0"/>
              <w:spacing w:line="240" w:lineRule="auto"/>
              <w:ind w:left="1020" w:hanging="357"/>
              <w:jc w:val="left"/>
              <w:textAlignment w:val="baseline"/>
              <w:rPr>
                <w:sz w:val="21"/>
              </w:rPr>
            </w:pPr>
            <w:r>
              <w:rPr>
                <w:rFonts w:hint="eastAsia"/>
                <w:sz w:val="21"/>
              </w:rPr>
              <w:t xml:space="preserve">Direct SCell Activation at SCell addition </w:t>
            </w:r>
          </w:p>
          <w:p w14:paraId="3A19F1DF" w14:textId="77777777" w:rsidR="003825A0" w:rsidRDefault="003825A0" w:rsidP="003825A0">
            <w:pPr>
              <w:widowControl/>
              <w:numPr>
                <w:ilvl w:val="1"/>
                <w:numId w:val="38"/>
              </w:numPr>
              <w:tabs>
                <w:tab w:val="left" w:pos="-420"/>
              </w:tabs>
              <w:overflowPunct w:val="0"/>
              <w:spacing w:line="240" w:lineRule="auto"/>
              <w:ind w:left="1020" w:hanging="357"/>
              <w:jc w:val="left"/>
              <w:textAlignment w:val="baseline"/>
              <w:rPr>
                <w:sz w:val="21"/>
              </w:rPr>
            </w:pPr>
            <w:r>
              <w:rPr>
                <w:rFonts w:hint="eastAsia"/>
                <w:sz w:val="21"/>
              </w:rPr>
              <w:t xml:space="preserve">Direct SCell Activation at Handover </w:t>
            </w:r>
          </w:p>
          <w:p w14:paraId="1060C052" w14:textId="77777777" w:rsidR="003825A0" w:rsidRDefault="003825A0" w:rsidP="003825A0">
            <w:pPr>
              <w:widowControl/>
              <w:numPr>
                <w:ilvl w:val="1"/>
                <w:numId w:val="38"/>
              </w:numPr>
              <w:tabs>
                <w:tab w:val="left" w:pos="-420"/>
              </w:tabs>
              <w:overflowPunct w:val="0"/>
              <w:spacing w:line="240" w:lineRule="auto"/>
              <w:ind w:left="1020" w:hanging="357"/>
              <w:jc w:val="left"/>
              <w:textAlignment w:val="baseline"/>
              <w:rPr>
                <w:sz w:val="21"/>
              </w:rPr>
            </w:pPr>
            <w:r>
              <w:rPr>
                <w:rFonts w:hint="eastAsia"/>
                <w:sz w:val="21"/>
              </w:rPr>
              <w:t>Direct SCell Activation at RRC Resume</w:t>
            </w:r>
          </w:p>
          <w:p w14:paraId="6ABEC821" w14:textId="77777777" w:rsidR="003825A0" w:rsidRDefault="003825A0" w:rsidP="003825A0">
            <w:pPr>
              <w:widowControl/>
              <w:numPr>
                <w:ilvl w:val="1"/>
                <w:numId w:val="38"/>
              </w:numPr>
              <w:tabs>
                <w:tab w:val="left" w:pos="-420"/>
              </w:tabs>
              <w:overflowPunct w:val="0"/>
              <w:spacing w:line="240" w:lineRule="auto"/>
              <w:ind w:left="1020" w:hanging="357"/>
              <w:jc w:val="left"/>
              <w:textAlignment w:val="baseline"/>
              <w:rPr>
                <w:sz w:val="21"/>
              </w:rPr>
            </w:pPr>
            <w:r>
              <w:rPr>
                <w:rFonts w:hint="eastAsia"/>
                <w:sz w:val="21"/>
              </w:rPr>
              <w:t>Fast SCell Activation Delay Requirement for Deactivated SCell</w:t>
            </w:r>
          </w:p>
          <w:p w14:paraId="341078A0" w14:textId="77777777" w:rsidR="003825A0" w:rsidRDefault="003825A0" w:rsidP="003825A0">
            <w:pPr>
              <w:widowControl/>
              <w:numPr>
                <w:ilvl w:val="1"/>
                <w:numId w:val="38"/>
              </w:numPr>
              <w:tabs>
                <w:tab w:val="left" w:pos="-420"/>
              </w:tabs>
              <w:overflowPunct w:val="0"/>
              <w:spacing w:line="240" w:lineRule="auto"/>
              <w:ind w:left="1020" w:hanging="357"/>
              <w:jc w:val="left"/>
              <w:textAlignment w:val="baseline"/>
              <w:rPr>
                <w:sz w:val="21"/>
              </w:rPr>
            </w:pPr>
            <w:r>
              <w:rPr>
                <w:rFonts w:hint="eastAsia"/>
                <w:sz w:val="21"/>
              </w:rPr>
              <w:t>SCell Activation Delay Requirement for Deactivated SCell with the L3 reporting during activation</w:t>
            </w:r>
          </w:p>
          <w:p w14:paraId="76F05568" w14:textId="77777777" w:rsidR="003825A0" w:rsidRDefault="003825A0" w:rsidP="003825A0">
            <w:pPr>
              <w:widowControl/>
              <w:numPr>
                <w:ilvl w:val="1"/>
                <w:numId w:val="38"/>
              </w:numPr>
              <w:tabs>
                <w:tab w:val="left" w:pos="-420"/>
              </w:tabs>
              <w:overflowPunct w:val="0"/>
              <w:spacing w:line="240" w:lineRule="auto"/>
              <w:ind w:left="1020" w:hanging="357"/>
              <w:jc w:val="left"/>
              <w:textAlignment w:val="baseline"/>
              <w:rPr>
                <w:sz w:val="21"/>
              </w:rPr>
            </w:pPr>
            <w:r>
              <w:rPr>
                <w:rFonts w:hint="eastAsia"/>
                <w:sz w:val="21"/>
              </w:rPr>
              <w:t>SSB-less SCell related requirement for intra-band CA and inter-band CA</w:t>
            </w:r>
          </w:p>
          <w:p w14:paraId="7D097B53" w14:textId="77777777" w:rsidR="003825A0" w:rsidRDefault="003825A0" w:rsidP="003825A0">
            <w:pPr>
              <w:widowControl/>
              <w:numPr>
                <w:ilvl w:val="2"/>
                <w:numId w:val="38"/>
              </w:numPr>
              <w:tabs>
                <w:tab w:val="left" w:pos="-420"/>
              </w:tabs>
              <w:overflowPunct w:val="0"/>
              <w:spacing w:line="240" w:lineRule="auto"/>
              <w:ind w:left="1440" w:hanging="357"/>
              <w:jc w:val="left"/>
              <w:textAlignment w:val="baseline"/>
              <w:rPr>
                <w:sz w:val="21"/>
              </w:rPr>
            </w:pPr>
            <w:r>
              <w:rPr>
                <w:rFonts w:hint="eastAsia"/>
                <w:sz w:val="21"/>
              </w:rPr>
              <w:t xml:space="preserve">Note: The </w:t>
            </w:r>
            <w:proofErr w:type="spellStart"/>
            <w:r>
              <w:rPr>
                <w:rFonts w:hint="eastAsia"/>
                <w:sz w:val="21"/>
              </w:rPr>
              <w:t>appplicability</w:t>
            </w:r>
            <w:proofErr w:type="spellEnd"/>
            <w:r>
              <w:rPr>
                <w:rFonts w:hint="eastAsia"/>
                <w:sz w:val="21"/>
              </w:rPr>
              <w:t xml:space="preserve"> of the requirement is up to UE capability supporting</w:t>
            </w:r>
          </w:p>
          <w:p w14:paraId="7675297B" w14:textId="08A6D364" w:rsidR="003825A0" w:rsidRPr="003825A0" w:rsidRDefault="003825A0" w:rsidP="003825A0">
            <w:pPr>
              <w:widowControl/>
              <w:numPr>
                <w:ilvl w:val="0"/>
                <w:numId w:val="38"/>
              </w:numPr>
              <w:tabs>
                <w:tab w:val="left" w:pos="-420"/>
              </w:tabs>
              <w:overflowPunct w:val="0"/>
              <w:spacing w:line="240" w:lineRule="auto"/>
              <w:ind w:left="600" w:hanging="357"/>
              <w:jc w:val="left"/>
              <w:textAlignment w:val="baseline"/>
              <w:rPr>
                <w:sz w:val="21"/>
              </w:rPr>
            </w:pPr>
            <w:r>
              <w:rPr>
                <w:rFonts w:hint="eastAsia"/>
                <w:sz w:val="21"/>
                <w:highlight w:val="yellow"/>
              </w:rPr>
              <w:t>Further discuss</w:t>
            </w:r>
            <w:r>
              <w:rPr>
                <w:rFonts w:hint="eastAsia"/>
                <w:sz w:val="21"/>
              </w:rPr>
              <w:t xml:space="preserve"> whether enhancement/update is needed considering band combinations, antenna types, and co-located deployment.</w:t>
            </w:r>
          </w:p>
        </w:tc>
      </w:tr>
    </w:tbl>
    <w:p w14:paraId="76301E07" w14:textId="77777777" w:rsidR="004865DF" w:rsidRDefault="004865DF" w:rsidP="004865DF"/>
    <w:p w14:paraId="7795F929" w14:textId="70769FEB" w:rsidR="007E584E" w:rsidRDefault="004865DF" w:rsidP="004865DF">
      <w:r>
        <w:t xml:space="preserve">We have some concerns regarding the SSB-less requirements related to </w:t>
      </w:r>
      <w:proofErr w:type="spellStart"/>
      <w:r>
        <w:t>SCells</w:t>
      </w:r>
      <w:proofErr w:type="spellEnd"/>
      <w:r>
        <w:t xml:space="preserve">. </w:t>
      </w:r>
      <w:r w:rsidR="007E584E">
        <w:t xml:space="preserve">The below text is the </w:t>
      </w:r>
      <w:r w:rsidR="007E584E">
        <w:lastRenderedPageBreak/>
        <w:t>Rel-18</w:t>
      </w:r>
      <w:r w:rsidR="001942DC">
        <w:t xml:space="preserve"> 38.133[2]</w:t>
      </w:r>
      <w:r w:rsidR="007E584E">
        <w:t xml:space="preserve"> SSB-less requirement definition. The highlighted section indicates that only type-A and type-C QCL</w:t>
      </w:r>
      <w:r w:rsidR="00853838">
        <w:t xml:space="preserve"> </w:t>
      </w:r>
      <w:r w:rsidR="00853838">
        <w:rPr>
          <w:lang w:val="en-GB"/>
        </w:rPr>
        <w:t>relationship</w:t>
      </w:r>
      <w:r w:rsidR="00E03651">
        <w:rPr>
          <w:lang w:val="en-GB"/>
        </w:rPr>
        <w:t>s</w:t>
      </w:r>
      <w:r w:rsidR="007E584E">
        <w:t xml:space="preserve"> are applicable under the SSB-less </w:t>
      </w:r>
      <w:proofErr w:type="spellStart"/>
      <w:r w:rsidR="007E584E">
        <w:t>SCell</w:t>
      </w:r>
      <w:proofErr w:type="spellEnd"/>
      <w:r w:rsidR="007E584E">
        <w:t xml:space="preserve"> activation conditions. This indicated that the legacy requirement </w:t>
      </w:r>
      <w:proofErr w:type="spellStart"/>
      <w:r w:rsidR="007E584E">
        <w:t>can not</w:t>
      </w:r>
      <w:proofErr w:type="spellEnd"/>
      <w:r w:rsidR="007E584E">
        <w:t xml:space="preserve"> provide the beam-related information QCL.</w:t>
      </w:r>
    </w:p>
    <w:tbl>
      <w:tblPr>
        <w:tblStyle w:val="af0"/>
        <w:tblW w:w="0" w:type="auto"/>
        <w:tblLook w:val="04A0" w:firstRow="1" w:lastRow="0" w:firstColumn="1" w:lastColumn="0" w:noHBand="0" w:noVBand="1"/>
      </w:tblPr>
      <w:tblGrid>
        <w:gridCol w:w="9560"/>
      </w:tblGrid>
      <w:tr w:rsidR="007E584E" w14:paraId="017FC551" w14:textId="77777777" w:rsidTr="007E584E">
        <w:tc>
          <w:tcPr>
            <w:tcW w:w="9560" w:type="dxa"/>
          </w:tcPr>
          <w:p w14:paraId="441CE444" w14:textId="77777777" w:rsidR="000D38AE" w:rsidRPr="00FA2880" w:rsidRDefault="000D38AE" w:rsidP="000D38AE">
            <w:pPr>
              <w:rPr>
                <w:sz w:val="21"/>
              </w:rPr>
            </w:pPr>
            <w:r w:rsidRPr="00FA2880">
              <w:rPr>
                <w:sz w:val="21"/>
              </w:rPr>
              <w:t>For a UE supporting scellWithoutSSB-InterBandCA-r18 if the SCell being activated belongs to FR1 and if the UE is not provided with SSB configuration (</w:t>
            </w:r>
            <w:proofErr w:type="spellStart"/>
            <w:r w:rsidRPr="00FA2880">
              <w:rPr>
                <w:sz w:val="21"/>
              </w:rPr>
              <w:t>absoluteFrequencySSB</w:t>
            </w:r>
            <w:proofErr w:type="spellEnd"/>
            <w:r w:rsidRPr="00FA2880">
              <w:rPr>
                <w:sz w:val="21"/>
              </w:rPr>
              <w:t xml:space="preserve">) in the target </w:t>
            </w:r>
            <w:proofErr w:type="spellStart"/>
            <w:r w:rsidRPr="00FA2880">
              <w:rPr>
                <w:sz w:val="21"/>
              </w:rPr>
              <w:t>SCell</w:t>
            </w:r>
            <w:proofErr w:type="spellEnd"/>
            <w:r w:rsidRPr="00FA2880">
              <w:rPr>
                <w:sz w:val="21"/>
              </w:rPr>
              <w:t xml:space="preserve"> (</w:t>
            </w:r>
            <w:proofErr w:type="spellStart"/>
            <w:r w:rsidRPr="00FA2880">
              <w:rPr>
                <w:sz w:val="21"/>
              </w:rPr>
              <w:t>FrequencyInfoDL</w:t>
            </w:r>
            <w:proofErr w:type="spellEnd"/>
            <w:r w:rsidRPr="00FA2880">
              <w:rPr>
                <w:sz w:val="21"/>
              </w:rPr>
              <w:t>) nor SMTC configuration for the target SCell, and if there is one collocated active reference serving cell on different FR1 band, when the following conditions are fulfilled,</w:t>
            </w:r>
          </w:p>
          <w:p w14:paraId="236DD328" w14:textId="77777777" w:rsidR="000D38AE" w:rsidRPr="00FA2880" w:rsidRDefault="000D38AE" w:rsidP="000D38AE">
            <w:pPr>
              <w:rPr>
                <w:sz w:val="21"/>
              </w:rPr>
            </w:pPr>
            <w:r w:rsidRPr="00FA2880">
              <w:rPr>
                <w:sz w:val="21"/>
              </w:rPr>
              <w:t>-</w:t>
            </w:r>
            <w:r w:rsidRPr="00FA2880">
              <w:rPr>
                <w:sz w:val="21"/>
              </w:rPr>
              <w:tab/>
              <w:t xml:space="preserve">The RTD between the target SCell and the collocated reference serving cell is within CP where CP is corresponding to the SCS of SSB-less SCell, and </w:t>
            </w:r>
          </w:p>
          <w:p w14:paraId="474A5FD3" w14:textId="77777777" w:rsidR="000D38AE" w:rsidRPr="00FA2880" w:rsidRDefault="000D38AE" w:rsidP="000D38AE">
            <w:pPr>
              <w:rPr>
                <w:sz w:val="21"/>
              </w:rPr>
            </w:pPr>
            <w:r w:rsidRPr="00FA2880">
              <w:rPr>
                <w:sz w:val="21"/>
              </w:rPr>
              <w:t>-</w:t>
            </w:r>
            <w:r w:rsidRPr="00FA2880">
              <w:rPr>
                <w:sz w:val="21"/>
              </w:rPr>
              <w:tab/>
              <w:t>The EPRE difference at the UE is smaller than or equal to [30] dB, where EPRE difference is the power difference between TRS/A-TRS symbol on the SSB-less SCell and SSB symbol on the reference serving cell normalized by SCSs of SSB of reference Cell and A-TRS/P-TRS of SSB-less Cell., and</w:t>
            </w:r>
          </w:p>
          <w:p w14:paraId="5F2AA16D" w14:textId="0B4B07A2" w:rsidR="007E584E" w:rsidRPr="000D38AE" w:rsidRDefault="000D38AE" w:rsidP="000D38AE">
            <w:pPr>
              <w:rPr>
                <w:lang w:val="en-GB"/>
              </w:rPr>
            </w:pPr>
            <w:r w:rsidRPr="00FA2880">
              <w:rPr>
                <w:sz w:val="21"/>
                <w:highlight w:val="yellow"/>
              </w:rPr>
              <w:t>-</w:t>
            </w:r>
            <w:r w:rsidRPr="00FA2880">
              <w:rPr>
                <w:sz w:val="21"/>
                <w:highlight w:val="yellow"/>
              </w:rPr>
              <w:tab/>
              <w:t>The RS(s) of the SSB-less SCell being activated is (are) QCL-</w:t>
            </w:r>
            <w:proofErr w:type="spellStart"/>
            <w:r w:rsidRPr="00FA2880">
              <w:rPr>
                <w:sz w:val="21"/>
                <w:highlight w:val="yellow"/>
              </w:rPr>
              <w:t>TypeA</w:t>
            </w:r>
            <w:proofErr w:type="spellEnd"/>
            <w:r w:rsidRPr="00FA2880">
              <w:rPr>
                <w:sz w:val="21"/>
                <w:highlight w:val="yellow"/>
              </w:rPr>
              <w:t xml:space="preserve"> with TRS(s) of the SSB-less SCell being activated, and the TRS(s) of the SSB-less SCell being activated is (are) further QCL-</w:t>
            </w:r>
            <w:proofErr w:type="spellStart"/>
            <w:r w:rsidRPr="00FA2880">
              <w:rPr>
                <w:sz w:val="21"/>
                <w:highlight w:val="yellow"/>
              </w:rPr>
              <w:t>TypeC</w:t>
            </w:r>
            <w:proofErr w:type="spellEnd"/>
            <w:r w:rsidRPr="00FA2880">
              <w:rPr>
                <w:sz w:val="21"/>
                <w:highlight w:val="yellow"/>
              </w:rPr>
              <w:t xml:space="preserve"> with SSB(s) of an inter-band active serving cell, and the inter-band active serving cell shall be same as the reference serving cell.</w:t>
            </w:r>
          </w:p>
        </w:tc>
      </w:tr>
    </w:tbl>
    <w:p w14:paraId="1052D2EB" w14:textId="5C212F0F" w:rsidR="004865DF" w:rsidRDefault="007E584E" w:rsidP="004865DF">
      <w:r>
        <w:t xml:space="preserve">Given that the ATG UE </w:t>
      </w:r>
      <w:r>
        <w:rPr>
          <w:lang w:val="en-GB"/>
        </w:rPr>
        <w:t>might</w:t>
      </w:r>
      <w:r>
        <w:t xml:space="preserve"> employ an array-type antenna in FR1, and the legacy SSB-less requirement does not address beam-related issues. </w:t>
      </w:r>
      <w:r w:rsidR="004865DF">
        <w:t>Consequently, we believe that the SSB-less requirement is only applicable to omni-directional antenna ATG UEs.</w:t>
      </w:r>
    </w:p>
    <w:p w14:paraId="67D8BE33" w14:textId="67712CBA" w:rsidR="009B6E2A" w:rsidRDefault="009B7487" w:rsidP="004865DF">
      <w:pPr>
        <w:rPr>
          <w:b/>
        </w:rPr>
      </w:pPr>
      <w:r>
        <w:rPr>
          <w:b/>
        </w:rPr>
        <w:t>Proposal 5:</w:t>
      </w:r>
      <w:r w:rsidR="009B6E2A" w:rsidRPr="00F82993">
        <w:rPr>
          <w:b/>
        </w:rPr>
        <w:t xml:space="preserve"> </w:t>
      </w:r>
      <w:r w:rsidR="00B82F33" w:rsidRPr="00B82F33">
        <w:rPr>
          <w:b/>
        </w:rPr>
        <w:t xml:space="preserve">Inter-band SSB-less </w:t>
      </w:r>
      <w:proofErr w:type="spellStart"/>
      <w:r w:rsidR="00B82F33" w:rsidRPr="00B82F33">
        <w:rPr>
          <w:b/>
        </w:rPr>
        <w:t>SCell</w:t>
      </w:r>
      <w:proofErr w:type="spellEnd"/>
      <w:r w:rsidR="00B82F33" w:rsidRPr="00B82F33">
        <w:rPr>
          <w:b/>
        </w:rPr>
        <w:t xml:space="preserve"> activation requirements can apply to omnidirectional antenna type.</w:t>
      </w:r>
    </w:p>
    <w:p w14:paraId="5D0B3420" w14:textId="77777777" w:rsidR="00B50ECE" w:rsidRPr="00F82993" w:rsidRDefault="00B50ECE" w:rsidP="004865DF">
      <w:pPr>
        <w:rPr>
          <w:b/>
        </w:rPr>
      </w:pPr>
    </w:p>
    <w:p w14:paraId="68247BD3" w14:textId="1DF07140" w:rsidR="00853E0B" w:rsidRDefault="00853E0B" w:rsidP="00853E0B">
      <w:pPr>
        <w:pStyle w:val="2"/>
        <w:rPr>
          <w:lang w:val="en-GB"/>
        </w:rPr>
      </w:pPr>
      <w:r w:rsidRPr="00B50ECE">
        <w:rPr>
          <w:lang w:val="en-GB"/>
        </w:rPr>
        <w:t>Deactivated SCell measurement</w:t>
      </w:r>
    </w:p>
    <w:p w14:paraId="2C357925" w14:textId="2F11F6D7" w:rsidR="00413920" w:rsidRDefault="00413920" w:rsidP="00413920">
      <w:pPr>
        <w:rPr>
          <w:lang w:val="en-GB"/>
        </w:rPr>
      </w:pPr>
      <w:r>
        <w:rPr>
          <w:rFonts w:hint="eastAsia"/>
          <w:lang w:val="en-GB"/>
        </w:rPr>
        <w:t>T</w:t>
      </w:r>
      <w:r>
        <w:rPr>
          <w:lang w:val="en-GB"/>
        </w:rPr>
        <w:t xml:space="preserve">he following is the conclusion in the </w:t>
      </w:r>
      <w:proofErr w:type="gramStart"/>
      <w:r>
        <w:rPr>
          <w:lang w:val="en-GB"/>
        </w:rPr>
        <w:t>WF[</w:t>
      </w:r>
      <w:proofErr w:type="gramEnd"/>
      <w:r>
        <w:rPr>
          <w:lang w:val="en-GB"/>
        </w:rPr>
        <w:t>1]:</w:t>
      </w:r>
    </w:p>
    <w:tbl>
      <w:tblPr>
        <w:tblStyle w:val="af0"/>
        <w:tblW w:w="0" w:type="auto"/>
        <w:tblLook w:val="04A0" w:firstRow="1" w:lastRow="0" w:firstColumn="1" w:lastColumn="0" w:noHBand="0" w:noVBand="1"/>
      </w:tblPr>
      <w:tblGrid>
        <w:gridCol w:w="9560"/>
      </w:tblGrid>
      <w:tr w:rsidR="00413920" w14:paraId="7171EEBE" w14:textId="77777777" w:rsidTr="00413920">
        <w:tc>
          <w:tcPr>
            <w:tcW w:w="9560" w:type="dxa"/>
          </w:tcPr>
          <w:p w14:paraId="3AE0EBC8" w14:textId="77777777" w:rsidR="00413920" w:rsidRDefault="00413920" w:rsidP="00413920">
            <w:pPr>
              <w:rPr>
                <w:sz w:val="21"/>
                <w:highlight w:val="green"/>
              </w:rPr>
            </w:pPr>
            <w:r>
              <w:rPr>
                <w:sz w:val="21"/>
                <w:highlight w:val="green"/>
              </w:rPr>
              <w:t>Agreement:</w:t>
            </w:r>
          </w:p>
          <w:p w14:paraId="61C21BC4" w14:textId="77777777" w:rsidR="00413920" w:rsidRDefault="00413920" w:rsidP="00413920">
            <w:pPr>
              <w:widowControl/>
              <w:numPr>
                <w:ilvl w:val="0"/>
                <w:numId w:val="38"/>
              </w:numPr>
              <w:tabs>
                <w:tab w:val="left" w:pos="-420"/>
              </w:tabs>
              <w:overflowPunct w:val="0"/>
              <w:ind w:left="600"/>
              <w:jc w:val="left"/>
              <w:textAlignment w:val="baseline"/>
              <w:rPr>
                <w:sz w:val="21"/>
              </w:rPr>
            </w:pPr>
            <w:r>
              <w:rPr>
                <w:sz w:val="21"/>
              </w:rPr>
              <w:t xml:space="preserve">Define intra-frequency measurement requirements for deactivated SCell by reusing the principle from the existing cell identification and measurement requirements with </w:t>
            </w:r>
            <w:proofErr w:type="spellStart"/>
            <w:r>
              <w:rPr>
                <w:sz w:val="21"/>
              </w:rPr>
              <w:t>measCycleScell</w:t>
            </w:r>
            <w:proofErr w:type="spellEnd"/>
            <w:r>
              <w:rPr>
                <w:sz w:val="21"/>
              </w:rPr>
              <w:t xml:space="preserve"> as baseline</w:t>
            </w:r>
          </w:p>
          <w:p w14:paraId="310394D8" w14:textId="1A3D7CC7" w:rsidR="00413920" w:rsidRPr="00413920" w:rsidRDefault="00413920" w:rsidP="00413920">
            <w:pPr>
              <w:widowControl/>
              <w:numPr>
                <w:ilvl w:val="1"/>
                <w:numId w:val="38"/>
              </w:numPr>
              <w:tabs>
                <w:tab w:val="left" w:pos="-420"/>
              </w:tabs>
              <w:overflowPunct w:val="0"/>
              <w:ind w:left="1020"/>
              <w:jc w:val="left"/>
              <w:textAlignment w:val="baseline"/>
              <w:rPr>
                <w:sz w:val="21"/>
              </w:rPr>
            </w:pPr>
            <w:r>
              <w:rPr>
                <w:sz w:val="21"/>
                <w:highlight w:val="yellow"/>
              </w:rPr>
              <w:t>Further discuss</w:t>
            </w:r>
            <w:r>
              <w:rPr>
                <w:sz w:val="21"/>
              </w:rPr>
              <w:t xml:space="preserve"> whether beam sweeping factor N1 and L3/L1 measurement sharing factor K</w:t>
            </w:r>
            <w:r>
              <w:rPr>
                <w:sz w:val="21"/>
                <w:vertAlign w:val="subscript"/>
              </w:rPr>
              <w:t>layer1_measurement</w:t>
            </w:r>
            <w:r>
              <w:rPr>
                <w:sz w:val="21"/>
              </w:rPr>
              <w:t xml:space="preserve"> is needed or not</w:t>
            </w:r>
          </w:p>
        </w:tc>
      </w:tr>
    </w:tbl>
    <w:p w14:paraId="503BFDF0" w14:textId="7025DC47" w:rsidR="00B17CCA" w:rsidRDefault="00437CCB" w:rsidP="009B6E2A">
      <w:bookmarkStart w:id="2" w:name="_Hlk181283024"/>
      <w:r>
        <w:t xml:space="preserve">There are 5 types of UE antenna in ATG Rel-19 discussion. </w:t>
      </w:r>
      <w:r w:rsidR="005A195E">
        <w:t xml:space="preserve">Due to variations in UE types, including </w:t>
      </w:r>
      <w:r w:rsidR="005A195E">
        <w:lastRenderedPageBreak/>
        <w:t xml:space="preserve">omni-directional and array antennas, the factor </w:t>
      </w:r>
      <w:r w:rsidR="005A195E">
        <w:rPr>
          <w:rStyle w:val="katex-mathml"/>
        </w:rPr>
        <w:t>N1</w:t>
      </w:r>
      <w:r w:rsidR="005A195E">
        <w:t xml:space="preserve"> </w:t>
      </w:r>
      <w:r w:rsidR="00B17CCA">
        <w:t>should</w:t>
      </w:r>
      <w:r w:rsidR="005A195E">
        <w:t xml:space="preserve"> be considered. </w:t>
      </w:r>
      <w:r w:rsidR="00B17CCA">
        <w:t xml:space="preserve">For instance, </w:t>
      </w:r>
      <w:r w:rsidR="006F0D09">
        <w:t xml:space="preserve">for deactivated </w:t>
      </w:r>
      <w:proofErr w:type="spellStart"/>
      <w:r w:rsidR="006F0D09">
        <w:t>SCell</w:t>
      </w:r>
      <w:proofErr w:type="spellEnd"/>
      <w:r w:rsidR="006F0D09">
        <w:t xml:space="preserve"> measurement UE also needs to measure </w:t>
      </w:r>
      <w:r w:rsidR="00CE04B2">
        <w:t>neighbor</w:t>
      </w:r>
      <w:r w:rsidR="006F0D09">
        <w:t xml:space="preserve"> cell</w:t>
      </w:r>
      <w:r w:rsidR="00CE04B2">
        <w:t>s</w:t>
      </w:r>
      <w:r w:rsidR="006F0D09">
        <w:t xml:space="preserve"> on the same frequency layer, which may have different locations than the serving Cell</w:t>
      </w:r>
      <w:r w:rsidR="00B17CCA">
        <w:t xml:space="preserve">, </w:t>
      </w:r>
      <w:r w:rsidR="006F0D09">
        <w:t xml:space="preserve">thus beam sweeping </w:t>
      </w:r>
      <w:r w:rsidR="00CE04B2">
        <w:rPr>
          <w:rFonts w:hint="eastAsia"/>
        </w:rPr>
        <w:t>is</w:t>
      </w:r>
      <w:r w:rsidR="006F0D09">
        <w:t xml:space="preserve"> needed</w:t>
      </w:r>
      <w:r w:rsidR="00B17CCA">
        <w:t>.</w:t>
      </w:r>
    </w:p>
    <w:bookmarkEnd w:id="2"/>
    <w:p w14:paraId="3F89E1BD" w14:textId="19535CF0" w:rsidR="009B6E2A" w:rsidRDefault="009B6E2A" w:rsidP="009B6E2A">
      <w:pPr>
        <w:rPr>
          <w:b/>
        </w:rPr>
      </w:pPr>
      <w:r w:rsidRPr="00F82993">
        <w:rPr>
          <w:b/>
        </w:rPr>
        <w:t xml:space="preserve">Proposal </w:t>
      </w:r>
      <w:r w:rsidR="009B7487">
        <w:rPr>
          <w:b/>
        </w:rPr>
        <w:t>6</w:t>
      </w:r>
      <w:r w:rsidRPr="00F82993">
        <w:rPr>
          <w:b/>
        </w:rPr>
        <w:t xml:space="preserve">: </w:t>
      </w:r>
      <w:r w:rsidR="007F1857">
        <w:rPr>
          <w:b/>
        </w:rPr>
        <w:t xml:space="preserve">The beam sweeping factor N1 is needed in ATG </w:t>
      </w:r>
      <w:proofErr w:type="spellStart"/>
      <w:r w:rsidR="007F1857">
        <w:rPr>
          <w:b/>
        </w:rPr>
        <w:t>SCell</w:t>
      </w:r>
      <w:proofErr w:type="spellEnd"/>
      <w:r w:rsidR="007F1857">
        <w:rPr>
          <w:b/>
        </w:rPr>
        <w:t xml:space="preserve"> deactivation measurement.</w:t>
      </w:r>
    </w:p>
    <w:p w14:paraId="6BC02205" w14:textId="77777777" w:rsidR="009B3B6F" w:rsidRDefault="009B3B6F" w:rsidP="009B6E2A">
      <w:r w:rsidRPr="009B3B6F">
        <w:t xml:space="preserve">The deactivated state does not have the L1 measurement, so we think the L3/L1 measurement sharing factor is not needed.   </w:t>
      </w:r>
    </w:p>
    <w:p w14:paraId="4B44FAA6" w14:textId="66587CFF" w:rsidR="00D63AA3" w:rsidRPr="00455606" w:rsidRDefault="00437CCB" w:rsidP="009B6E2A">
      <w:pPr>
        <w:rPr>
          <w:b/>
        </w:rPr>
      </w:pPr>
      <w:r>
        <w:rPr>
          <w:rFonts w:hint="eastAsia"/>
          <w:b/>
        </w:rPr>
        <w:t>P</w:t>
      </w:r>
      <w:r>
        <w:rPr>
          <w:b/>
        </w:rPr>
        <w:t xml:space="preserve">roposal 7: For </w:t>
      </w:r>
      <w:r w:rsidR="00557D5D">
        <w:rPr>
          <w:b/>
        </w:rPr>
        <w:t>the</w:t>
      </w:r>
      <w:r w:rsidR="00557D5D" w:rsidRPr="00557D5D">
        <w:rPr>
          <w:b/>
        </w:rPr>
        <w:t xml:space="preserve"> L3/L1 measurement sharing factor K</w:t>
      </w:r>
      <w:r w:rsidR="00557D5D" w:rsidRPr="00853838">
        <w:rPr>
          <w:b/>
          <w:vertAlign w:val="subscript"/>
        </w:rPr>
        <w:t>layer1_measuremen</w:t>
      </w:r>
      <w:r w:rsidR="00557D5D">
        <w:rPr>
          <w:b/>
        </w:rPr>
        <w:t xml:space="preserve"> </w:t>
      </w:r>
      <w:r w:rsidR="006F0D09">
        <w:rPr>
          <w:b/>
        </w:rPr>
        <w:t>is</w:t>
      </w:r>
      <w:r w:rsidR="00CE04B2">
        <w:rPr>
          <w:b/>
        </w:rPr>
        <w:t xml:space="preserve"> not</w:t>
      </w:r>
      <w:r w:rsidR="006F0D09">
        <w:rPr>
          <w:b/>
        </w:rPr>
        <w:t xml:space="preserve"> needed.</w:t>
      </w:r>
    </w:p>
    <w:p w14:paraId="26D86A16" w14:textId="64D67A51" w:rsidR="0093726F" w:rsidRPr="00B26955" w:rsidRDefault="0093726F" w:rsidP="00FD1206">
      <w:pPr>
        <w:pStyle w:val="1"/>
      </w:pPr>
      <w:r w:rsidRPr="00B26955">
        <w:t>Conclusion</w:t>
      </w:r>
    </w:p>
    <w:p w14:paraId="27C6D13E" w14:textId="77777777" w:rsidR="006876A2" w:rsidRPr="000B3817" w:rsidRDefault="006876A2" w:rsidP="006876A2">
      <w:pPr>
        <w:rPr>
          <w:b/>
          <w:lang w:val="en-GB"/>
        </w:rPr>
      </w:pPr>
      <w:r w:rsidRPr="000B3817">
        <w:rPr>
          <w:b/>
          <w:lang w:val="en-GB"/>
        </w:rPr>
        <w:t>Proposal 1:</w:t>
      </w:r>
      <w:r>
        <w:rPr>
          <w:b/>
          <w:lang w:val="en-GB"/>
        </w:rPr>
        <w:t xml:space="preserve"> W</w:t>
      </w:r>
      <w:r w:rsidRPr="00F10902">
        <w:rPr>
          <w:b/>
          <w:lang w:val="en-GB"/>
        </w:rPr>
        <w:t xml:space="preserve">ait for </w:t>
      </w:r>
      <w:r w:rsidRPr="00FE32C1">
        <w:rPr>
          <w:b/>
          <w:lang w:val="en-GB"/>
        </w:rPr>
        <w:t>further RF conclusion/clarification on antenna type for inter-band CA.</w:t>
      </w:r>
    </w:p>
    <w:p w14:paraId="22702EDE" w14:textId="77777777" w:rsidR="0060221D" w:rsidRDefault="0060221D" w:rsidP="0060221D">
      <w:pPr>
        <w:rPr>
          <w:b/>
          <w:lang w:val="en-GB"/>
        </w:rPr>
      </w:pPr>
      <w:r w:rsidRPr="00F82993">
        <w:rPr>
          <w:rFonts w:hint="eastAsia"/>
          <w:b/>
          <w:lang w:val="en-GB"/>
        </w:rPr>
        <w:t>P</w:t>
      </w:r>
      <w:r w:rsidRPr="00F82993">
        <w:rPr>
          <w:b/>
          <w:lang w:val="en-GB"/>
        </w:rPr>
        <w:t xml:space="preserve">roposal </w:t>
      </w:r>
      <w:r>
        <w:rPr>
          <w:b/>
          <w:lang w:val="en-GB"/>
        </w:rPr>
        <w:t>2</w:t>
      </w:r>
      <w:r w:rsidRPr="00F82993">
        <w:rPr>
          <w:b/>
          <w:lang w:val="en-GB"/>
        </w:rPr>
        <w:t>: Reused the legacy MRTD requirement</w:t>
      </w:r>
      <w:r>
        <w:rPr>
          <w:b/>
          <w:lang w:val="en-GB"/>
        </w:rPr>
        <w:t xml:space="preserve"> 33 us</w:t>
      </w:r>
      <w:r w:rsidRPr="00F82993">
        <w:rPr>
          <w:b/>
          <w:lang w:val="en-GB"/>
        </w:rPr>
        <w:t xml:space="preserve"> for </w:t>
      </w:r>
      <w:r>
        <w:rPr>
          <w:rFonts w:hint="eastAsia"/>
          <w:b/>
          <w:lang w:val="en-GB"/>
        </w:rPr>
        <w:t>ATG</w:t>
      </w:r>
      <w:r>
        <w:rPr>
          <w:b/>
          <w:lang w:val="en-GB"/>
        </w:rPr>
        <w:t xml:space="preserve"> </w:t>
      </w:r>
      <w:r w:rsidRPr="00F82993">
        <w:rPr>
          <w:b/>
          <w:lang w:val="en-GB"/>
        </w:rPr>
        <w:t>inter-band CA</w:t>
      </w:r>
      <w:r>
        <w:rPr>
          <w:b/>
          <w:lang w:val="en-GB"/>
        </w:rPr>
        <w:t xml:space="preserve"> separate antenna UE.</w:t>
      </w:r>
    </w:p>
    <w:p w14:paraId="44C2C3A1" w14:textId="77777777" w:rsidR="0060221D" w:rsidRDefault="0060221D" w:rsidP="0060221D">
      <w:pPr>
        <w:rPr>
          <w:b/>
          <w:lang w:val="en-GB"/>
        </w:rPr>
      </w:pPr>
      <w:r>
        <w:rPr>
          <w:rFonts w:hint="eastAsia"/>
          <w:b/>
          <w:lang w:val="en-GB"/>
        </w:rPr>
        <w:t>P</w:t>
      </w:r>
      <w:r>
        <w:rPr>
          <w:b/>
          <w:lang w:val="en-GB"/>
        </w:rPr>
        <w:t xml:space="preserve">roposal 3: The MRTD requirement </w:t>
      </w:r>
      <w:r>
        <w:rPr>
          <w:rFonts w:hint="eastAsia"/>
          <w:b/>
          <w:lang w:val="en-GB"/>
        </w:rPr>
        <w:t>for</w:t>
      </w:r>
      <w:r>
        <w:rPr>
          <w:b/>
          <w:lang w:val="en-GB"/>
        </w:rPr>
        <w:t xml:space="preserve"> </w:t>
      </w:r>
      <w:r>
        <w:rPr>
          <w:rFonts w:hint="eastAsia"/>
          <w:b/>
          <w:lang w:val="en-GB"/>
        </w:rPr>
        <w:t>shar</w:t>
      </w:r>
      <w:r>
        <w:rPr>
          <w:b/>
          <w:lang w:val="en-GB"/>
        </w:rPr>
        <w:t xml:space="preserve">ing panel UE needs to </w:t>
      </w:r>
      <w:r>
        <w:rPr>
          <w:rFonts w:hint="eastAsia"/>
          <w:b/>
          <w:lang w:val="en-GB"/>
        </w:rPr>
        <w:t>be</w:t>
      </w:r>
      <w:r>
        <w:rPr>
          <w:b/>
          <w:lang w:val="en-GB"/>
        </w:rPr>
        <w:t xml:space="preserve"> FFS.</w:t>
      </w:r>
    </w:p>
    <w:p w14:paraId="3C9E23C6" w14:textId="77777777" w:rsidR="00865891" w:rsidRDefault="00865891" w:rsidP="00865891">
      <w:pPr>
        <w:rPr>
          <w:b/>
        </w:rPr>
      </w:pPr>
      <w:r w:rsidRPr="00F82993">
        <w:rPr>
          <w:b/>
        </w:rPr>
        <w:t xml:space="preserve">Proposal </w:t>
      </w:r>
      <w:r>
        <w:rPr>
          <w:b/>
        </w:rPr>
        <w:t>4</w:t>
      </w:r>
      <w:r w:rsidRPr="00F82993">
        <w:rPr>
          <w:b/>
        </w:rPr>
        <w:t xml:space="preserve">: Existing interruption requirements can also apply to ATG supporting CA. RAN4 could discuss whether to introduce new interruption requirements if there are ATG new procedures </w:t>
      </w:r>
      <w:r>
        <w:rPr>
          <w:b/>
        </w:rPr>
        <w:t>that</w:t>
      </w:r>
      <w:r w:rsidRPr="00F82993">
        <w:rPr>
          <w:b/>
        </w:rPr>
        <w:t xml:space="preserve"> are not covered in current interruption requirements.</w:t>
      </w:r>
    </w:p>
    <w:p w14:paraId="4522244A" w14:textId="77777777" w:rsidR="00B82F33" w:rsidRDefault="00B82F33" w:rsidP="00B82F33">
      <w:pPr>
        <w:rPr>
          <w:b/>
        </w:rPr>
      </w:pPr>
      <w:r>
        <w:rPr>
          <w:b/>
        </w:rPr>
        <w:t>Proposal 5:</w:t>
      </w:r>
      <w:r w:rsidRPr="00F82993">
        <w:rPr>
          <w:b/>
        </w:rPr>
        <w:t xml:space="preserve"> </w:t>
      </w:r>
      <w:r w:rsidRPr="00B82F33">
        <w:rPr>
          <w:b/>
        </w:rPr>
        <w:t xml:space="preserve">Inter-band SSB-less </w:t>
      </w:r>
      <w:proofErr w:type="spellStart"/>
      <w:r w:rsidRPr="00B82F33">
        <w:rPr>
          <w:b/>
        </w:rPr>
        <w:t>SCell</w:t>
      </w:r>
      <w:proofErr w:type="spellEnd"/>
      <w:r w:rsidRPr="00B82F33">
        <w:rPr>
          <w:b/>
        </w:rPr>
        <w:t xml:space="preserve"> activation requirements can apply to omnidirectional antenna type.</w:t>
      </w:r>
    </w:p>
    <w:p w14:paraId="4CEFC11F" w14:textId="77777777" w:rsidR="00613B6A" w:rsidRDefault="00613B6A" w:rsidP="00613B6A">
      <w:pPr>
        <w:rPr>
          <w:b/>
        </w:rPr>
      </w:pPr>
      <w:r w:rsidRPr="00F82993">
        <w:rPr>
          <w:b/>
        </w:rPr>
        <w:t xml:space="preserve">Proposal </w:t>
      </w:r>
      <w:r>
        <w:rPr>
          <w:b/>
        </w:rPr>
        <w:t>6</w:t>
      </w:r>
      <w:r w:rsidRPr="00F82993">
        <w:rPr>
          <w:b/>
        </w:rPr>
        <w:t xml:space="preserve">: </w:t>
      </w:r>
      <w:r>
        <w:rPr>
          <w:b/>
        </w:rPr>
        <w:t xml:space="preserve">The beam sweeping factor N1 is needed in ATG </w:t>
      </w:r>
      <w:proofErr w:type="spellStart"/>
      <w:r>
        <w:rPr>
          <w:b/>
        </w:rPr>
        <w:t>SCell</w:t>
      </w:r>
      <w:proofErr w:type="spellEnd"/>
      <w:r>
        <w:rPr>
          <w:b/>
        </w:rPr>
        <w:t xml:space="preserve"> deactivation measurement.</w:t>
      </w:r>
    </w:p>
    <w:p w14:paraId="72B0BB3A" w14:textId="77777777" w:rsidR="00613B6A" w:rsidRPr="00455606" w:rsidRDefault="00613B6A" w:rsidP="00613B6A">
      <w:pPr>
        <w:rPr>
          <w:b/>
        </w:rPr>
      </w:pPr>
      <w:r>
        <w:rPr>
          <w:rFonts w:hint="eastAsia"/>
          <w:b/>
        </w:rPr>
        <w:t>P</w:t>
      </w:r>
      <w:r>
        <w:rPr>
          <w:b/>
        </w:rPr>
        <w:t>roposal 7: For the</w:t>
      </w:r>
      <w:r w:rsidRPr="00557D5D">
        <w:rPr>
          <w:b/>
        </w:rPr>
        <w:t xml:space="preserve"> L3/L1 measurement sharing factor K</w:t>
      </w:r>
      <w:r w:rsidRPr="00853838">
        <w:rPr>
          <w:b/>
          <w:vertAlign w:val="subscript"/>
        </w:rPr>
        <w:t>layer1_measuremen</w:t>
      </w:r>
      <w:r>
        <w:rPr>
          <w:b/>
        </w:rPr>
        <w:t xml:space="preserve"> is not needed.</w:t>
      </w:r>
    </w:p>
    <w:p w14:paraId="551D5B1A" w14:textId="77777777" w:rsidR="0093726F" w:rsidRPr="00F82993" w:rsidRDefault="0093726F" w:rsidP="00FD1206">
      <w:pPr>
        <w:pStyle w:val="1"/>
      </w:pPr>
      <w:r w:rsidRPr="00B26955">
        <w:t>Reference</w:t>
      </w:r>
      <w:r w:rsidRPr="00F82993">
        <w:t>s</w:t>
      </w:r>
    </w:p>
    <w:p w14:paraId="132739FD" w14:textId="78759F3D" w:rsidR="00A139DE" w:rsidRPr="000B27CF" w:rsidRDefault="00303BA9" w:rsidP="000B27CF">
      <w:pPr>
        <w:tabs>
          <w:tab w:val="left" w:pos="1985"/>
        </w:tabs>
        <w:rPr>
          <w:rFonts w:ascii="Arial" w:hAnsi="Arial" w:cs="Arial"/>
          <w:b/>
          <w:sz w:val="22"/>
        </w:rPr>
      </w:pPr>
      <w:bookmarkStart w:id="3" w:name="_Ref174151459"/>
      <w:bookmarkStart w:id="4" w:name="_Ref189809556"/>
      <w:bookmarkStart w:id="5" w:name="_Ref110778841"/>
      <w:r w:rsidRPr="00F82993">
        <w:t xml:space="preserve">[1] </w:t>
      </w:r>
      <w:r w:rsidR="00A139DE" w:rsidRPr="00F82993">
        <w:t>R4-</w:t>
      </w:r>
      <w:r w:rsidR="001942DC" w:rsidRPr="001942DC">
        <w:t xml:space="preserve"> 2416852</w:t>
      </w:r>
      <w:r w:rsidR="000B27CF">
        <w:t xml:space="preserve"> </w:t>
      </w:r>
      <w:r w:rsidR="000B27CF" w:rsidRPr="00A71296">
        <w:rPr>
          <w:rFonts w:hint="eastAsia"/>
        </w:rPr>
        <w:t>WF on RRM requirements for [112</w:t>
      </w:r>
      <w:proofErr w:type="gramStart"/>
      <w:r w:rsidR="000B27CF" w:rsidRPr="00A71296">
        <w:rPr>
          <w:rFonts w:hint="eastAsia"/>
        </w:rPr>
        <w:t>bis][</w:t>
      </w:r>
      <w:proofErr w:type="gramEnd"/>
      <w:r w:rsidR="000B27CF" w:rsidRPr="00A71296">
        <w:rPr>
          <w:rFonts w:hint="eastAsia"/>
        </w:rPr>
        <w:t xml:space="preserve">208] </w:t>
      </w:r>
      <w:proofErr w:type="spellStart"/>
      <w:r w:rsidR="000B27CF" w:rsidRPr="00A71296">
        <w:rPr>
          <w:rFonts w:hint="eastAsia"/>
        </w:rPr>
        <w:t>NR_ATG_enh</w:t>
      </w:r>
      <w:proofErr w:type="spellEnd"/>
    </w:p>
    <w:p w14:paraId="623CDEEB" w14:textId="7A56A08E" w:rsidR="0093726F" w:rsidRPr="00681671" w:rsidRDefault="00E33AC5" w:rsidP="00775BB5">
      <w:r w:rsidRPr="00F82993">
        <w:rPr>
          <w:rFonts w:hint="eastAsia"/>
        </w:rPr>
        <w:t>[</w:t>
      </w:r>
      <w:r w:rsidR="00E668E3">
        <w:t>2</w:t>
      </w:r>
      <w:r w:rsidRPr="00F82993">
        <w:t>]</w:t>
      </w:r>
      <w:bookmarkEnd w:id="3"/>
      <w:bookmarkEnd w:id="4"/>
      <w:bookmarkEnd w:id="5"/>
      <w:r w:rsidRPr="00F82993">
        <w:rPr>
          <w:rFonts w:hint="eastAsia"/>
        </w:rPr>
        <w:t xml:space="preserve"> </w:t>
      </w:r>
      <w:r w:rsidR="008C770B" w:rsidRPr="00F82993">
        <w:t>3GPP TS 38.133 V18.</w:t>
      </w:r>
      <w:r w:rsidR="00767CBB">
        <w:t>7</w:t>
      </w:r>
      <w:r w:rsidR="008C770B" w:rsidRPr="00F82993">
        <w:t>.0</w:t>
      </w:r>
    </w:p>
    <w:sectPr w:rsidR="0093726F" w:rsidRPr="00681671" w:rsidSect="00A52F6E">
      <w:headerReference w:type="even" r:id="rId8"/>
      <w:headerReference w:type="default" r:id="rId9"/>
      <w:footerReference w:type="even" r:id="rId10"/>
      <w:footerReference w:type="default" r:id="rId11"/>
      <w:headerReference w:type="first" r:id="rId12"/>
      <w:footerReference w:type="first" r:id="rId13"/>
      <w:pgSz w:w="11906" w:h="16838"/>
      <w:pgMar w:top="1412" w:right="1196" w:bottom="1140" w:left="1140" w:header="850" w:footer="346"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3CAD5" w14:textId="77777777" w:rsidR="00C776A7" w:rsidRDefault="00C776A7">
      <w:r>
        <w:separator/>
      </w:r>
    </w:p>
  </w:endnote>
  <w:endnote w:type="continuationSeparator" w:id="0">
    <w:p w14:paraId="29E835A4" w14:textId="77777777" w:rsidR="00C776A7" w:rsidRDefault="00C7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0C55E" w14:textId="77777777" w:rsidR="005B71F0" w:rsidRDefault="005B71F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E5776" w14:textId="098A1BAD" w:rsidR="005B71F0" w:rsidRPr="00515F71" w:rsidRDefault="00515F71" w:rsidP="00515F71">
    <w:pPr>
      <w:autoSpaceDE/>
      <w:autoSpaceDN/>
      <w:adjustRightInd/>
      <w:jc w:val="center"/>
      <w:rPr>
        <w:rFonts w:ascii="Arial" w:eastAsia="MS Mincho" w:hAnsi="Arial"/>
        <w:b/>
        <w:i/>
        <w:noProof/>
        <w:snapToGrid/>
        <w:sz w:val="18"/>
        <w:szCs w:val="20"/>
        <w:lang w:eastAsia="en-US"/>
      </w:rPr>
    </w:pPr>
    <w:r w:rsidRPr="00515F71">
      <w:rPr>
        <w:rFonts w:ascii="Arial" w:eastAsia="MS Mincho" w:hAnsi="Arial"/>
        <w:b/>
        <w:i/>
        <w:noProof/>
        <w:snapToGrid/>
        <w:sz w:val="18"/>
        <w:szCs w:val="20"/>
        <w:lang w:eastAsia="en-US"/>
      </w:rPr>
      <w:fldChar w:fldCharType="begin"/>
    </w:r>
    <w:r w:rsidRPr="00515F71">
      <w:rPr>
        <w:rFonts w:ascii="Arial" w:eastAsia="MS Mincho" w:hAnsi="Arial"/>
        <w:b/>
        <w:i/>
        <w:noProof/>
        <w:snapToGrid/>
        <w:sz w:val="18"/>
        <w:szCs w:val="20"/>
        <w:lang w:eastAsia="en-US"/>
      </w:rPr>
      <w:instrText xml:space="preserve">PAGE  </w:instrText>
    </w:r>
    <w:r w:rsidRPr="00515F71">
      <w:rPr>
        <w:rFonts w:ascii="Arial" w:eastAsia="MS Mincho" w:hAnsi="Arial"/>
        <w:b/>
        <w:i/>
        <w:noProof/>
        <w:snapToGrid/>
        <w:sz w:val="18"/>
        <w:szCs w:val="20"/>
        <w:lang w:eastAsia="en-US"/>
      </w:rPr>
      <w:fldChar w:fldCharType="separate"/>
    </w:r>
    <w:r w:rsidRPr="00515F71">
      <w:rPr>
        <w:rFonts w:ascii="Arial" w:eastAsia="MS Mincho" w:hAnsi="Arial"/>
        <w:b/>
        <w:i/>
        <w:noProof/>
        <w:snapToGrid/>
        <w:sz w:val="18"/>
        <w:szCs w:val="20"/>
        <w:lang w:eastAsia="en-US"/>
      </w:rPr>
      <w:t>1</w:t>
    </w:r>
    <w:r w:rsidRPr="00515F71">
      <w:rPr>
        <w:rFonts w:ascii="Arial" w:eastAsia="MS Mincho" w:hAnsi="Arial"/>
        <w:b/>
        <w:i/>
        <w:noProof/>
        <w:snapToGrid/>
        <w:sz w:val="18"/>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0298B" w14:textId="77777777" w:rsidR="005B71F0" w:rsidRDefault="005B71F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B64A0" w14:textId="77777777" w:rsidR="00C776A7" w:rsidRDefault="00C776A7">
      <w:r>
        <w:separator/>
      </w:r>
    </w:p>
  </w:footnote>
  <w:footnote w:type="continuationSeparator" w:id="0">
    <w:p w14:paraId="38B47693" w14:textId="77777777" w:rsidR="00C776A7" w:rsidRDefault="00C7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4A5" w14:textId="77777777" w:rsidR="005B71F0" w:rsidRDefault="005B71F0">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275FD" w14:textId="77777777" w:rsidR="00A52F6E" w:rsidRDefault="00A52F6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5AAA" w14:textId="77777777" w:rsidR="005B71F0" w:rsidRDefault="005B71F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7451F"/>
    <w:multiLevelType w:val="hybridMultilevel"/>
    <w:tmpl w:val="ED22C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546429"/>
    <w:multiLevelType w:val="multilevel"/>
    <w:tmpl w:val="2B6AEED6"/>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3"/>
  </w:num>
  <w:num w:numId="2">
    <w:abstractNumId w:val="13"/>
  </w:num>
  <w:num w:numId="3">
    <w:abstractNumId w:val="13"/>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3"/>
  </w:num>
  <w:num w:numId="11">
    <w:abstractNumId w:val="3"/>
  </w:num>
  <w:num w:numId="12">
    <w:abstractNumId w:val="3"/>
  </w:num>
  <w:num w:numId="13">
    <w:abstractNumId w:val="5"/>
  </w:num>
  <w:num w:numId="14">
    <w:abstractNumId w:val="6"/>
  </w:num>
  <w:num w:numId="15">
    <w:abstractNumId w:val="1"/>
  </w:num>
  <w:num w:numId="16">
    <w:abstractNumId w:val="4"/>
  </w:num>
  <w:num w:numId="17">
    <w:abstractNumId w:val="9"/>
  </w:num>
  <w:num w:numId="18">
    <w:abstractNumId w:val="9"/>
  </w:num>
  <w:num w:numId="19">
    <w:abstractNumId w:val="9"/>
  </w:num>
  <w:num w:numId="20">
    <w:abstractNumId w:val="14"/>
  </w:num>
  <w:num w:numId="21">
    <w:abstractNumId w:val="14"/>
  </w:num>
  <w:num w:numId="22">
    <w:abstractNumId w:val="14"/>
  </w:num>
  <w:num w:numId="23">
    <w:abstractNumId w:val="14"/>
  </w:num>
  <w:num w:numId="24">
    <w:abstractNumId w:val="9"/>
  </w:num>
  <w:num w:numId="25">
    <w:abstractNumId w:val="9"/>
  </w:num>
  <w:num w:numId="26">
    <w:abstractNumId w:val="14"/>
  </w:num>
  <w:num w:numId="27">
    <w:abstractNumId w:val="14"/>
  </w:num>
  <w:num w:numId="28">
    <w:abstractNumId w:val="14"/>
  </w:num>
  <w:num w:numId="29">
    <w:abstractNumId w:val="2"/>
  </w:num>
  <w:num w:numId="30">
    <w:abstractNumId w:val="9"/>
  </w:num>
  <w:num w:numId="31">
    <w:abstractNumId w:val="9"/>
  </w:num>
  <w:num w:numId="32">
    <w:abstractNumId w:val="14"/>
  </w:num>
  <w:num w:numId="33">
    <w:abstractNumId w:val="12"/>
  </w:num>
  <w:num w:numId="34">
    <w:abstractNumId w:val="12"/>
  </w:num>
  <w:num w:numId="35">
    <w:abstractNumId w:val="12"/>
  </w:num>
  <w:num w:numId="36">
    <w:abstractNumId w:val="11"/>
  </w:num>
  <w:num w:numId="37">
    <w:abstractNumId w:val="7"/>
  </w:num>
  <w:num w:numId="38">
    <w:abstractNumId w:val="10"/>
  </w:num>
  <w:num w:numId="39">
    <w:abstractNumId w:val="0"/>
  </w:num>
  <w:num w:numId="40">
    <w:abstractNumId w:val="12"/>
  </w:num>
  <w:num w:numId="41">
    <w:abstractNumId w:val="12"/>
  </w:num>
  <w:num w:numId="42">
    <w:abstractNumId w:val="12"/>
  </w:num>
  <w:num w:numId="43">
    <w:abstractNumId w:val="12"/>
  </w:num>
  <w:num w:numId="44">
    <w:abstractNumId w:val="10"/>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MLMwNbU0MjM2NzBR0lEKTi0uzszPAykwMqwFABDLZV4tAAAA"/>
  </w:docVars>
  <w:rsids>
    <w:rsidRoot w:val="00D738D3"/>
    <w:rsid w:val="00005D7E"/>
    <w:rsid w:val="00023604"/>
    <w:rsid w:val="000309F3"/>
    <w:rsid w:val="00030C71"/>
    <w:rsid w:val="00035469"/>
    <w:rsid w:val="00053895"/>
    <w:rsid w:val="00091077"/>
    <w:rsid w:val="000A7AE3"/>
    <w:rsid w:val="000A7DD7"/>
    <w:rsid w:val="000B27CF"/>
    <w:rsid w:val="000B3817"/>
    <w:rsid w:val="000C3C5E"/>
    <w:rsid w:val="000D38AE"/>
    <w:rsid w:val="000E26B2"/>
    <w:rsid w:val="000E26F1"/>
    <w:rsid w:val="000E5691"/>
    <w:rsid w:val="000E5708"/>
    <w:rsid w:val="000E62F3"/>
    <w:rsid w:val="000E7448"/>
    <w:rsid w:val="000F4470"/>
    <w:rsid w:val="000F6E73"/>
    <w:rsid w:val="00103483"/>
    <w:rsid w:val="00103ECD"/>
    <w:rsid w:val="001114C1"/>
    <w:rsid w:val="00114CE9"/>
    <w:rsid w:val="0011679E"/>
    <w:rsid w:val="00145837"/>
    <w:rsid w:val="00152B8F"/>
    <w:rsid w:val="00153043"/>
    <w:rsid w:val="001629E5"/>
    <w:rsid w:val="00172D86"/>
    <w:rsid w:val="00174492"/>
    <w:rsid w:val="00182E0C"/>
    <w:rsid w:val="001915D8"/>
    <w:rsid w:val="001942DC"/>
    <w:rsid w:val="001968BB"/>
    <w:rsid w:val="001B08A6"/>
    <w:rsid w:val="001B0EC7"/>
    <w:rsid w:val="001B279F"/>
    <w:rsid w:val="001C3A06"/>
    <w:rsid w:val="001C683D"/>
    <w:rsid w:val="001F6009"/>
    <w:rsid w:val="00201844"/>
    <w:rsid w:val="0020372D"/>
    <w:rsid w:val="002076CA"/>
    <w:rsid w:val="00226DFD"/>
    <w:rsid w:val="002275EF"/>
    <w:rsid w:val="002352E9"/>
    <w:rsid w:val="002612DA"/>
    <w:rsid w:val="00264CCF"/>
    <w:rsid w:val="00272999"/>
    <w:rsid w:val="00274DD3"/>
    <w:rsid w:val="002836FB"/>
    <w:rsid w:val="00285179"/>
    <w:rsid w:val="0029746F"/>
    <w:rsid w:val="002A6E69"/>
    <w:rsid w:val="002A73F2"/>
    <w:rsid w:val="002A7604"/>
    <w:rsid w:val="002B1EE8"/>
    <w:rsid w:val="002B2539"/>
    <w:rsid w:val="002C5444"/>
    <w:rsid w:val="002C7CE6"/>
    <w:rsid w:val="002D1FA4"/>
    <w:rsid w:val="002D5C37"/>
    <w:rsid w:val="002E21DF"/>
    <w:rsid w:val="002E6ADB"/>
    <w:rsid w:val="002F057B"/>
    <w:rsid w:val="002F0B14"/>
    <w:rsid w:val="002F7653"/>
    <w:rsid w:val="0030102B"/>
    <w:rsid w:val="00303BA9"/>
    <w:rsid w:val="00304C1A"/>
    <w:rsid w:val="003055E4"/>
    <w:rsid w:val="00307760"/>
    <w:rsid w:val="00322726"/>
    <w:rsid w:val="00325D2E"/>
    <w:rsid w:val="003307FC"/>
    <w:rsid w:val="00340531"/>
    <w:rsid w:val="0034114A"/>
    <w:rsid w:val="00346654"/>
    <w:rsid w:val="003508E5"/>
    <w:rsid w:val="00351AAD"/>
    <w:rsid w:val="00353759"/>
    <w:rsid w:val="00360944"/>
    <w:rsid w:val="00366B24"/>
    <w:rsid w:val="00380B22"/>
    <w:rsid w:val="00381BB4"/>
    <w:rsid w:val="003825A0"/>
    <w:rsid w:val="00383073"/>
    <w:rsid w:val="00386811"/>
    <w:rsid w:val="00386D11"/>
    <w:rsid w:val="00386DA0"/>
    <w:rsid w:val="0039049C"/>
    <w:rsid w:val="003905A9"/>
    <w:rsid w:val="00393E0A"/>
    <w:rsid w:val="003A06CE"/>
    <w:rsid w:val="003B1A6F"/>
    <w:rsid w:val="003B535F"/>
    <w:rsid w:val="003C06A3"/>
    <w:rsid w:val="003D4B4A"/>
    <w:rsid w:val="003F0655"/>
    <w:rsid w:val="003F1C59"/>
    <w:rsid w:val="0040525C"/>
    <w:rsid w:val="0040730A"/>
    <w:rsid w:val="00413920"/>
    <w:rsid w:val="00417C9D"/>
    <w:rsid w:val="00425F62"/>
    <w:rsid w:val="00437CCB"/>
    <w:rsid w:val="00441374"/>
    <w:rsid w:val="00454A13"/>
    <w:rsid w:val="00454FE9"/>
    <w:rsid w:val="00455606"/>
    <w:rsid w:val="00456EBF"/>
    <w:rsid w:val="004731C1"/>
    <w:rsid w:val="00473C90"/>
    <w:rsid w:val="004744D5"/>
    <w:rsid w:val="004749E1"/>
    <w:rsid w:val="004865DF"/>
    <w:rsid w:val="00487CBA"/>
    <w:rsid w:val="004939D0"/>
    <w:rsid w:val="00496B38"/>
    <w:rsid w:val="00497674"/>
    <w:rsid w:val="004A1659"/>
    <w:rsid w:val="004B10C9"/>
    <w:rsid w:val="004C588C"/>
    <w:rsid w:val="004C7ABF"/>
    <w:rsid w:val="004D3166"/>
    <w:rsid w:val="004D7D81"/>
    <w:rsid w:val="004E6BC9"/>
    <w:rsid w:val="004F0725"/>
    <w:rsid w:val="0050076A"/>
    <w:rsid w:val="00500DBB"/>
    <w:rsid w:val="005015FA"/>
    <w:rsid w:val="0050197F"/>
    <w:rsid w:val="00502010"/>
    <w:rsid w:val="00504A7F"/>
    <w:rsid w:val="005056D1"/>
    <w:rsid w:val="00511D2F"/>
    <w:rsid w:val="00512093"/>
    <w:rsid w:val="00515F71"/>
    <w:rsid w:val="005312F7"/>
    <w:rsid w:val="005449EE"/>
    <w:rsid w:val="00544DB0"/>
    <w:rsid w:val="0055195E"/>
    <w:rsid w:val="00557D5D"/>
    <w:rsid w:val="00566196"/>
    <w:rsid w:val="00566A37"/>
    <w:rsid w:val="00571BBD"/>
    <w:rsid w:val="00571C43"/>
    <w:rsid w:val="00577411"/>
    <w:rsid w:val="00581512"/>
    <w:rsid w:val="00597504"/>
    <w:rsid w:val="005A195E"/>
    <w:rsid w:val="005A7FF9"/>
    <w:rsid w:val="005B71F0"/>
    <w:rsid w:val="005C1BDB"/>
    <w:rsid w:val="005E0C71"/>
    <w:rsid w:val="005E6A66"/>
    <w:rsid w:val="0060221D"/>
    <w:rsid w:val="00603964"/>
    <w:rsid w:val="00610248"/>
    <w:rsid w:val="00613B6A"/>
    <w:rsid w:val="00617138"/>
    <w:rsid w:val="006172AA"/>
    <w:rsid w:val="00634265"/>
    <w:rsid w:val="00634BF0"/>
    <w:rsid w:val="00637644"/>
    <w:rsid w:val="006426E6"/>
    <w:rsid w:val="006514B8"/>
    <w:rsid w:val="00670109"/>
    <w:rsid w:val="0067202A"/>
    <w:rsid w:val="00681671"/>
    <w:rsid w:val="00685031"/>
    <w:rsid w:val="00685E95"/>
    <w:rsid w:val="006876A2"/>
    <w:rsid w:val="006876C8"/>
    <w:rsid w:val="00693EBC"/>
    <w:rsid w:val="006947BE"/>
    <w:rsid w:val="006B104E"/>
    <w:rsid w:val="006B4867"/>
    <w:rsid w:val="006B799E"/>
    <w:rsid w:val="006C0DB0"/>
    <w:rsid w:val="006D7239"/>
    <w:rsid w:val="006F0545"/>
    <w:rsid w:val="006F0D09"/>
    <w:rsid w:val="006F3DD7"/>
    <w:rsid w:val="00701B0D"/>
    <w:rsid w:val="0070764E"/>
    <w:rsid w:val="0071472E"/>
    <w:rsid w:val="00717F0A"/>
    <w:rsid w:val="0075012D"/>
    <w:rsid w:val="00757F00"/>
    <w:rsid w:val="00763536"/>
    <w:rsid w:val="00767CBB"/>
    <w:rsid w:val="00775BB5"/>
    <w:rsid w:val="00780144"/>
    <w:rsid w:val="007A6E3F"/>
    <w:rsid w:val="007B12E7"/>
    <w:rsid w:val="007B7623"/>
    <w:rsid w:val="007C3794"/>
    <w:rsid w:val="007D3C10"/>
    <w:rsid w:val="007D5521"/>
    <w:rsid w:val="007E07AD"/>
    <w:rsid w:val="007E584E"/>
    <w:rsid w:val="007F1857"/>
    <w:rsid w:val="00802617"/>
    <w:rsid w:val="00802AD0"/>
    <w:rsid w:val="00803047"/>
    <w:rsid w:val="0080509D"/>
    <w:rsid w:val="008060AD"/>
    <w:rsid w:val="00816146"/>
    <w:rsid w:val="0082145F"/>
    <w:rsid w:val="0082330E"/>
    <w:rsid w:val="00825B41"/>
    <w:rsid w:val="00826510"/>
    <w:rsid w:val="00837F01"/>
    <w:rsid w:val="00852519"/>
    <w:rsid w:val="00853838"/>
    <w:rsid w:val="00853E0B"/>
    <w:rsid w:val="00854E7A"/>
    <w:rsid w:val="00865891"/>
    <w:rsid w:val="00872413"/>
    <w:rsid w:val="00882C26"/>
    <w:rsid w:val="008A3E48"/>
    <w:rsid w:val="008B6C01"/>
    <w:rsid w:val="008C1DBE"/>
    <w:rsid w:val="008C2373"/>
    <w:rsid w:val="008C2A82"/>
    <w:rsid w:val="008C2C16"/>
    <w:rsid w:val="008C770B"/>
    <w:rsid w:val="008C7782"/>
    <w:rsid w:val="008D2B1F"/>
    <w:rsid w:val="008E0D27"/>
    <w:rsid w:val="008E1DA0"/>
    <w:rsid w:val="008E522D"/>
    <w:rsid w:val="008E75B9"/>
    <w:rsid w:val="008F0402"/>
    <w:rsid w:val="008F5015"/>
    <w:rsid w:val="008F5DE0"/>
    <w:rsid w:val="00911660"/>
    <w:rsid w:val="0091597A"/>
    <w:rsid w:val="00916510"/>
    <w:rsid w:val="0092536A"/>
    <w:rsid w:val="0092719C"/>
    <w:rsid w:val="00933AD2"/>
    <w:rsid w:val="0093726F"/>
    <w:rsid w:val="009452DE"/>
    <w:rsid w:val="00945653"/>
    <w:rsid w:val="009547A8"/>
    <w:rsid w:val="009677DC"/>
    <w:rsid w:val="00982818"/>
    <w:rsid w:val="009873BE"/>
    <w:rsid w:val="00994DDD"/>
    <w:rsid w:val="00997AF0"/>
    <w:rsid w:val="00997C42"/>
    <w:rsid w:val="009A5675"/>
    <w:rsid w:val="009B3B6F"/>
    <w:rsid w:val="009B6E2A"/>
    <w:rsid w:val="009B7487"/>
    <w:rsid w:val="009C1A82"/>
    <w:rsid w:val="009E1042"/>
    <w:rsid w:val="00A016A6"/>
    <w:rsid w:val="00A036C7"/>
    <w:rsid w:val="00A06DA2"/>
    <w:rsid w:val="00A10A64"/>
    <w:rsid w:val="00A139DE"/>
    <w:rsid w:val="00A45CCD"/>
    <w:rsid w:val="00A52F6E"/>
    <w:rsid w:val="00A70602"/>
    <w:rsid w:val="00A71296"/>
    <w:rsid w:val="00A84702"/>
    <w:rsid w:val="00A84B46"/>
    <w:rsid w:val="00A910EB"/>
    <w:rsid w:val="00A921F7"/>
    <w:rsid w:val="00AA0A3B"/>
    <w:rsid w:val="00AC589E"/>
    <w:rsid w:val="00AD3BCF"/>
    <w:rsid w:val="00AD797A"/>
    <w:rsid w:val="00AE021F"/>
    <w:rsid w:val="00B17CCA"/>
    <w:rsid w:val="00B2549C"/>
    <w:rsid w:val="00B26955"/>
    <w:rsid w:val="00B333EC"/>
    <w:rsid w:val="00B35E65"/>
    <w:rsid w:val="00B401BD"/>
    <w:rsid w:val="00B431D7"/>
    <w:rsid w:val="00B4386F"/>
    <w:rsid w:val="00B50ECE"/>
    <w:rsid w:val="00B6046D"/>
    <w:rsid w:val="00B6360C"/>
    <w:rsid w:val="00B82F33"/>
    <w:rsid w:val="00B83414"/>
    <w:rsid w:val="00B83AD1"/>
    <w:rsid w:val="00B85918"/>
    <w:rsid w:val="00B90991"/>
    <w:rsid w:val="00B977EC"/>
    <w:rsid w:val="00BA05F6"/>
    <w:rsid w:val="00BA46B0"/>
    <w:rsid w:val="00BA4895"/>
    <w:rsid w:val="00BA6906"/>
    <w:rsid w:val="00BB170C"/>
    <w:rsid w:val="00BB431E"/>
    <w:rsid w:val="00BC3C4A"/>
    <w:rsid w:val="00BC449E"/>
    <w:rsid w:val="00BC4D08"/>
    <w:rsid w:val="00BC6B4B"/>
    <w:rsid w:val="00BD612D"/>
    <w:rsid w:val="00BE22D8"/>
    <w:rsid w:val="00BE3A73"/>
    <w:rsid w:val="00BE4FC4"/>
    <w:rsid w:val="00BF17CC"/>
    <w:rsid w:val="00C0313B"/>
    <w:rsid w:val="00C10868"/>
    <w:rsid w:val="00C216AC"/>
    <w:rsid w:val="00C27AF6"/>
    <w:rsid w:val="00C31AAE"/>
    <w:rsid w:val="00C36548"/>
    <w:rsid w:val="00C42465"/>
    <w:rsid w:val="00C500F1"/>
    <w:rsid w:val="00C53AFA"/>
    <w:rsid w:val="00C545AC"/>
    <w:rsid w:val="00C56887"/>
    <w:rsid w:val="00C73DFA"/>
    <w:rsid w:val="00C776A7"/>
    <w:rsid w:val="00C83C3B"/>
    <w:rsid w:val="00C911EF"/>
    <w:rsid w:val="00C94CF7"/>
    <w:rsid w:val="00CA1FC8"/>
    <w:rsid w:val="00CB7D60"/>
    <w:rsid w:val="00CC2A75"/>
    <w:rsid w:val="00CD1906"/>
    <w:rsid w:val="00CE04B2"/>
    <w:rsid w:val="00CE31E1"/>
    <w:rsid w:val="00CE4774"/>
    <w:rsid w:val="00CE5B0F"/>
    <w:rsid w:val="00D0059A"/>
    <w:rsid w:val="00D00658"/>
    <w:rsid w:val="00D0149D"/>
    <w:rsid w:val="00D14EBB"/>
    <w:rsid w:val="00D15F06"/>
    <w:rsid w:val="00D16C4C"/>
    <w:rsid w:val="00D2713D"/>
    <w:rsid w:val="00D34032"/>
    <w:rsid w:val="00D63AA3"/>
    <w:rsid w:val="00D738D3"/>
    <w:rsid w:val="00D73E21"/>
    <w:rsid w:val="00D7695E"/>
    <w:rsid w:val="00D81E05"/>
    <w:rsid w:val="00D84009"/>
    <w:rsid w:val="00D87114"/>
    <w:rsid w:val="00DA08AD"/>
    <w:rsid w:val="00DA2D2B"/>
    <w:rsid w:val="00DB50A7"/>
    <w:rsid w:val="00DB5C2C"/>
    <w:rsid w:val="00DB7DDC"/>
    <w:rsid w:val="00DC56EB"/>
    <w:rsid w:val="00DC58A6"/>
    <w:rsid w:val="00DD268A"/>
    <w:rsid w:val="00DD5666"/>
    <w:rsid w:val="00DD6C54"/>
    <w:rsid w:val="00E03651"/>
    <w:rsid w:val="00E10135"/>
    <w:rsid w:val="00E16574"/>
    <w:rsid w:val="00E25673"/>
    <w:rsid w:val="00E306C8"/>
    <w:rsid w:val="00E33AC5"/>
    <w:rsid w:val="00E5797D"/>
    <w:rsid w:val="00E6506F"/>
    <w:rsid w:val="00E668E3"/>
    <w:rsid w:val="00E7459E"/>
    <w:rsid w:val="00E81660"/>
    <w:rsid w:val="00E81B65"/>
    <w:rsid w:val="00E87D6C"/>
    <w:rsid w:val="00EA14FE"/>
    <w:rsid w:val="00EA4EA7"/>
    <w:rsid w:val="00EA6160"/>
    <w:rsid w:val="00EB0D99"/>
    <w:rsid w:val="00EC35A6"/>
    <w:rsid w:val="00EC5E3B"/>
    <w:rsid w:val="00EC6936"/>
    <w:rsid w:val="00ED23B4"/>
    <w:rsid w:val="00ED2E53"/>
    <w:rsid w:val="00ED3F2D"/>
    <w:rsid w:val="00ED4ABF"/>
    <w:rsid w:val="00EE0755"/>
    <w:rsid w:val="00EE2438"/>
    <w:rsid w:val="00EE58DB"/>
    <w:rsid w:val="00EF5258"/>
    <w:rsid w:val="00EF672A"/>
    <w:rsid w:val="00F10902"/>
    <w:rsid w:val="00F152DC"/>
    <w:rsid w:val="00F1684B"/>
    <w:rsid w:val="00F22AAE"/>
    <w:rsid w:val="00F378F4"/>
    <w:rsid w:val="00F60D1A"/>
    <w:rsid w:val="00F6735A"/>
    <w:rsid w:val="00F707A5"/>
    <w:rsid w:val="00F732EC"/>
    <w:rsid w:val="00F82993"/>
    <w:rsid w:val="00F8313D"/>
    <w:rsid w:val="00F8335F"/>
    <w:rsid w:val="00F836DA"/>
    <w:rsid w:val="00F863F4"/>
    <w:rsid w:val="00F87C29"/>
    <w:rsid w:val="00F90315"/>
    <w:rsid w:val="00F933E1"/>
    <w:rsid w:val="00F94BFA"/>
    <w:rsid w:val="00FA2880"/>
    <w:rsid w:val="00FA35ED"/>
    <w:rsid w:val="00FB35D8"/>
    <w:rsid w:val="00FB603E"/>
    <w:rsid w:val="00FB79A4"/>
    <w:rsid w:val="00FC5175"/>
    <w:rsid w:val="00FD1206"/>
    <w:rsid w:val="00FD6634"/>
    <w:rsid w:val="00FE32C1"/>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BB819"/>
  <w15:chartTrackingRefBased/>
  <w15:docId w15:val="{970AB990-A097-4974-865A-4F1D869B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50ECE"/>
    <w:pPr>
      <w:widowControl w:val="0"/>
      <w:autoSpaceDE w:val="0"/>
      <w:autoSpaceDN w:val="0"/>
      <w:adjustRightInd w:val="0"/>
      <w:spacing w:after="120"/>
      <w:jc w:val="both"/>
    </w:pPr>
    <w:rPr>
      <w:snapToGrid w:val="0"/>
      <w:sz w:val="24"/>
      <w:szCs w:val="21"/>
    </w:rPr>
  </w:style>
  <w:style w:type="paragraph" w:styleId="1">
    <w:name w:val="heading 1"/>
    <w:next w:val="2"/>
    <w:link w:val="10"/>
    <w:qFormat/>
    <w:rsid w:val="00FD1206"/>
    <w:pPr>
      <w:keepNext/>
      <w:numPr>
        <w:numId w:val="33"/>
      </w:numPr>
      <w:pBdr>
        <w:top w:val="single" w:sz="12" w:space="1" w:color="auto"/>
      </w:pBdr>
      <w:spacing w:before="120" w:after="12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outlineLvl w:val="2"/>
    </w:pPr>
    <w:rPr>
      <w:rFonts w:eastAsia="黑体"/>
      <w:bCs/>
      <w:kern w:val="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basedOn w:val="a1"/>
    <w:link w:val="af6"/>
    <w:uiPriority w:val="34"/>
    <w:qFormat/>
    <w:rsid w:val="0075012D"/>
    <w:pPr>
      <w:ind w:firstLineChars="200" w:firstLine="420"/>
    </w:pPr>
  </w:style>
  <w:style w:type="paragraph" w:customStyle="1" w:styleId="3GPPHeader">
    <w:name w:val="3GPP_Header"/>
    <w:basedOn w:val="a1"/>
    <w:rsid w:val="00D738D3"/>
    <w:pPr>
      <w:tabs>
        <w:tab w:val="left" w:pos="1701"/>
        <w:tab w:val="right" w:pos="9639"/>
      </w:tabs>
      <w:spacing w:after="240"/>
    </w:pPr>
    <w:rPr>
      <w:b/>
    </w:rPr>
  </w:style>
  <w:style w:type="character" w:customStyle="1" w:styleId="10">
    <w:name w:val="标题 1 字符"/>
    <w:link w:val="1"/>
    <w:rsid w:val="00FD1206"/>
    <w:rPr>
      <w:rFonts w:ascii="Arial" w:eastAsia="黑体" w:hAnsi="Arial"/>
      <w:b/>
      <w:sz w:val="32"/>
      <w:szCs w:val="32"/>
    </w:rPr>
  </w:style>
  <w:style w:type="character" w:styleId="af7">
    <w:name w:val="annotation reference"/>
    <w:basedOn w:val="a2"/>
    <w:uiPriority w:val="99"/>
    <w:semiHidden/>
    <w:unhideWhenUsed/>
    <w:rsid w:val="001915D8"/>
    <w:rPr>
      <w:sz w:val="21"/>
      <w:szCs w:val="21"/>
    </w:rPr>
  </w:style>
  <w:style w:type="paragraph" w:styleId="af8">
    <w:name w:val="annotation text"/>
    <w:basedOn w:val="a1"/>
    <w:link w:val="af9"/>
    <w:uiPriority w:val="99"/>
    <w:semiHidden/>
    <w:unhideWhenUsed/>
    <w:rsid w:val="001915D8"/>
    <w:pPr>
      <w:jc w:val="left"/>
    </w:pPr>
  </w:style>
  <w:style w:type="character" w:customStyle="1" w:styleId="af9">
    <w:name w:val="批注文字 字符"/>
    <w:basedOn w:val="a2"/>
    <w:link w:val="af8"/>
    <w:uiPriority w:val="99"/>
    <w:semiHidden/>
    <w:rsid w:val="001915D8"/>
    <w:rPr>
      <w:snapToGrid w:val="0"/>
      <w:sz w:val="21"/>
      <w:szCs w:val="21"/>
    </w:rPr>
  </w:style>
  <w:style w:type="paragraph" w:styleId="afa">
    <w:name w:val="annotation subject"/>
    <w:basedOn w:val="af8"/>
    <w:next w:val="af8"/>
    <w:link w:val="afb"/>
    <w:semiHidden/>
    <w:unhideWhenUsed/>
    <w:rsid w:val="001915D8"/>
    <w:rPr>
      <w:b/>
      <w:bCs/>
    </w:rPr>
  </w:style>
  <w:style w:type="character" w:customStyle="1" w:styleId="afb">
    <w:name w:val="批注主题 字符"/>
    <w:basedOn w:val="af9"/>
    <w:link w:val="afa"/>
    <w:semiHidden/>
    <w:rsid w:val="001915D8"/>
    <w:rPr>
      <w:b/>
      <w:bCs/>
      <w:snapToGrid w:val="0"/>
      <w:sz w:val="21"/>
      <w:szCs w:val="21"/>
    </w:rPr>
  </w:style>
  <w:style w:type="paragraph" w:styleId="afc">
    <w:name w:val="No Spacing"/>
    <w:uiPriority w:val="1"/>
    <w:qFormat/>
    <w:rsid w:val="008E1DA0"/>
    <w:pPr>
      <w:widowControl w:val="0"/>
      <w:autoSpaceDE w:val="0"/>
      <w:autoSpaceDN w:val="0"/>
      <w:adjustRightInd w:val="0"/>
      <w:jc w:val="both"/>
    </w:pPr>
    <w:rPr>
      <w:snapToGrid w:val="0"/>
      <w:sz w:val="21"/>
      <w:szCs w:val="21"/>
    </w:rPr>
  </w:style>
  <w:style w:type="character" w:customStyle="1" w:styleId="af6">
    <w:name w:val="列表段落 字符"/>
    <w:link w:val="af5"/>
    <w:uiPriority w:val="34"/>
    <w:qFormat/>
    <w:locked/>
    <w:rsid w:val="00F863F4"/>
    <w:rPr>
      <w:snapToGrid w:val="0"/>
      <w:sz w:val="21"/>
      <w:szCs w:val="21"/>
    </w:rPr>
  </w:style>
  <w:style w:type="paragraph" w:customStyle="1" w:styleId="B1">
    <w:name w:val="B1"/>
    <w:basedOn w:val="afd"/>
    <w:link w:val="B1Char"/>
    <w:rsid w:val="00DB7DDC"/>
    <w:pPr>
      <w:widowControl/>
      <w:overflowPunct w:val="0"/>
      <w:spacing w:after="180"/>
      <w:ind w:left="568" w:firstLineChars="0" w:hanging="284"/>
      <w:contextualSpacing w:val="0"/>
      <w:jc w:val="left"/>
      <w:textAlignment w:val="baseline"/>
    </w:pPr>
    <w:rPr>
      <w:rFonts w:eastAsia="Times New Roman"/>
      <w:snapToGrid/>
      <w:sz w:val="20"/>
      <w:szCs w:val="20"/>
      <w:lang w:val="en-GB" w:eastAsia="en-GB"/>
    </w:rPr>
  </w:style>
  <w:style w:type="character" w:customStyle="1" w:styleId="B1Char">
    <w:name w:val="B1 Char"/>
    <w:link w:val="B1"/>
    <w:qFormat/>
    <w:rsid w:val="00DB7DDC"/>
    <w:rPr>
      <w:rFonts w:eastAsia="Times New Roman"/>
      <w:lang w:val="en-GB" w:eastAsia="en-GB"/>
    </w:rPr>
  </w:style>
  <w:style w:type="paragraph" w:styleId="afd">
    <w:name w:val="List"/>
    <w:basedOn w:val="a1"/>
    <w:semiHidden/>
    <w:unhideWhenUsed/>
    <w:rsid w:val="00DB7DDC"/>
    <w:pPr>
      <w:ind w:left="200" w:hangingChars="200" w:hanging="200"/>
      <w:contextualSpacing/>
    </w:pPr>
  </w:style>
  <w:style w:type="character" w:customStyle="1" w:styleId="TACChar">
    <w:name w:val="TAC Char"/>
    <w:link w:val="TAC"/>
    <w:qFormat/>
    <w:locked/>
    <w:rsid w:val="00455606"/>
    <w:rPr>
      <w:rFonts w:ascii="Arial" w:eastAsia="Times New Roman" w:hAnsi="Arial" w:cs="Arial"/>
      <w:sz w:val="18"/>
      <w:lang w:eastAsia="en-GB"/>
    </w:rPr>
  </w:style>
  <w:style w:type="paragraph" w:customStyle="1" w:styleId="TAC">
    <w:name w:val="TAC"/>
    <w:basedOn w:val="a1"/>
    <w:link w:val="TACChar"/>
    <w:rsid w:val="00455606"/>
    <w:pPr>
      <w:keepNext/>
      <w:keepLines/>
      <w:widowControl/>
      <w:overflowPunct w:val="0"/>
      <w:spacing w:after="0"/>
      <w:jc w:val="center"/>
    </w:pPr>
    <w:rPr>
      <w:rFonts w:ascii="Arial" w:eastAsia="Times New Roman" w:hAnsi="Arial" w:cs="Arial"/>
      <w:snapToGrid/>
      <w:sz w:val="18"/>
      <w:szCs w:val="20"/>
      <w:lang w:eastAsia="en-GB"/>
    </w:rPr>
  </w:style>
  <w:style w:type="character" w:customStyle="1" w:styleId="TANChar">
    <w:name w:val="TAN Char"/>
    <w:link w:val="TAN"/>
    <w:qFormat/>
    <w:locked/>
    <w:rsid w:val="00455606"/>
    <w:rPr>
      <w:rFonts w:ascii="Arial" w:eastAsia="Times New Roman" w:hAnsi="Arial" w:cs="Arial"/>
      <w:sz w:val="18"/>
      <w:lang w:eastAsia="en-GB"/>
    </w:rPr>
  </w:style>
  <w:style w:type="paragraph" w:customStyle="1" w:styleId="TAN">
    <w:name w:val="TAN"/>
    <w:basedOn w:val="a1"/>
    <w:link w:val="TANChar"/>
    <w:rsid w:val="00455606"/>
    <w:pPr>
      <w:keepNext/>
      <w:keepLines/>
      <w:widowControl/>
      <w:overflowPunct w:val="0"/>
      <w:spacing w:after="0"/>
      <w:ind w:left="851" w:hanging="851"/>
      <w:jc w:val="left"/>
    </w:pPr>
    <w:rPr>
      <w:rFonts w:ascii="Arial" w:eastAsia="Times New Roman" w:hAnsi="Arial" w:cs="Arial"/>
      <w:snapToGrid/>
      <w:sz w:val="18"/>
      <w:szCs w:val="20"/>
      <w:lang w:eastAsia="en-GB"/>
    </w:rPr>
  </w:style>
  <w:style w:type="paragraph" w:customStyle="1" w:styleId="TAH">
    <w:name w:val="TAH"/>
    <w:basedOn w:val="TAC"/>
    <w:link w:val="TAHCar"/>
    <w:rsid w:val="00455606"/>
    <w:rPr>
      <w:b/>
    </w:rPr>
  </w:style>
  <w:style w:type="character" w:customStyle="1" w:styleId="TAHCar">
    <w:name w:val="TAH Car"/>
    <w:link w:val="TAH"/>
    <w:qFormat/>
    <w:locked/>
    <w:rsid w:val="00455606"/>
    <w:rPr>
      <w:rFonts w:ascii="Arial" w:eastAsia="Times New Roman" w:hAnsi="Arial" w:cs="Arial"/>
      <w:b/>
      <w:sz w:val="18"/>
      <w:lang w:eastAsia="en-GB"/>
    </w:rPr>
  </w:style>
  <w:style w:type="character" w:customStyle="1" w:styleId="katex-mathml">
    <w:name w:val="katex-mathml"/>
    <w:basedOn w:val="a2"/>
    <w:rsid w:val="005A195E"/>
  </w:style>
  <w:style w:type="character" w:customStyle="1" w:styleId="mord">
    <w:name w:val="mord"/>
    <w:basedOn w:val="a2"/>
    <w:rsid w:val="005A1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01371">
      <w:bodyDiv w:val="1"/>
      <w:marLeft w:val="0"/>
      <w:marRight w:val="0"/>
      <w:marTop w:val="0"/>
      <w:marBottom w:val="0"/>
      <w:divBdr>
        <w:top w:val="none" w:sz="0" w:space="0" w:color="auto"/>
        <w:left w:val="none" w:sz="0" w:space="0" w:color="auto"/>
        <w:bottom w:val="none" w:sz="0" w:space="0" w:color="auto"/>
        <w:right w:val="none" w:sz="0" w:space="0" w:color="auto"/>
      </w:divBdr>
    </w:div>
    <w:div w:id="187135984">
      <w:bodyDiv w:val="1"/>
      <w:marLeft w:val="0"/>
      <w:marRight w:val="0"/>
      <w:marTop w:val="0"/>
      <w:marBottom w:val="0"/>
      <w:divBdr>
        <w:top w:val="none" w:sz="0" w:space="0" w:color="auto"/>
        <w:left w:val="none" w:sz="0" w:space="0" w:color="auto"/>
        <w:bottom w:val="none" w:sz="0" w:space="0" w:color="auto"/>
        <w:right w:val="none" w:sz="0" w:space="0" w:color="auto"/>
      </w:divBdr>
    </w:div>
    <w:div w:id="195773718">
      <w:bodyDiv w:val="1"/>
      <w:marLeft w:val="0"/>
      <w:marRight w:val="0"/>
      <w:marTop w:val="0"/>
      <w:marBottom w:val="0"/>
      <w:divBdr>
        <w:top w:val="none" w:sz="0" w:space="0" w:color="auto"/>
        <w:left w:val="none" w:sz="0" w:space="0" w:color="auto"/>
        <w:bottom w:val="none" w:sz="0" w:space="0" w:color="auto"/>
        <w:right w:val="none" w:sz="0" w:space="0" w:color="auto"/>
      </w:divBdr>
    </w:div>
    <w:div w:id="205266557">
      <w:bodyDiv w:val="1"/>
      <w:marLeft w:val="0"/>
      <w:marRight w:val="0"/>
      <w:marTop w:val="0"/>
      <w:marBottom w:val="0"/>
      <w:divBdr>
        <w:top w:val="none" w:sz="0" w:space="0" w:color="auto"/>
        <w:left w:val="none" w:sz="0" w:space="0" w:color="auto"/>
        <w:bottom w:val="none" w:sz="0" w:space="0" w:color="auto"/>
        <w:right w:val="none" w:sz="0" w:space="0" w:color="auto"/>
      </w:divBdr>
    </w:div>
    <w:div w:id="422069313">
      <w:bodyDiv w:val="1"/>
      <w:marLeft w:val="0"/>
      <w:marRight w:val="0"/>
      <w:marTop w:val="0"/>
      <w:marBottom w:val="0"/>
      <w:divBdr>
        <w:top w:val="none" w:sz="0" w:space="0" w:color="auto"/>
        <w:left w:val="none" w:sz="0" w:space="0" w:color="auto"/>
        <w:bottom w:val="none" w:sz="0" w:space="0" w:color="auto"/>
        <w:right w:val="none" w:sz="0" w:space="0" w:color="auto"/>
      </w:divBdr>
    </w:div>
    <w:div w:id="432480145">
      <w:bodyDiv w:val="1"/>
      <w:marLeft w:val="0"/>
      <w:marRight w:val="0"/>
      <w:marTop w:val="0"/>
      <w:marBottom w:val="0"/>
      <w:divBdr>
        <w:top w:val="none" w:sz="0" w:space="0" w:color="auto"/>
        <w:left w:val="none" w:sz="0" w:space="0" w:color="auto"/>
        <w:bottom w:val="none" w:sz="0" w:space="0" w:color="auto"/>
        <w:right w:val="none" w:sz="0" w:space="0" w:color="auto"/>
      </w:divBdr>
    </w:div>
    <w:div w:id="543106360">
      <w:bodyDiv w:val="1"/>
      <w:marLeft w:val="0"/>
      <w:marRight w:val="0"/>
      <w:marTop w:val="0"/>
      <w:marBottom w:val="0"/>
      <w:divBdr>
        <w:top w:val="none" w:sz="0" w:space="0" w:color="auto"/>
        <w:left w:val="none" w:sz="0" w:space="0" w:color="auto"/>
        <w:bottom w:val="none" w:sz="0" w:space="0" w:color="auto"/>
        <w:right w:val="none" w:sz="0" w:space="0" w:color="auto"/>
      </w:divBdr>
    </w:div>
    <w:div w:id="693113559">
      <w:bodyDiv w:val="1"/>
      <w:marLeft w:val="0"/>
      <w:marRight w:val="0"/>
      <w:marTop w:val="0"/>
      <w:marBottom w:val="0"/>
      <w:divBdr>
        <w:top w:val="none" w:sz="0" w:space="0" w:color="auto"/>
        <w:left w:val="none" w:sz="0" w:space="0" w:color="auto"/>
        <w:bottom w:val="none" w:sz="0" w:space="0" w:color="auto"/>
        <w:right w:val="none" w:sz="0" w:space="0" w:color="auto"/>
      </w:divBdr>
    </w:div>
    <w:div w:id="860556006">
      <w:bodyDiv w:val="1"/>
      <w:marLeft w:val="0"/>
      <w:marRight w:val="0"/>
      <w:marTop w:val="0"/>
      <w:marBottom w:val="0"/>
      <w:divBdr>
        <w:top w:val="none" w:sz="0" w:space="0" w:color="auto"/>
        <w:left w:val="none" w:sz="0" w:space="0" w:color="auto"/>
        <w:bottom w:val="none" w:sz="0" w:space="0" w:color="auto"/>
        <w:right w:val="none" w:sz="0" w:space="0" w:color="auto"/>
      </w:divBdr>
    </w:div>
    <w:div w:id="1023628599">
      <w:bodyDiv w:val="1"/>
      <w:marLeft w:val="0"/>
      <w:marRight w:val="0"/>
      <w:marTop w:val="0"/>
      <w:marBottom w:val="0"/>
      <w:divBdr>
        <w:top w:val="none" w:sz="0" w:space="0" w:color="auto"/>
        <w:left w:val="none" w:sz="0" w:space="0" w:color="auto"/>
        <w:bottom w:val="none" w:sz="0" w:space="0" w:color="auto"/>
        <w:right w:val="none" w:sz="0" w:space="0" w:color="auto"/>
      </w:divBdr>
    </w:div>
    <w:div w:id="1035425735">
      <w:bodyDiv w:val="1"/>
      <w:marLeft w:val="0"/>
      <w:marRight w:val="0"/>
      <w:marTop w:val="0"/>
      <w:marBottom w:val="0"/>
      <w:divBdr>
        <w:top w:val="none" w:sz="0" w:space="0" w:color="auto"/>
        <w:left w:val="none" w:sz="0" w:space="0" w:color="auto"/>
        <w:bottom w:val="none" w:sz="0" w:space="0" w:color="auto"/>
        <w:right w:val="none" w:sz="0" w:space="0" w:color="auto"/>
      </w:divBdr>
    </w:div>
    <w:div w:id="1123115162">
      <w:bodyDiv w:val="1"/>
      <w:marLeft w:val="0"/>
      <w:marRight w:val="0"/>
      <w:marTop w:val="0"/>
      <w:marBottom w:val="0"/>
      <w:divBdr>
        <w:top w:val="none" w:sz="0" w:space="0" w:color="auto"/>
        <w:left w:val="none" w:sz="0" w:space="0" w:color="auto"/>
        <w:bottom w:val="none" w:sz="0" w:space="0" w:color="auto"/>
        <w:right w:val="none" w:sz="0" w:space="0" w:color="auto"/>
      </w:divBdr>
    </w:div>
    <w:div w:id="1135220802">
      <w:bodyDiv w:val="1"/>
      <w:marLeft w:val="0"/>
      <w:marRight w:val="0"/>
      <w:marTop w:val="0"/>
      <w:marBottom w:val="0"/>
      <w:divBdr>
        <w:top w:val="none" w:sz="0" w:space="0" w:color="auto"/>
        <w:left w:val="none" w:sz="0" w:space="0" w:color="auto"/>
        <w:bottom w:val="none" w:sz="0" w:space="0" w:color="auto"/>
        <w:right w:val="none" w:sz="0" w:space="0" w:color="auto"/>
      </w:divBdr>
    </w:div>
    <w:div w:id="1199704575">
      <w:bodyDiv w:val="1"/>
      <w:marLeft w:val="0"/>
      <w:marRight w:val="0"/>
      <w:marTop w:val="0"/>
      <w:marBottom w:val="0"/>
      <w:divBdr>
        <w:top w:val="none" w:sz="0" w:space="0" w:color="auto"/>
        <w:left w:val="none" w:sz="0" w:space="0" w:color="auto"/>
        <w:bottom w:val="none" w:sz="0" w:space="0" w:color="auto"/>
        <w:right w:val="none" w:sz="0" w:space="0" w:color="auto"/>
      </w:divBdr>
    </w:div>
    <w:div w:id="1247882562">
      <w:bodyDiv w:val="1"/>
      <w:marLeft w:val="0"/>
      <w:marRight w:val="0"/>
      <w:marTop w:val="0"/>
      <w:marBottom w:val="0"/>
      <w:divBdr>
        <w:top w:val="none" w:sz="0" w:space="0" w:color="auto"/>
        <w:left w:val="none" w:sz="0" w:space="0" w:color="auto"/>
        <w:bottom w:val="none" w:sz="0" w:space="0" w:color="auto"/>
        <w:right w:val="none" w:sz="0" w:space="0" w:color="auto"/>
      </w:divBdr>
    </w:div>
    <w:div w:id="1426147389">
      <w:bodyDiv w:val="1"/>
      <w:marLeft w:val="0"/>
      <w:marRight w:val="0"/>
      <w:marTop w:val="0"/>
      <w:marBottom w:val="0"/>
      <w:divBdr>
        <w:top w:val="none" w:sz="0" w:space="0" w:color="auto"/>
        <w:left w:val="none" w:sz="0" w:space="0" w:color="auto"/>
        <w:bottom w:val="none" w:sz="0" w:space="0" w:color="auto"/>
        <w:right w:val="none" w:sz="0" w:space="0" w:color="auto"/>
      </w:divBdr>
    </w:div>
    <w:div w:id="1531917679">
      <w:bodyDiv w:val="1"/>
      <w:marLeft w:val="0"/>
      <w:marRight w:val="0"/>
      <w:marTop w:val="0"/>
      <w:marBottom w:val="0"/>
      <w:divBdr>
        <w:top w:val="none" w:sz="0" w:space="0" w:color="auto"/>
        <w:left w:val="none" w:sz="0" w:space="0" w:color="auto"/>
        <w:bottom w:val="none" w:sz="0" w:space="0" w:color="auto"/>
        <w:right w:val="none" w:sz="0" w:space="0" w:color="auto"/>
      </w:divBdr>
    </w:div>
    <w:div w:id="1613123627">
      <w:bodyDiv w:val="1"/>
      <w:marLeft w:val="0"/>
      <w:marRight w:val="0"/>
      <w:marTop w:val="0"/>
      <w:marBottom w:val="0"/>
      <w:divBdr>
        <w:top w:val="none" w:sz="0" w:space="0" w:color="auto"/>
        <w:left w:val="none" w:sz="0" w:space="0" w:color="auto"/>
        <w:bottom w:val="none" w:sz="0" w:space="0" w:color="auto"/>
        <w:right w:val="none" w:sz="0" w:space="0" w:color="auto"/>
      </w:divBdr>
      <w:divsChild>
        <w:div w:id="1902521610">
          <w:marLeft w:val="0"/>
          <w:marRight w:val="0"/>
          <w:marTop w:val="0"/>
          <w:marBottom w:val="0"/>
          <w:divBdr>
            <w:top w:val="none" w:sz="0" w:space="0" w:color="auto"/>
            <w:left w:val="none" w:sz="0" w:space="0" w:color="auto"/>
            <w:bottom w:val="none" w:sz="0" w:space="0" w:color="auto"/>
            <w:right w:val="none" w:sz="0" w:space="0" w:color="auto"/>
          </w:divBdr>
          <w:divsChild>
            <w:div w:id="2061703426">
              <w:marLeft w:val="0"/>
              <w:marRight w:val="0"/>
              <w:marTop w:val="0"/>
              <w:marBottom w:val="0"/>
              <w:divBdr>
                <w:top w:val="none" w:sz="0" w:space="0" w:color="auto"/>
                <w:left w:val="none" w:sz="0" w:space="0" w:color="auto"/>
                <w:bottom w:val="none" w:sz="0" w:space="0" w:color="auto"/>
                <w:right w:val="none" w:sz="0" w:space="0" w:color="auto"/>
              </w:divBdr>
              <w:divsChild>
                <w:div w:id="211698215">
                  <w:marLeft w:val="0"/>
                  <w:marRight w:val="0"/>
                  <w:marTop w:val="0"/>
                  <w:marBottom w:val="0"/>
                  <w:divBdr>
                    <w:top w:val="none" w:sz="0" w:space="0" w:color="auto"/>
                    <w:left w:val="none" w:sz="0" w:space="0" w:color="auto"/>
                    <w:bottom w:val="none" w:sz="0" w:space="0" w:color="auto"/>
                    <w:right w:val="none" w:sz="0" w:space="0" w:color="auto"/>
                  </w:divBdr>
                  <w:divsChild>
                    <w:div w:id="635378103">
                      <w:marLeft w:val="0"/>
                      <w:marRight w:val="0"/>
                      <w:marTop w:val="0"/>
                      <w:marBottom w:val="0"/>
                      <w:divBdr>
                        <w:top w:val="none" w:sz="0" w:space="0" w:color="auto"/>
                        <w:left w:val="none" w:sz="0" w:space="0" w:color="auto"/>
                        <w:bottom w:val="none" w:sz="0" w:space="0" w:color="auto"/>
                        <w:right w:val="none" w:sz="0" w:space="0" w:color="auto"/>
                      </w:divBdr>
                      <w:divsChild>
                        <w:div w:id="1237084211">
                          <w:marLeft w:val="0"/>
                          <w:marRight w:val="0"/>
                          <w:marTop w:val="0"/>
                          <w:marBottom w:val="0"/>
                          <w:divBdr>
                            <w:top w:val="none" w:sz="0" w:space="0" w:color="auto"/>
                            <w:left w:val="none" w:sz="0" w:space="0" w:color="auto"/>
                            <w:bottom w:val="none" w:sz="0" w:space="0" w:color="auto"/>
                            <w:right w:val="none" w:sz="0" w:space="0" w:color="auto"/>
                          </w:divBdr>
                          <w:divsChild>
                            <w:div w:id="136717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0204306">
      <w:bodyDiv w:val="1"/>
      <w:marLeft w:val="0"/>
      <w:marRight w:val="0"/>
      <w:marTop w:val="0"/>
      <w:marBottom w:val="0"/>
      <w:divBdr>
        <w:top w:val="none" w:sz="0" w:space="0" w:color="auto"/>
        <w:left w:val="none" w:sz="0" w:space="0" w:color="auto"/>
        <w:bottom w:val="none" w:sz="0" w:space="0" w:color="auto"/>
        <w:right w:val="none" w:sz="0" w:space="0" w:color="auto"/>
      </w:divBdr>
      <w:divsChild>
        <w:div w:id="809135338">
          <w:marLeft w:val="0"/>
          <w:marRight w:val="0"/>
          <w:marTop w:val="0"/>
          <w:marBottom w:val="0"/>
          <w:divBdr>
            <w:top w:val="none" w:sz="0" w:space="0" w:color="auto"/>
            <w:left w:val="none" w:sz="0" w:space="0" w:color="auto"/>
            <w:bottom w:val="none" w:sz="0" w:space="0" w:color="auto"/>
            <w:right w:val="none" w:sz="0" w:space="0" w:color="auto"/>
          </w:divBdr>
          <w:divsChild>
            <w:div w:id="1125273410">
              <w:marLeft w:val="0"/>
              <w:marRight w:val="0"/>
              <w:marTop w:val="0"/>
              <w:marBottom w:val="0"/>
              <w:divBdr>
                <w:top w:val="none" w:sz="0" w:space="0" w:color="auto"/>
                <w:left w:val="none" w:sz="0" w:space="0" w:color="auto"/>
                <w:bottom w:val="none" w:sz="0" w:space="0" w:color="auto"/>
                <w:right w:val="none" w:sz="0" w:space="0" w:color="auto"/>
              </w:divBdr>
              <w:divsChild>
                <w:div w:id="1862818317">
                  <w:marLeft w:val="0"/>
                  <w:marRight w:val="0"/>
                  <w:marTop w:val="0"/>
                  <w:marBottom w:val="0"/>
                  <w:divBdr>
                    <w:top w:val="none" w:sz="0" w:space="0" w:color="auto"/>
                    <w:left w:val="none" w:sz="0" w:space="0" w:color="auto"/>
                    <w:bottom w:val="none" w:sz="0" w:space="0" w:color="auto"/>
                    <w:right w:val="none" w:sz="0" w:space="0" w:color="auto"/>
                  </w:divBdr>
                  <w:divsChild>
                    <w:div w:id="1180434575">
                      <w:marLeft w:val="0"/>
                      <w:marRight w:val="0"/>
                      <w:marTop w:val="0"/>
                      <w:marBottom w:val="0"/>
                      <w:divBdr>
                        <w:top w:val="none" w:sz="0" w:space="0" w:color="auto"/>
                        <w:left w:val="none" w:sz="0" w:space="0" w:color="auto"/>
                        <w:bottom w:val="none" w:sz="0" w:space="0" w:color="auto"/>
                        <w:right w:val="none" w:sz="0" w:space="0" w:color="auto"/>
                      </w:divBdr>
                      <w:divsChild>
                        <w:div w:id="820583928">
                          <w:marLeft w:val="0"/>
                          <w:marRight w:val="0"/>
                          <w:marTop w:val="0"/>
                          <w:marBottom w:val="0"/>
                          <w:divBdr>
                            <w:top w:val="none" w:sz="0" w:space="0" w:color="auto"/>
                            <w:left w:val="none" w:sz="0" w:space="0" w:color="auto"/>
                            <w:bottom w:val="none" w:sz="0" w:space="0" w:color="auto"/>
                            <w:right w:val="none" w:sz="0" w:space="0" w:color="auto"/>
                          </w:divBdr>
                          <w:divsChild>
                            <w:div w:id="150189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503539">
      <w:bodyDiv w:val="1"/>
      <w:marLeft w:val="0"/>
      <w:marRight w:val="0"/>
      <w:marTop w:val="0"/>
      <w:marBottom w:val="0"/>
      <w:divBdr>
        <w:top w:val="none" w:sz="0" w:space="0" w:color="auto"/>
        <w:left w:val="none" w:sz="0" w:space="0" w:color="auto"/>
        <w:bottom w:val="none" w:sz="0" w:space="0" w:color="auto"/>
        <w:right w:val="none" w:sz="0" w:space="0" w:color="auto"/>
      </w:divBdr>
    </w:div>
    <w:div w:id="1969892925">
      <w:bodyDiv w:val="1"/>
      <w:marLeft w:val="0"/>
      <w:marRight w:val="0"/>
      <w:marTop w:val="0"/>
      <w:marBottom w:val="0"/>
      <w:divBdr>
        <w:top w:val="none" w:sz="0" w:space="0" w:color="auto"/>
        <w:left w:val="none" w:sz="0" w:space="0" w:color="auto"/>
        <w:bottom w:val="none" w:sz="0" w:space="0" w:color="auto"/>
        <w:right w:val="none" w:sz="0" w:space="0" w:color="auto"/>
      </w:divBdr>
    </w:div>
    <w:div w:id="20297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B9D6A-96ED-4310-A2A7-EA75C5504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Discussions on RRM requirements for Rel-19 ATG</vt:lpstr>
    </vt:vector>
  </TitlesOfParts>
  <Company>Huawei Technologies Co., Ltd.</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RRM requirements for Rel-19 ATG</dc:title>
  <dc:subject/>
  <dc:creator>Huawei</dc:creator>
  <cp:keywords/>
  <dc:description/>
  <cp:lastModifiedBy>Huawei</cp:lastModifiedBy>
  <cp:revision>2</cp:revision>
  <dcterms:created xsi:type="dcterms:W3CDTF">2024-11-08T11:04:00Z</dcterms:created>
  <dcterms:modified xsi:type="dcterms:W3CDTF">2024-11-08T11:04:00Z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88b34e3769ad6f23a4970b49bf2b1d1fcfec1c2df55dcebac868026c556b9709</vt:lpwstr>
  </property>
  <property fmtid="{D5CDD505-2E9C-101B-9397-08002B2CF9AE}" pid="3" name="_2015_ms_pID_725343">
    <vt:lpwstr>(3)xhusY6u2vydzJZAziY4f+iFCB9dlF3mA8k+lsewci42k1OWAgS3/v8n67fR817oEf9UQ3OO2
fMZWcA2x2+vV/XnmYCk3fyJh3149Y7PtRThom4WvRDxRssiR3m7v2lYjfvu7k1/ciTu1BaE6
KlQpnlsVCWm+/wKiIalHuIEHShV8udYU4UjYPec1vluoKT0i/C5qWihz8w99FF/J+R0QmiU2
AJZCBi5MGoelo9o4hf</vt:lpwstr>
  </property>
  <property fmtid="{D5CDD505-2E9C-101B-9397-08002B2CF9AE}" pid="4" name="_2015_ms_pID_7253431">
    <vt:lpwstr>+T+fr7uGDpEFXiwVnriEVQMhIixC7tu6i1fCREz0AYc1J4st6kIbT+
DiH2ABIeTP7+LiF4XMr8w3CaEG+b2RDSjOuxbwc/zhbpgCmjY8oxlWLvD1LBcnZ36GssuUzZ
wmemZdyyBOzFQ35j276AXOv0pl6wBJEFR2N+Mp+mjXWZoD4cwkm/rNub6Q/p84kR0y8+04qt
5uLTClZHNLg1Tc0nPlQhLmxCBwm9zQZHIwaP</vt:lpwstr>
  </property>
  <property fmtid="{D5CDD505-2E9C-101B-9397-08002B2CF9AE}" pid="5" name="_2015_ms_pID_7253432">
    <vt:lpwstr>pQ==</vt:lpwstr>
  </property>
</Properties>
</file>