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5ABD" w14:textId="572F82E2" w:rsidR="002D3513" w:rsidRPr="00267521" w:rsidRDefault="002D3513" w:rsidP="002D3513">
      <w:pPr>
        <w:pStyle w:val="CRCoverPage"/>
        <w:tabs>
          <w:tab w:val="right" w:pos="9639"/>
          <w:tab w:val="right" w:pos="13323"/>
        </w:tabs>
        <w:spacing w:after="0"/>
        <w:rPr>
          <w:rFonts w:ascii="宋体" w:eastAsia="宋体" w:hAnsi="宋体" w:cs="Arial"/>
          <w:b/>
          <w:bCs/>
          <w:sz w:val="24"/>
          <w:szCs w:val="24"/>
          <w:lang w:eastAsia="zh-CN"/>
        </w:rPr>
      </w:pPr>
      <w:bookmarkStart w:id="0" w:name="_Toc193024528"/>
      <w:bookmarkStart w:id="1" w:name="_Toc20425639"/>
      <w:bookmarkStart w:id="2" w:name="_Toc29321035"/>
      <w:bookmarkStart w:id="3" w:name="_Toc36219218"/>
      <w:bookmarkStart w:id="4" w:name="_Toc36219894"/>
      <w:bookmarkStart w:id="5" w:name="_Toc36513314"/>
      <w:bookmarkStart w:id="6" w:name="_Toc46449372"/>
      <w:bookmarkStart w:id="7" w:name="_Toc46489159"/>
      <w:bookmarkStart w:id="8" w:name="_Toc52494993"/>
      <w:bookmarkStart w:id="9" w:name="_Toc60781162"/>
      <w:bookmarkStart w:id="10" w:name="_Toc139021497"/>
      <w:r>
        <w:rPr>
          <w:rFonts w:cs="Arial"/>
          <w:b/>
          <w:bCs/>
          <w:sz w:val="24"/>
          <w:szCs w:val="24"/>
        </w:rPr>
        <w:t>3GPP TSG-RAN WG2 Meeting #12</w:t>
      </w:r>
      <w:r w:rsidR="00DF2345">
        <w:rPr>
          <w:rFonts w:cs="Arial"/>
          <w:b/>
          <w:bCs/>
          <w:sz w:val="24"/>
          <w:szCs w:val="24"/>
        </w:rPr>
        <w:t>8</w:t>
      </w:r>
      <w:r w:rsidRPr="00716B86">
        <w:rPr>
          <w:rFonts w:cs="Arial"/>
          <w:b/>
          <w:bCs/>
          <w:sz w:val="24"/>
          <w:szCs w:val="24"/>
        </w:rPr>
        <w:tab/>
      </w:r>
      <w:r w:rsidR="00CE7BE9" w:rsidRPr="00CE7BE9">
        <w:rPr>
          <w:rFonts w:cs="Arial"/>
          <w:b/>
          <w:bCs/>
          <w:i/>
          <w:sz w:val="24"/>
          <w:szCs w:val="24"/>
        </w:rPr>
        <w:t>R2-2410971</w:t>
      </w:r>
    </w:p>
    <w:p w14:paraId="4470DCB3" w14:textId="2569FDA4" w:rsidR="002D3513" w:rsidRPr="00557614" w:rsidRDefault="00DF2345" w:rsidP="002D3513">
      <w:pPr>
        <w:tabs>
          <w:tab w:val="left" w:pos="1985"/>
          <w:tab w:val="right" w:pos="9639"/>
        </w:tabs>
        <w:spacing w:after="100" w:afterAutospacing="1"/>
        <w:rPr>
          <w:rFonts w:ascii="Arial" w:hAnsi="Arial" w:cs="Arial"/>
          <w:b/>
          <w:sz w:val="24"/>
          <w:szCs w:val="24"/>
        </w:rPr>
      </w:pPr>
      <w:r w:rsidRPr="00DF2345">
        <w:rPr>
          <w:rFonts w:ascii="Arial" w:hAnsi="Arial" w:cs="Arial"/>
          <w:b/>
          <w:sz w:val="24"/>
          <w:szCs w:val="24"/>
        </w:rPr>
        <w:t>Orlando, US, 18 – 22 Nov, 2024</w:t>
      </w:r>
    </w:p>
    <w:p w14:paraId="119DD200" w14:textId="3F946492" w:rsidR="002D3513" w:rsidRPr="001E74DA" w:rsidRDefault="002D3513" w:rsidP="002D3513">
      <w:pPr>
        <w:tabs>
          <w:tab w:val="left" w:pos="1985"/>
        </w:tabs>
        <w:ind w:left="1980" w:hanging="1980"/>
        <w:rPr>
          <w:rFonts w:cs="Arial"/>
          <w:sz w:val="22"/>
          <w:szCs w:val="22"/>
        </w:rPr>
      </w:pPr>
      <w:r w:rsidRPr="00E47FDB">
        <w:rPr>
          <w:rFonts w:ascii="Arial" w:hAnsi="Arial"/>
          <w:b/>
          <w:sz w:val="22"/>
          <w:szCs w:val="22"/>
        </w:rPr>
        <w:t>Title:</w:t>
      </w:r>
      <w:r w:rsidRPr="00E47FDB">
        <w:rPr>
          <w:rFonts w:ascii="Arial" w:hAnsi="Arial"/>
          <w:sz w:val="22"/>
          <w:szCs w:val="22"/>
        </w:rPr>
        <w:t xml:space="preserve"> </w:t>
      </w:r>
      <w:r w:rsidRPr="00E47FDB">
        <w:rPr>
          <w:rFonts w:ascii="Arial" w:hAnsi="Arial"/>
          <w:sz w:val="22"/>
          <w:szCs w:val="22"/>
        </w:rPr>
        <w:tab/>
      </w:r>
      <w:r w:rsidR="00EE2252">
        <w:rPr>
          <w:rFonts w:ascii="Arial" w:hAnsi="Arial"/>
          <w:sz w:val="22"/>
          <w:szCs w:val="22"/>
        </w:rPr>
        <w:t>Report</w:t>
      </w:r>
      <w:r w:rsidR="00416B28">
        <w:rPr>
          <w:rFonts w:ascii="Arial" w:hAnsi="Arial"/>
          <w:sz w:val="22"/>
          <w:szCs w:val="22"/>
        </w:rPr>
        <w:t xml:space="preserve"> of </w:t>
      </w:r>
      <w:r w:rsidR="00416B28" w:rsidRPr="00416B28">
        <w:rPr>
          <w:rFonts w:ascii="Arial" w:hAnsi="Arial"/>
          <w:sz w:val="22"/>
          <w:szCs w:val="22"/>
        </w:rPr>
        <w:t>[</w:t>
      </w:r>
      <w:r w:rsidR="00906360" w:rsidRPr="00906360">
        <w:rPr>
          <w:rFonts w:ascii="Arial" w:hAnsi="Arial"/>
          <w:sz w:val="22"/>
          <w:szCs w:val="22"/>
        </w:rPr>
        <w:t>AT128][</w:t>
      </w:r>
      <w:proofErr w:type="gramStart"/>
      <w:r w:rsidR="00906360" w:rsidRPr="00906360">
        <w:rPr>
          <w:rFonts w:ascii="Arial" w:hAnsi="Arial"/>
          <w:sz w:val="22"/>
          <w:szCs w:val="22"/>
        </w:rPr>
        <w:t>301][</w:t>
      </w:r>
      <w:proofErr w:type="gramEnd"/>
      <w:r w:rsidR="00906360" w:rsidRPr="00906360">
        <w:rPr>
          <w:rFonts w:ascii="Arial" w:hAnsi="Arial"/>
          <w:sz w:val="22"/>
          <w:szCs w:val="22"/>
        </w:rPr>
        <w:t>R18 NR NTN] SMTC issues (Huawei)</w:t>
      </w:r>
    </w:p>
    <w:p w14:paraId="6E8E0F3B" w14:textId="608CCDFD" w:rsidR="002D3513" w:rsidRPr="00E47FDB" w:rsidRDefault="002D3513" w:rsidP="002D3513">
      <w:pPr>
        <w:tabs>
          <w:tab w:val="left" w:pos="1985"/>
        </w:tabs>
        <w:rPr>
          <w:rStyle w:val="aff0"/>
          <w:sz w:val="22"/>
          <w:szCs w:val="22"/>
        </w:rPr>
      </w:pPr>
      <w:r w:rsidRPr="00E47FDB">
        <w:rPr>
          <w:rFonts w:ascii="Arial" w:hAnsi="Arial"/>
          <w:b/>
          <w:sz w:val="22"/>
          <w:szCs w:val="22"/>
        </w:rPr>
        <w:t xml:space="preserve">Source: </w:t>
      </w:r>
      <w:r w:rsidRPr="00E47FDB">
        <w:rPr>
          <w:rFonts w:ascii="Arial" w:hAnsi="Arial"/>
          <w:b/>
          <w:sz w:val="22"/>
          <w:szCs w:val="22"/>
        </w:rPr>
        <w:tab/>
      </w:r>
      <w:r w:rsidRPr="00DF0744">
        <w:rPr>
          <w:rStyle w:val="aff0"/>
          <w:sz w:val="22"/>
          <w:szCs w:val="22"/>
        </w:rPr>
        <w:t>Huawei, HiSilicon</w:t>
      </w:r>
    </w:p>
    <w:p w14:paraId="5AEB4457" w14:textId="1C11D011" w:rsidR="002D3513" w:rsidRPr="00E47FDB" w:rsidRDefault="002D3513" w:rsidP="002D3513">
      <w:pPr>
        <w:tabs>
          <w:tab w:val="left" w:pos="1985"/>
        </w:tabs>
        <w:rPr>
          <w:rStyle w:val="aff0"/>
          <w:sz w:val="22"/>
          <w:szCs w:val="22"/>
        </w:rPr>
      </w:pPr>
      <w:r w:rsidRPr="00E47FDB">
        <w:rPr>
          <w:rFonts w:ascii="Arial" w:hAnsi="Arial"/>
          <w:b/>
          <w:sz w:val="22"/>
          <w:szCs w:val="22"/>
        </w:rPr>
        <w:t>Agenda item:</w:t>
      </w:r>
      <w:r w:rsidRPr="00E47FDB">
        <w:rPr>
          <w:rFonts w:ascii="Arial" w:hAnsi="Arial"/>
          <w:sz w:val="22"/>
          <w:szCs w:val="22"/>
        </w:rPr>
        <w:tab/>
      </w:r>
      <w:r w:rsidR="00DF2345" w:rsidRPr="00DF2345">
        <w:rPr>
          <w:rFonts w:ascii="Arial" w:hAnsi="Arial"/>
          <w:sz w:val="22"/>
          <w:szCs w:val="22"/>
        </w:rPr>
        <w:t>7.4.2</w:t>
      </w:r>
    </w:p>
    <w:p w14:paraId="0EA9ABD4" w14:textId="77777777" w:rsidR="002D3513" w:rsidRPr="00E47FDB" w:rsidRDefault="002D3513" w:rsidP="002D3513">
      <w:pPr>
        <w:tabs>
          <w:tab w:val="left" w:pos="1985"/>
        </w:tabs>
        <w:ind w:left="1980" w:hanging="1980"/>
        <w:rPr>
          <w:rStyle w:val="aff0"/>
          <w:sz w:val="22"/>
          <w:szCs w:val="22"/>
        </w:rPr>
      </w:pPr>
      <w:r w:rsidRPr="00E47FDB">
        <w:rPr>
          <w:rFonts w:ascii="Arial" w:hAnsi="Arial"/>
          <w:b/>
          <w:sz w:val="22"/>
          <w:szCs w:val="22"/>
        </w:rPr>
        <w:t>Document Type:</w:t>
      </w:r>
      <w:r w:rsidRPr="00E47FDB">
        <w:rPr>
          <w:rFonts w:ascii="Arial" w:hAnsi="Arial"/>
          <w:sz w:val="22"/>
          <w:szCs w:val="22"/>
        </w:rPr>
        <w:tab/>
        <w:t>Discussion</w:t>
      </w:r>
      <w:r>
        <w:rPr>
          <w:rFonts w:ascii="Arial" w:hAnsi="Arial"/>
          <w:sz w:val="22"/>
          <w:szCs w:val="22"/>
        </w:rPr>
        <w:t xml:space="preserve"> and Decision</w:t>
      </w:r>
    </w:p>
    <w:p w14:paraId="3AF20EA5" w14:textId="20E8E35B" w:rsidR="00302732" w:rsidRDefault="00302732" w:rsidP="00302732">
      <w:pPr>
        <w:pStyle w:val="1"/>
        <w:numPr>
          <w:ilvl w:val="0"/>
          <w:numId w:val="5"/>
        </w:numPr>
        <w:overflowPunct/>
        <w:autoSpaceDE/>
        <w:autoSpaceDN/>
        <w:adjustRightInd/>
        <w:spacing w:before="0"/>
        <w:textAlignment w:val="auto"/>
        <w:rPr>
          <w:rFonts w:eastAsia="宋体"/>
          <w:lang w:eastAsia="zh-CN"/>
        </w:rPr>
      </w:pPr>
      <w:r>
        <w:rPr>
          <w:rFonts w:eastAsia="宋体"/>
          <w:lang w:eastAsia="zh-CN"/>
        </w:rPr>
        <w:t>Introduction</w:t>
      </w:r>
    </w:p>
    <w:p w14:paraId="73289EEA" w14:textId="37225EED" w:rsidR="00302732" w:rsidRDefault="00302732" w:rsidP="00302732">
      <w:pPr>
        <w:rPr>
          <w:rFonts w:eastAsia="宋体"/>
          <w:bCs/>
          <w:lang w:eastAsia="zh-CN"/>
        </w:rPr>
      </w:pPr>
      <w:r w:rsidRPr="00302732">
        <w:rPr>
          <w:rFonts w:eastAsia="宋体" w:hint="eastAsia"/>
          <w:bCs/>
          <w:lang w:eastAsia="zh-CN"/>
        </w:rPr>
        <w:t>T</w:t>
      </w:r>
      <w:r w:rsidRPr="00302732">
        <w:rPr>
          <w:rFonts w:eastAsia="宋体"/>
          <w:bCs/>
          <w:lang w:eastAsia="zh-CN"/>
        </w:rPr>
        <w:t>his report</w:t>
      </w:r>
      <w:r>
        <w:rPr>
          <w:rFonts w:eastAsia="宋体"/>
          <w:bCs/>
          <w:lang w:eastAsia="zh-CN"/>
        </w:rPr>
        <w:t xml:space="preserve"> captures the outcome of the following discussion:</w:t>
      </w:r>
    </w:p>
    <w:p w14:paraId="565855FD" w14:textId="77777777" w:rsidR="00302732" w:rsidRDefault="00302732" w:rsidP="00302732">
      <w:pPr>
        <w:pStyle w:val="EmailDiscussion"/>
      </w:pPr>
      <w:r>
        <w:t>[AT128][</w:t>
      </w:r>
      <w:proofErr w:type="gramStart"/>
      <w:r>
        <w:t>301][</w:t>
      </w:r>
      <w:proofErr w:type="gramEnd"/>
      <w:r>
        <w:t>R18 NR NTN] SMTC issues (Huawei)</w:t>
      </w:r>
    </w:p>
    <w:p w14:paraId="15E7A0A2" w14:textId="77777777" w:rsidR="00302732" w:rsidRDefault="00302732" w:rsidP="00302732">
      <w:pPr>
        <w:pStyle w:val="EmailDiscussion2"/>
      </w:pPr>
      <w:r>
        <w:tab/>
        <w:t xml:space="preserve">Scope: Continue the discussion on p2 and p3 from </w:t>
      </w:r>
      <w:r w:rsidRPr="005F410A">
        <w:t>R2-2410750</w:t>
      </w:r>
    </w:p>
    <w:p w14:paraId="720A1288" w14:textId="77777777" w:rsidR="00302732" w:rsidRDefault="00302732" w:rsidP="00302732">
      <w:pPr>
        <w:pStyle w:val="EmailDiscussion2"/>
      </w:pPr>
      <w:r>
        <w:tab/>
        <w:t>Intended outcome: Report of the offline discussion</w:t>
      </w:r>
    </w:p>
    <w:p w14:paraId="0775E7A4" w14:textId="77777777" w:rsidR="00302732" w:rsidRDefault="00302732" w:rsidP="00302732">
      <w:pPr>
        <w:pStyle w:val="EmailDiscussion2"/>
      </w:pPr>
      <w:r>
        <w:tab/>
        <w:t>F2F offline time and location:  FFS</w:t>
      </w:r>
    </w:p>
    <w:p w14:paraId="51443859" w14:textId="77777777" w:rsidR="00302732" w:rsidRDefault="00302732" w:rsidP="00302732">
      <w:pPr>
        <w:pStyle w:val="EmailDiscussion2"/>
      </w:pPr>
      <w:r>
        <w:tab/>
        <w:t>Deadline for rapporteur's summary (in R2-2410971):  Thursday 2024-11-22 08:00</w:t>
      </w:r>
    </w:p>
    <w:p w14:paraId="42459725" w14:textId="05C6121D" w:rsidR="00302732" w:rsidRPr="00302732" w:rsidRDefault="00302732" w:rsidP="00680DA8">
      <w:pPr>
        <w:tabs>
          <w:tab w:val="left" w:pos="3220"/>
        </w:tabs>
        <w:rPr>
          <w:rFonts w:eastAsia="宋体"/>
          <w:bCs/>
          <w:lang w:eastAsia="zh-CN"/>
        </w:rPr>
      </w:pPr>
    </w:p>
    <w:p w14:paraId="1E319EE9" w14:textId="7FA1DD37" w:rsidR="002D3513" w:rsidRDefault="003A6F94" w:rsidP="002D3513">
      <w:pPr>
        <w:pStyle w:val="1"/>
        <w:numPr>
          <w:ilvl w:val="0"/>
          <w:numId w:val="5"/>
        </w:numPr>
        <w:overflowPunct/>
        <w:autoSpaceDE/>
        <w:autoSpaceDN/>
        <w:adjustRightInd/>
        <w:spacing w:before="0"/>
        <w:textAlignment w:val="auto"/>
        <w:rPr>
          <w:rFonts w:eastAsia="宋体"/>
          <w:lang w:eastAsia="zh-CN"/>
        </w:rPr>
      </w:pPr>
      <w:r>
        <w:rPr>
          <w:rFonts w:eastAsia="宋体"/>
          <w:lang w:eastAsia="zh-CN"/>
        </w:rPr>
        <w:t xml:space="preserve">Issue 1: </w:t>
      </w:r>
      <w:r w:rsidRPr="003A6F94">
        <w:rPr>
          <w:rFonts w:eastAsia="宋体"/>
          <w:lang w:eastAsia="zh-CN"/>
        </w:rPr>
        <w:t>SSB shifting for soft satellite switch</w:t>
      </w:r>
    </w:p>
    <w:p w14:paraId="473824FB" w14:textId="50810517" w:rsidR="00DE7341" w:rsidRDefault="00B41E4E" w:rsidP="00C36B4E">
      <w:pPr>
        <w:jc w:val="center"/>
        <w:rPr>
          <w:rFonts w:eastAsia="宋体"/>
          <w:b/>
          <w:lang w:eastAsia="zh-CN"/>
        </w:rPr>
      </w:pPr>
      <w:bookmarkStart w:id="11" w:name="OLE_LINK1"/>
      <w:bookmarkStart w:id="12" w:name="OLE_LINK2"/>
      <w:r>
        <w:rPr>
          <w:noProof/>
        </w:rPr>
        <w:drawing>
          <wp:inline distT="0" distB="0" distL="0" distR="0" wp14:anchorId="00AD291D" wp14:editId="38FC90A6">
            <wp:extent cx="6120765" cy="3337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337560"/>
                    </a:xfrm>
                    <a:prstGeom prst="rect">
                      <a:avLst/>
                    </a:prstGeom>
                  </pic:spPr>
                </pic:pic>
              </a:graphicData>
            </a:graphic>
          </wp:inline>
        </w:drawing>
      </w:r>
    </w:p>
    <w:p w14:paraId="57173F5E" w14:textId="4A8F287F" w:rsidR="00DE7341" w:rsidRPr="00DE7341" w:rsidRDefault="00B41E4E" w:rsidP="00DE7341">
      <w:pPr>
        <w:rPr>
          <w:rFonts w:eastAsia="宋体"/>
          <w:b/>
          <w:lang w:val="en-US" w:eastAsia="zh-CN"/>
        </w:rPr>
      </w:pPr>
      <w:r>
        <w:rPr>
          <w:rFonts w:eastAsia="宋体"/>
          <w:b/>
          <w:lang w:val="en-US" w:eastAsia="zh-CN"/>
        </w:rPr>
        <w:t xml:space="preserve">When SMTC </w:t>
      </w:r>
      <w:r w:rsidR="00B93917">
        <w:rPr>
          <w:rFonts w:eastAsia="宋体"/>
          <w:b/>
          <w:lang w:val="en-US" w:eastAsia="zh-CN"/>
        </w:rPr>
        <w:t>is</w:t>
      </w:r>
      <w:r>
        <w:rPr>
          <w:rFonts w:eastAsia="宋体"/>
          <w:b/>
          <w:lang w:val="en-US" w:eastAsia="zh-CN"/>
        </w:rPr>
        <w:t xml:space="preserve"> considered:</w:t>
      </w:r>
    </w:p>
    <w:p w14:paraId="09D083E2" w14:textId="673A5CC3" w:rsidR="00DE7341" w:rsidRPr="00B41E4E" w:rsidRDefault="004B1D00" w:rsidP="00DE7341">
      <w:pPr>
        <w:rPr>
          <w:rFonts w:eastAsia="宋体"/>
          <w:b/>
          <w:lang w:val="en-US" w:eastAsia="zh-CN"/>
        </w:rPr>
      </w:pPr>
      <w:r>
        <w:rPr>
          <w:noProof/>
        </w:rPr>
        <w:lastRenderedPageBreak/>
        <w:drawing>
          <wp:inline distT="0" distB="0" distL="0" distR="0" wp14:anchorId="45059F7F" wp14:editId="6E308AE3">
            <wp:extent cx="6120765" cy="17043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704340"/>
                    </a:xfrm>
                    <a:prstGeom prst="rect">
                      <a:avLst/>
                    </a:prstGeom>
                  </pic:spPr>
                </pic:pic>
              </a:graphicData>
            </a:graphic>
          </wp:inline>
        </w:drawing>
      </w:r>
    </w:p>
    <w:p w14:paraId="3E20156E" w14:textId="5B96DB69" w:rsidR="00475E16" w:rsidRPr="00B41E4E" w:rsidRDefault="00E749DA" w:rsidP="00B41E4E">
      <w:pPr>
        <w:rPr>
          <w:rFonts w:eastAsia="宋体" w:hint="eastAsia"/>
          <w:b/>
          <w:lang w:val="en-US" w:eastAsia="zh-CN"/>
        </w:rPr>
      </w:pPr>
      <w:r>
        <w:rPr>
          <w:noProof/>
        </w:rPr>
        <w:drawing>
          <wp:inline distT="0" distB="0" distL="0" distR="0" wp14:anchorId="456C231C" wp14:editId="419B0AE2">
            <wp:extent cx="6120765" cy="163766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1637665"/>
                    </a:xfrm>
                    <a:prstGeom prst="rect">
                      <a:avLst/>
                    </a:prstGeom>
                  </pic:spPr>
                </pic:pic>
              </a:graphicData>
            </a:graphic>
          </wp:inline>
        </w:drawing>
      </w:r>
    </w:p>
    <w:p w14:paraId="0B4F43B1" w14:textId="63F83E62" w:rsidR="007B19FB" w:rsidRDefault="00E749DA" w:rsidP="002D3513">
      <w:pPr>
        <w:rPr>
          <w:rFonts w:eastAsia="宋体"/>
          <w:b/>
          <w:lang w:eastAsia="zh-CN"/>
        </w:rPr>
      </w:pPr>
      <w:r>
        <w:rPr>
          <w:noProof/>
        </w:rPr>
        <w:drawing>
          <wp:inline distT="0" distB="0" distL="0" distR="0" wp14:anchorId="457E1BE1" wp14:editId="42D7F3EC">
            <wp:extent cx="6120765" cy="17195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719580"/>
                    </a:xfrm>
                    <a:prstGeom prst="rect">
                      <a:avLst/>
                    </a:prstGeom>
                  </pic:spPr>
                </pic:pic>
              </a:graphicData>
            </a:graphic>
          </wp:inline>
        </w:drawing>
      </w:r>
    </w:p>
    <w:p w14:paraId="09819669" w14:textId="11914EE0" w:rsidR="00B41E4E" w:rsidRPr="00B41E4E" w:rsidRDefault="00B41E4E" w:rsidP="002D3513">
      <w:pPr>
        <w:rPr>
          <w:rFonts w:eastAsia="宋体" w:hint="eastAsia"/>
          <w:bCs/>
          <w:lang w:eastAsia="zh-CN"/>
        </w:rPr>
      </w:pPr>
      <w:r w:rsidRPr="00B41E4E">
        <w:rPr>
          <w:rFonts w:eastAsia="宋体" w:hint="eastAsia"/>
          <w:bCs/>
          <w:lang w:eastAsia="zh-CN"/>
        </w:rPr>
        <w:t>U</w:t>
      </w:r>
      <w:r w:rsidRPr="00B41E4E">
        <w:rPr>
          <w:rFonts w:eastAsia="宋体"/>
          <w:bCs/>
          <w:lang w:eastAsia="zh-CN"/>
        </w:rPr>
        <w:t xml:space="preserve">nderstanding: </w:t>
      </w:r>
      <w:r>
        <w:rPr>
          <w:rFonts w:eastAsia="宋体"/>
          <w:bCs/>
          <w:lang w:eastAsia="zh-CN"/>
        </w:rPr>
        <w:t>In Option 3, the UE is not required to re-sync with target sat. The SSB location change does not affect the fact that UE is already synchronized with target satellite during [t-Start, t-Service]</w:t>
      </w:r>
    </w:p>
    <w:p w14:paraId="5FC9C603" w14:textId="77777777" w:rsidR="003A6F94" w:rsidRPr="00302732" w:rsidRDefault="003A6F94" w:rsidP="003A6F94">
      <w:pPr>
        <w:rPr>
          <w:rFonts w:eastAsia="宋体"/>
          <w:bCs/>
          <w:lang w:eastAsia="zh-CN"/>
        </w:rPr>
      </w:pPr>
    </w:p>
    <w:p w14:paraId="5ABE40D9" w14:textId="0B7189CF" w:rsidR="003A6F94" w:rsidRDefault="003A6F94" w:rsidP="003A6F94">
      <w:pPr>
        <w:pStyle w:val="1"/>
        <w:numPr>
          <w:ilvl w:val="0"/>
          <w:numId w:val="5"/>
        </w:numPr>
        <w:overflowPunct/>
        <w:autoSpaceDE/>
        <w:autoSpaceDN/>
        <w:adjustRightInd/>
        <w:spacing w:before="0"/>
        <w:textAlignment w:val="auto"/>
        <w:rPr>
          <w:rFonts w:eastAsia="宋体"/>
          <w:lang w:eastAsia="zh-CN"/>
        </w:rPr>
      </w:pPr>
      <w:r>
        <w:rPr>
          <w:rFonts w:eastAsia="宋体"/>
          <w:lang w:eastAsia="zh-CN"/>
        </w:rPr>
        <w:t xml:space="preserve">Issue </w:t>
      </w:r>
      <w:r>
        <w:rPr>
          <w:rFonts w:eastAsia="宋体"/>
          <w:lang w:eastAsia="zh-CN"/>
        </w:rPr>
        <w:t>2</w:t>
      </w:r>
      <w:r>
        <w:rPr>
          <w:rFonts w:eastAsia="宋体"/>
          <w:lang w:eastAsia="zh-CN"/>
        </w:rPr>
        <w:t xml:space="preserve">: </w:t>
      </w:r>
      <w:r w:rsidRPr="003A6F94">
        <w:rPr>
          <w:rFonts w:eastAsia="宋体"/>
          <w:lang w:eastAsia="zh-CN"/>
        </w:rPr>
        <w:t>PCI list in SMTC4</w:t>
      </w:r>
    </w:p>
    <w:p w14:paraId="0272D991" w14:textId="77777777" w:rsidR="00A50B14" w:rsidRPr="00A50B14" w:rsidRDefault="00A50B14" w:rsidP="00A50B14">
      <w:pPr>
        <w:rPr>
          <w:rFonts w:eastAsia="宋体"/>
          <w:bCs/>
          <w:lang w:eastAsia="zh-CN"/>
        </w:rPr>
      </w:pPr>
      <w:r w:rsidRPr="00A50B14">
        <w:rPr>
          <w:rFonts w:eastAsia="宋体"/>
          <w:bCs/>
          <w:lang w:eastAsia="zh-CN"/>
        </w:rPr>
        <w:t>RAN2 to determine whether PCI list in SMTC4 is mandatory, and choose from the following:</w:t>
      </w:r>
    </w:p>
    <w:p w14:paraId="0B113B96" w14:textId="77777777" w:rsidR="00A50B14" w:rsidRPr="00A50B14" w:rsidRDefault="00A50B14" w:rsidP="00A50B14">
      <w:pPr>
        <w:rPr>
          <w:rFonts w:eastAsia="宋体"/>
          <w:bCs/>
          <w:lang w:eastAsia="zh-CN"/>
        </w:rPr>
      </w:pPr>
      <w:r w:rsidRPr="00A50B14">
        <w:rPr>
          <w:rFonts w:eastAsia="宋体" w:hint="eastAsia"/>
          <w:bCs/>
          <w:lang w:eastAsia="zh-CN"/>
        </w:rPr>
        <w:t>•</w:t>
      </w:r>
      <w:r w:rsidRPr="00A50B14">
        <w:rPr>
          <w:rFonts w:eastAsia="宋体"/>
          <w:bCs/>
          <w:lang w:eastAsia="zh-CN"/>
        </w:rPr>
        <w:tab/>
        <w:t xml:space="preserve">Option 1: Clarify in the field description of </w:t>
      </w:r>
      <w:r w:rsidRPr="00A50B14">
        <w:rPr>
          <w:rFonts w:eastAsia="宋体"/>
          <w:bCs/>
          <w:i/>
          <w:iCs/>
          <w:lang w:eastAsia="zh-CN"/>
        </w:rPr>
        <w:t>pci-List</w:t>
      </w:r>
      <w:r w:rsidRPr="00A50B14">
        <w:rPr>
          <w:rFonts w:eastAsia="宋体"/>
          <w:bCs/>
          <w:lang w:eastAsia="zh-CN"/>
        </w:rPr>
        <w:t xml:space="preserve"> of </w:t>
      </w:r>
      <w:r w:rsidRPr="00A50B14">
        <w:rPr>
          <w:rFonts w:eastAsia="宋体"/>
          <w:bCs/>
          <w:i/>
          <w:iCs/>
          <w:lang w:eastAsia="zh-CN"/>
        </w:rPr>
        <w:t>SSB-MTC4</w:t>
      </w:r>
      <w:r w:rsidRPr="00A50B14">
        <w:rPr>
          <w:rFonts w:eastAsia="宋体"/>
          <w:bCs/>
          <w:lang w:eastAsia="zh-CN"/>
        </w:rPr>
        <w:t xml:space="preserve"> that “The network shall always configure this field when </w:t>
      </w:r>
      <w:r w:rsidRPr="00A50B14">
        <w:rPr>
          <w:rFonts w:eastAsia="宋体"/>
          <w:bCs/>
          <w:i/>
          <w:iCs/>
          <w:lang w:eastAsia="zh-CN"/>
        </w:rPr>
        <w:t>SSB-MTC4-r17</w:t>
      </w:r>
      <w:r w:rsidRPr="00A50B14">
        <w:rPr>
          <w:rFonts w:eastAsia="宋体"/>
          <w:bCs/>
          <w:lang w:eastAsia="zh-CN"/>
        </w:rPr>
        <w:t xml:space="preserve"> is configured”;</w:t>
      </w:r>
    </w:p>
    <w:p w14:paraId="4FCAA3EA" w14:textId="4F43C863" w:rsidR="003A6F94" w:rsidRPr="00A50B14" w:rsidRDefault="00A50B14" w:rsidP="00A50B14">
      <w:pPr>
        <w:rPr>
          <w:rFonts w:eastAsia="宋体"/>
          <w:bCs/>
          <w:lang w:eastAsia="zh-CN"/>
        </w:rPr>
      </w:pPr>
      <w:r w:rsidRPr="00A50B14">
        <w:rPr>
          <w:rFonts w:eastAsia="宋体" w:hint="eastAsia"/>
          <w:bCs/>
          <w:lang w:eastAsia="zh-CN"/>
        </w:rPr>
        <w:t>•</w:t>
      </w:r>
      <w:r w:rsidRPr="00A50B14">
        <w:rPr>
          <w:rFonts w:eastAsia="宋体"/>
          <w:bCs/>
          <w:lang w:eastAsia="zh-CN"/>
        </w:rPr>
        <w:tab/>
        <w:t xml:space="preserve">Option 2: Add the following description in 38.331 clause 5.5.2: </w:t>
      </w:r>
    </w:p>
    <w:tbl>
      <w:tblPr>
        <w:tblStyle w:val="af8"/>
        <w:tblW w:w="0" w:type="auto"/>
        <w:tblInd w:w="0" w:type="dxa"/>
        <w:tblLook w:val="04A0" w:firstRow="1" w:lastRow="0" w:firstColumn="1" w:lastColumn="0" w:noHBand="0" w:noVBand="1"/>
      </w:tblPr>
      <w:tblGrid>
        <w:gridCol w:w="9629"/>
      </w:tblGrid>
      <w:tr w:rsidR="00A50B14" w14:paraId="5E016394" w14:textId="77777777" w:rsidTr="00A50B14">
        <w:tc>
          <w:tcPr>
            <w:tcW w:w="9630" w:type="dxa"/>
            <w:tcBorders>
              <w:top w:val="single" w:sz="4" w:space="0" w:color="auto"/>
              <w:left w:val="single" w:sz="4" w:space="0" w:color="auto"/>
              <w:bottom w:val="single" w:sz="4" w:space="0" w:color="auto"/>
              <w:right w:val="single" w:sz="4" w:space="0" w:color="auto"/>
            </w:tcBorders>
            <w:hideMark/>
          </w:tcPr>
          <w:p w14:paraId="57C28F54" w14:textId="77777777" w:rsidR="00A50B14" w:rsidRDefault="00A50B14">
            <w:pPr>
              <w:rPr>
                <w:lang w:eastAsia="en-US"/>
              </w:rPr>
            </w:pPr>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each </w:t>
            </w:r>
            <w:r>
              <w:rPr>
                <w:i/>
                <w:iCs/>
              </w:rPr>
              <w:t>SSB-MTC4</w:t>
            </w:r>
            <w:r>
              <w:t xml:space="preserve"> configuration and use the </w:t>
            </w:r>
            <w:r>
              <w:rPr>
                <w:i/>
              </w:rPr>
              <w:t>duration</w:t>
            </w:r>
            <w:r>
              <w:t xml:space="preserve"> parameter and </w:t>
            </w:r>
            <w:r>
              <w:rPr>
                <w:i/>
              </w:rPr>
              <w:t xml:space="preserve">periodicity </w:t>
            </w:r>
            <w:r>
              <w:t xml:space="preserve">(derived from parameter </w:t>
            </w:r>
            <w:r>
              <w:rPr>
                <w:i/>
              </w:rPr>
              <w:t>periodicityAndOffset</w:t>
            </w:r>
            <w:r>
              <w:t xml:space="preserve">) from the </w:t>
            </w:r>
            <w:r>
              <w:rPr>
                <w:i/>
              </w:rPr>
              <w:t>smtc1</w:t>
            </w:r>
            <w:r>
              <w:t xml:space="preserve"> configuration. The first subframe of each SMTC occasion occurs at an SFN and subframe of the NR SpCell meeting the above condition. </w:t>
            </w:r>
            <w:r>
              <w:rPr>
                <w:color w:val="FF0000"/>
              </w:rPr>
              <w:t xml:space="preserve">If </w:t>
            </w:r>
            <w:r>
              <w:rPr>
                <w:i/>
                <w:color w:val="FF0000"/>
              </w:rPr>
              <w:t>pci-List</w:t>
            </w:r>
            <w:r>
              <w:rPr>
                <w:color w:val="FF0000"/>
              </w:rPr>
              <w:t xml:space="preserve"> parameter is absent in an SSB-MTC4 in SIB2/SIB4, it is up to UE implementation to detect neighbour cells associated with the SMTC, based on the ephemeris information in SIB19.</w:t>
            </w:r>
          </w:p>
        </w:tc>
      </w:tr>
    </w:tbl>
    <w:p w14:paraId="2BFF351B" w14:textId="30B9C541" w:rsidR="003A6F94" w:rsidRDefault="003A6F94" w:rsidP="003A6F94">
      <w:pPr>
        <w:rPr>
          <w:rFonts w:eastAsia="宋体"/>
          <w:lang w:val="en-US" w:eastAsia="zh-CN"/>
        </w:rPr>
      </w:pPr>
    </w:p>
    <w:p w14:paraId="61D10BC1" w14:textId="77777777" w:rsidR="00A50B14" w:rsidRPr="00A50B14" w:rsidRDefault="00A50B14" w:rsidP="003A6F94">
      <w:pPr>
        <w:rPr>
          <w:rFonts w:eastAsia="宋体"/>
          <w:lang w:val="en-US" w:eastAsia="zh-CN"/>
        </w:rPr>
      </w:pPr>
    </w:p>
    <w:p w14:paraId="16E95175" w14:textId="77777777" w:rsidR="009B76B2" w:rsidRPr="009B76B2" w:rsidRDefault="009B76B2" w:rsidP="002D3513">
      <w:pPr>
        <w:spacing w:before="180"/>
        <w:rPr>
          <w:rFonts w:eastAsiaTheme="minorEastAsia"/>
        </w:rPr>
      </w:pPr>
    </w:p>
    <w:p w14:paraId="6AA96FE8" w14:textId="73C73C0C" w:rsidR="002D3513" w:rsidRDefault="00416B28" w:rsidP="002D3513">
      <w:pPr>
        <w:pStyle w:val="1"/>
        <w:numPr>
          <w:ilvl w:val="0"/>
          <w:numId w:val="5"/>
        </w:numPr>
        <w:overflowPunct/>
        <w:autoSpaceDE/>
        <w:autoSpaceDN/>
        <w:adjustRightInd/>
        <w:spacing w:before="0"/>
        <w:textAlignment w:val="auto"/>
        <w:rPr>
          <w:rFonts w:eastAsia="宋体"/>
          <w:lang w:eastAsia="zh-CN"/>
        </w:rPr>
      </w:pPr>
      <w:r>
        <w:rPr>
          <w:rFonts w:eastAsia="宋体"/>
          <w:lang w:eastAsia="zh-CN"/>
        </w:rPr>
        <w:t>Conclusion</w:t>
      </w:r>
    </w:p>
    <w:bookmarkEnd w:id="0"/>
    <w:bookmarkEnd w:id="1"/>
    <w:bookmarkEnd w:id="2"/>
    <w:bookmarkEnd w:id="3"/>
    <w:bookmarkEnd w:id="4"/>
    <w:bookmarkEnd w:id="5"/>
    <w:bookmarkEnd w:id="6"/>
    <w:bookmarkEnd w:id="7"/>
    <w:bookmarkEnd w:id="8"/>
    <w:bookmarkEnd w:id="9"/>
    <w:bookmarkEnd w:id="10"/>
    <w:bookmarkEnd w:id="11"/>
    <w:bookmarkEnd w:id="12"/>
    <w:p w14:paraId="30364EFD" w14:textId="77777777" w:rsidR="003A6F94" w:rsidRDefault="003A6F94" w:rsidP="003A6F94">
      <w:pPr>
        <w:rPr>
          <w:rFonts w:eastAsia="宋体"/>
          <w:lang w:eastAsia="zh-CN"/>
        </w:rPr>
      </w:pPr>
    </w:p>
    <w:p w14:paraId="2E80FB54" w14:textId="77777777" w:rsidR="003A6F94" w:rsidRPr="009B76B2" w:rsidRDefault="003A6F94" w:rsidP="003A6F94">
      <w:pPr>
        <w:spacing w:before="180"/>
        <w:rPr>
          <w:rFonts w:eastAsiaTheme="minorEastAsia"/>
        </w:rPr>
      </w:pPr>
    </w:p>
    <w:p w14:paraId="2536A0EE" w14:textId="1B209CCF" w:rsidR="003A6F94" w:rsidRDefault="003A6F94" w:rsidP="003A6F94">
      <w:pPr>
        <w:pStyle w:val="1"/>
        <w:numPr>
          <w:ilvl w:val="0"/>
          <w:numId w:val="5"/>
        </w:numPr>
        <w:overflowPunct/>
        <w:autoSpaceDE/>
        <w:autoSpaceDN/>
        <w:adjustRightInd/>
        <w:spacing w:before="0"/>
        <w:textAlignment w:val="auto"/>
        <w:rPr>
          <w:rFonts w:eastAsia="宋体"/>
          <w:lang w:eastAsia="zh-CN"/>
        </w:rPr>
      </w:pPr>
      <w:r>
        <w:rPr>
          <w:rFonts w:eastAsia="宋体"/>
          <w:lang w:eastAsia="zh-CN"/>
        </w:rPr>
        <w:t>Reference</w:t>
      </w:r>
    </w:p>
    <w:p w14:paraId="1BF026FD" w14:textId="0D374C27" w:rsidR="003A6F94" w:rsidRDefault="003A6F94" w:rsidP="003A6F94">
      <w:pPr>
        <w:numPr>
          <w:ilvl w:val="0"/>
          <w:numId w:val="10"/>
        </w:numPr>
        <w:textAlignment w:val="auto"/>
        <w:rPr>
          <w:lang w:eastAsia="zh-CN"/>
        </w:rPr>
      </w:pPr>
      <w:bookmarkStart w:id="13" w:name="_Ref181976987"/>
      <w:r w:rsidRPr="003A6F94">
        <w:rPr>
          <w:lang w:eastAsia="zh-CN"/>
        </w:rPr>
        <w:t>R2-2410750</w:t>
      </w:r>
      <w:r>
        <w:rPr>
          <w:lang w:eastAsia="zh-CN"/>
        </w:rPr>
        <w:t xml:space="preserve">, </w:t>
      </w:r>
      <w:r w:rsidRPr="003A6F94">
        <w:rPr>
          <w:lang w:eastAsia="zh-CN"/>
        </w:rPr>
        <w:t>Remaining issues on SMTC</w:t>
      </w:r>
      <w:r>
        <w:rPr>
          <w:lang w:eastAsia="zh-CN"/>
        </w:rPr>
        <w:t xml:space="preserve">, </w:t>
      </w:r>
      <w:r w:rsidRPr="003A6F94">
        <w:rPr>
          <w:lang w:eastAsia="zh-CN"/>
        </w:rPr>
        <w:t>Huawei, HiSilicon</w:t>
      </w:r>
    </w:p>
    <w:bookmarkEnd w:id="13"/>
    <w:p w14:paraId="029F79AB" w14:textId="33A4BB64" w:rsidR="003A6F94" w:rsidRDefault="003A6F94" w:rsidP="003A6F94">
      <w:pPr>
        <w:numPr>
          <w:ilvl w:val="0"/>
          <w:numId w:val="10"/>
        </w:numPr>
        <w:textAlignment w:val="auto"/>
        <w:rPr>
          <w:lang w:eastAsia="zh-CN"/>
        </w:rPr>
      </w:pPr>
      <w:r w:rsidRPr="003A6F94">
        <w:rPr>
          <w:lang w:eastAsia="zh-CN"/>
        </w:rPr>
        <w:t>R2-2410878</w:t>
      </w:r>
      <w:r>
        <w:rPr>
          <w:lang w:eastAsia="zh-CN"/>
        </w:rPr>
        <w:t xml:space="preserve">, </w:t>
      </w:r>
      <w:r w:rsidRPr="003A6F94">
        <w:rPr>
          <w:lang w:eastAsia="zh-CN"/>
        </w:rPr>
        <w:t>Remaining open issues of satellite switch with resync</w:t>
      </w:r>
      <w:r>
        <w:rPr>
          <w:lang w:eastAsia="zh-CN"/>
        </w:rPr>
        <w:t xml:space="preserve">, </w:t>
      </w:r>
      <w:r w:rsidRPr="003A6F94">
        <w:rPr>
          <w:lang w:eastAsia="zh-CN"/>
        </w:rPr>
        <w:t>Sequans Communications</w:t>
      </w:r>
    </w:p>
    <w:p w14:paraId="51B5A8EB" w14:textId="35387575" w:rsidR="003A6F94" w:rsidRPr="003A6F94" w:rsidRDefault="003A6F94" w:rsidP="003A6F94">
      <w:pPr>
        <w:numPr>
          <w:ilvl w:val="0"/>
          <w:numId w:val="10"/>
        </w:numPr>
        <w:textAlignment w:val="auto"/>
        <w:rPr>
          <w:lang w:eastAsia="zh-CN"/>
        </w:rPr>
      </w:pPr>
      <w:r w:rsidRPr="003A6F94">
        <w:rPr>
          <w:lang w:eastAsia="zh-CN"/>
        </w:rPr>
        <w:t>R2-2409187</w:t>
      </w:r>
      <w:r>
        <w:rPr>
          <w:lang w:eastAsia="zh-CN"/>
        </w:rPr>
        <w:t xml:space="preserve">, </w:t>
      </w:r>
      <w:r w:rsidRPr="003A6F94">
        <w:rPr>
          <w:lang w:eastAsia="zh-CN"/>
        </w:rPr>
        <w:t>Remaining open issues</w:t>
      </w:r>
      <w:r>
        <w:rPr>
          <w:lang w:eastAsia="zh-CN"/>
        </w:rPr>
        <w:t xml:space="preserve">, </w:t>
      </w:r>
      <w:r w:rsidRPr="003A6F94">
        <w:rPr>
          <w:lang w:eastAsia="zh-CN"/>
        </w:rPr>
        <w:t>Ericsson</w:t>
      </w:r>
    </w:p>
    <w:p w14:paraId="14D8DAB8" w14:textId="77777777" w:rsidR="007B0F4B" w:rsidRPr="003A6F94" w:rsidRDefault="007B0F4B" w:rsidP="003A6F94">
      <w:pPr>
        <w:rPr>
          <w:rFonts w:eastAsia="宋体"/>
          <w:lang w:eastAsia="zh-CN"/>
        </w:rPr>
      </w:pPr>
    </w:p>
    <w:sectPr w:rsidR="007B0F4B" w:rsidRPr="003A6F94" w:rsidSect="00416B28">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C717" w14:textId="77777777" w:rsidR="00657E09" w:rsidRPr="00D04EF0" w:rsidRDefault="00657E09">
      <w:pPr>
        <w:spacing w:after="0"/>
      </w:pPr>
      <w:r w:rsidRPr="00D04EF0">
        <w:separator/>
      </w:r>
    </w:p>
  </w:endnote>
  <w:endnote w:type="continuationSeparator" w:id="0">
    <w:p w14:paraId="40980368" w14:textId="77777777" w:rsidR="00657E09" w:rsidRPr="00D04EF0" w:rsidRDefault="00657E09">
      <w:pPr>
        <w:spacing w:after="0"/>
      </w:pPr>
      <w:r w:rsidRPr="00D04EF0">
        <w:continuationSeparator/>
      </w:r>
    </w:p>
  </w:endnote>
  <w:endnote w:type="continuationNotice" w:id="1">
    <w:p w14:paraId="5DCEB90D" w14:textId="77777777" w:rsidR="00657E09" w:rsidRPr="00D04EF0" w:rsidRDefault="00657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D204" w14:textId="77777777" w:rsidR="00657E09" w:rsidRPr="00D04EF0" w:rsidRDefault="00657E09">
      <w:pPr>
        <w:spacing w:after="0"/>
      </w:pPr>
      <w:r w:rsidRPr="00D04EF0">
        <w:separator/>
      </w:r>
    </w:p>
  </w:footnote>
  <w:footnote w:type="continuationSeparator" w:id="0">
    <w:p w14:paraId="246726D9" w14:textId="77777777" w:rsidR="00657E09" w:rsidRPr="00D04EF0" w:rsidRDefault="00657E09">
      <w:pPr>
        <w:spacing w:after="0"/>
      </w:pPr>
      <w:r w:rsidRPr="00D04EF0">
        <w:continuationSeparator/>
      </w:r>
    </w:p>
  </w:footnote>
  <w:footnote w:type="continuationNotice" w:id="1">
    <w:p w14:paraId="4B86E0D4" w14:textId="77777777" w:rsidR="00657E09" w:rsidRPr="00D04EF0" w:rsidRDefault="00657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6A49C2" w:rsidRPr="00D04EF0" w:rsidRDefault="006A49C2">
    <w:pPr>
      <w:pStyle w:val="a3"/>
    </w:pPr>
  </w:p>
  <w:p w14:paraId="31BBBCD6" w14:textId="77777777" w:rsidR="006A49C2" w:rsidRPr="00D04EF0" w:rsidRDefault="006A49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64B7DD0"/>
    <w:multiLevelType w:val="hybridMultilevel"/>
    <w:tmpl w:val="900241F4"/>
    <w:lvl w:ilvl="0" w:tplc="04090001">
      <w:start w:val="1"/>
      <w:numFmt w:val="bullet"/>
      <w:lvlText w:val=""/>
      <w:lvlJc w:val="left"/>
      <w:pPr>
        <w:ind w:left="1780" w:hanging="360"/>
      </w:pPr>
      <w:rPr>
        <w:rFonts w:ascii="Symbol" w:hAnsi="Symbol" w:hint="default"/>
      </w:rPr>
    </w:lvl>
    <w:lvl w:ilvl="1" w:tplc="04090003">
      <w:start w:val="1"/>
      <w:numFmt w:val="bullet"/>
      <w:lvlText w:val="o"/>
      <w:lvlJc w:val="left"/>
      <w:pPr>
        <w:ind w:left="2500" w:hanging="360"/>
      </w:pPr>
      <w:rPr>
        <w:rFonts w:ascii="Courier New" w:hAnsi="Courier New" w:cs="Courier New" w:hint="default"/>
      </w:rPr>
    </w:lvl>
    <w:lvl w:ilvl="2" w:tplc="04090005">
      <w:start w:val="1"/>
      <w:numFmt w:val="bullet"/>
      <w:lvlText w:val=""/>
      <w:lvlJc w:val="left"/>
      <w:pPr>
        <w:ind w:left="3220" w:hanging="360"/>
      </w:pPr>
      <w:rPr>
        <w:rFonts w:ascii="Wingdings" w:hAnsi="Wingdings" w:hint="default"/>
      </w:rPr>
    </w:lvl>
    <w:lvl w:ilvl="3" w:tplc="04090001">
      <w:start w:val="1"/>
      <w:numFmt w:val="bullet"/>
      <w:lvlText w:val=""/>
      <w:lvlJc w:val="left"/>
      <w:pPr>
        <w:ind w:left="3940" w:hanging="360"/>
      </w:pPr>
      <w:rPr>
        <w:rFonts w:ascii="Symbol" w:hAnsi="Symbol" w:hint="default"/>
      </w:rPr>
    </w:lvl>
    <w:lvl w:ilvl="4" w:tplc="04090003">
      <w:start w:val="1"/>
      <w:numFmt w:val="bullet"/>
      <w:lvlText w:val="o"/>
      <w:lvlJc w:val="left"/>
      <w:pPr>
        <w:ind w:left="4660" w:hanging="360"/>
      </w:pPr>
      <w:rPr>
        <w:rFonts w:ascii="Courier New" w:hAnsi="Courier New" w:cs="Courier New" w:hint="default"/>
      </w:rPr>
    </w:lvl>
    <w:lvl w:ilvl="5" w:tplc="04090005">
      <w:start w:val="1"/>
      <w:numFmt w:val="bullet"/>
      <w:lvlText w:val=""/>
      <w:lvlJc w:val="left"/>
      <w:pPr>
        <w:ind w:left="5380" w:hanging="360"/>
      </w:pPr>
      <w:rPr>
        <w:rFonts w:ascii="Wingdings" w:hAnsi="Wingdings" w:hint="default"/>
      </w:rPr>
    </w:lvl>
    <w:lvl w:ilvl="6" w:tplc="04090001">
      <w:start w:val="1"/>
      <w:numFmt w:val="bullet"/>
      <w:lvlText w:val=""/>
      <w:lvlJc w:val="left"/>
      <w:pPr>
        <w:ind w:left="6100" w:hanging="360"/>
      </w:pPr>
      <w:rPr>
        <w:rFonts w:ascii="Symbol" w:hAnsi="Symbol" w:hint="default"/>
      </w:rPr>
    </w:lvl>
    <w:lvl w:ilvl="7" w:tplc="04090003">
      <w:start w:val="1"/>
      <w:numFmt w:val="bullet"/>
      <w:lvlText w:val="o"/>
      <w:lvlJc w:val="left"/>
      <w:pPr>
        <w:ind w:left="6820" w:hanging="360"/>
      </w:pPr>
      <w:rPr>
        <w:rFonts w:ascii="Courier New" w:hAnsi="Courier New" w:cs="Courier New" w:hint="default"/>
      </w:rPr>
    </w:lvl>
    <w:lvl w:ilvl="8" w:tplc="04090005">
      <w:start w:val="1"/>
      <w:numFmt w:val="bullet"/>
      <w:lvlText w:val=""/>
      <w:lvlJc w:val="left"/>
      <w:pPr>
        <w:ind w:left="7540" w:hanging="360"/>
      </w:pPr>
      <w:rPr>
        <w:rFonts w:ascii="Wingdings" w:hAnsi="Wingdings" w:hint="default"/>
      </w:rPr>
    </w:lvl>
  </w:abstractNum>
  <w:abstractNum w:abstractNumId="4"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6"/>
  </w:num>
  <w:num w:numId="8">
    <w:abstractNumId w:val="3"/>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EB4"/>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2D5"/>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77A77"/>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3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825"/>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6F94"/>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2B9"/>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B2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5E16"/>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D00"/>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594"/>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57E09"/>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DA8"/>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DA2"/>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3F"/>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0F4B"/>
    <w:rsid w:val="007B1153"/>
    <w:rsid w:val="007B124C"/>
    <w:rsid w:val="007B134A"/>
    <w:rsid w:val="007B1886"/>
    <w:rsid w:val="007B19FB"/>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0BC"/>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6F2"/>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B9"/>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360"/>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D0"/>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07"/>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6B2"/>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AEA"/>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53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14"/>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AE7"/>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038"/>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E4E"/>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4F7"/>
    <w:rsid w:val="00B93140"/>
    <w:rsid w:val="00B932C9"/>
    <w:rsid w:val="00B9338B"/>
    <w:rsid w:val="00B93917"/>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B4E"/>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810"/>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E72"/>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BE9"/>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A1"/>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6F24"/>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7"/>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41"/>
    <w:rsid w:val="00DE73D4"/>
    <w:rsid w:val="00DE7A03"/>
    <w:rsid w:val="00DE7B28"/>
    <w:rsid w:val="00DF0252"/>
    <w:rsid w:val="00DF085B"/>
    <w:rsid w:val="00DF1740"/>
    <w:rsid w:val="00DF1910"/>
    <w:rsid w:val="00DF1AA9"/>
    <w:rsid w:val="00DF1D71"/>
    <w:rsid w:val="00DF1ED5"/>
    <w:rsid w:val="00DF2193"/>
    <w:rsid w:val="00DF234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49DA"/>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878"/>
    <w:rsid w:val="00E82A1F"/>
    <w:rsid w:val="00E82ABF"/>
    <w:rsid w:val="00E83224"/>
    <w:rsid w:val="00E8388A"/>
    <w:rsid w:val="00E83B06"/>
    <w:rsid w:val="00E83B92"/>
    <w:rsid w:val="00E83F8A"/>
    <w:rsid w:val="00E841E5"/>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252"/>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20"/>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75A"/>
    <w:rsid w:val="00FD59FB"/>
    <w:rsid w:val="00FD59FF"/>
    <w:rsid w:val="00FD5DAA"/>
    <w:rsid w:val="00FD688E"/>
    <w:rsid w:val="00FD6FB9"/>
    <w:rsid w:val="00FD72D8"/>
    <w:rsid w:val="00FD72E6"/>
    <w:rsid w:val="00FD7354"/>
    <w:rsid w:val="00FD75D1"/>
    <w:rsid w:val="00FD7A9E"/>
    <w:rsid w:val="00FD7D48"/>
    <w:rsid w:val="00FD7F51"/>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EmailDiscussion">
    <w:name w:val="EmailDiscussion"/>
    <w:basedOn w:val="a"/>
    <w:next w:val="EmailDiscussion2"/>
    <w:link w:val="EmailDiscussionChar"/>
    <w:qFormat/>
    <w:rsid w:val="00302732"/>
    <w:pPr>
      <w:numPr>
        <w:numId w:val="9"/>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rsid w:val="0030273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sid w:val="00302732"/>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7206317">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6398817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2639266">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9045412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3624978">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38443932">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08485797">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851394">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0B5E3-171C-4E2F-90D2-0F0EF9E5836A}">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3</Pages>
  <Words>320</Words>
  <Characters>1829</Characters>
  <Application>Microsoft Office Word</Application>
  <DocSecurity>0</DocSecurity>
  <Lines>15</Lines>
  <Paragraphs>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zll2411</cp:lastModifiedBy>
  <cp:revision>27</cp:revision>
  <cp:lastPrinted>2017-05-08T10:55:00Z</cp:lastPrinted>
  <dcterms:created xsi:type="dcterms:W3CDTF">2024-11-20T04:18:00Z</dcterms:created>
  <dcterms:modified xsi:type="dcterms:W3CDTF">2024-11-20T07:05:00Z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