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FA7F5">
      <w:pPr>
        <w:pStyle w:val="26"/>
        <w:tabs>
          <w:tab w:val="right" w:pos="9639"/>
        </w:tabs>
        <w:rPr>
          <w:bCs/>
          <w:i/>
          <w:sz w:val="24"/>
          <w:szCs w:val="24"/>
        </w:rPr>
      </w:pPr>
      <w:r>
        <w:rPr>
          <w:bCs/>
          <w:sz w:val="24"/>
          <w:szCs w:val="24"/>
        </w:rPr>
        <w:t>3GPP TSG-RAN WG2 Meeting #128</w:t>
      </w:r>
      <w:r>
        <w:rPr>
          <w:bCs/>
          <w:sz w:val="24"/>
          <w:szCs w:val="24"/>
        </w:rPr>
        <w:tab/>
      </w:r>
      <w:r>
        <w:rPr>
          <w:bCs/>
          <w:sz w:val="24"/>
          <w:szCs w:val="24"/>
        </w:rPr>
        <w:t>R2-24xxxxx</w:t>
      </w:r>
    </w:p>
    <w:p w14:paraId="1DDB3840">
      <w:pPr>
        <w:pStyle w:val="26"/>
        <w:tabs>
          <w:tab w:val="right" w:pos="9639"/>
        </w:tabs>
        <w:rPr>
          <w:bCs/>
          <w:sz w:val="24"/>
          <w:szCs w:val="24"/>
          <w:lang w:eastAsia="zh-CN"/>
        </w:rPr>
      </w:pPr>
      <w:r>
        <w:rPr>
          <w:bCs/>
          <w:sz w:val="24"/>
          <w:szCs w:val="24"/>
          <w:lang w:eastAsia="zh-CN"/>
        </w:rPr>
        <w:t>Orlando, USA, 18</w:t>
      </w:r>
      <w:r>
        <w:rPr>
          <w:bCs/>
          <w:sz w:val="24"/>
          <w:szCs w:val="24"/>
          <w:vertAlign w:val="superscript"/>
          <w:lang w:eastAsia="zh-CN"/>
        </w:rPr>
        <w:t>th</w:t>
      </w:r>
      <w:r>
        <w:rPr>
          <w:bCs/>
          <w:sz w:val="24"/>
          <w:szCs w:val="24"/>
          <w:lang w:eastAsia="zh-CN"/>
        </w:rPr>
        <w:t xml:space="preserve"> – 22</w:t>
      </w:r>
      <w:r>
        <w:rPr>
          <w:bCs/>
          <w:sz w:val="24"/>
          <w:szCs w:val="24"/>
          <w:vertAlign w:val="superscript"/>
          <w:lang w:eastAsia="zh-CN"/>
        </w:rPr>
        <w:t>nd</w:t>
      </w:r>
      <w:r>
        <w:rPr>
          <w:bCs/>
          <w:sz w:val="24"/>
          <w:szCs w:val="24"/>
          <w:lang w:eastAsia="zh-CN"/>
        </w:rPr>
        <w:t xml:space="preserve"> of November 2024</w:t>
      </w:r>
      <w:r>
        <w:rPr>
          <w:sz w:val="24"/>
          <w:szCs w:val="24"/>
          <w:lang w:eastAsia="zh-CN"/>
        </w:rPr>
        <w:tab/>
      </w:r>
    </w:p>
    <w:p w14:paraId="7E09A558">
      <w:pPr>
        <w:pStyle w:val="26"/>
        <w:rPr>
          <w:bCs/>
          <w:sz w:val="24"/>
        </w:rPr>
      </w:pPr>
    </w:p>
    <w:p w14:paraId="531926B7">
      <w:pPr>
        <w:pStyle w:val="26"/>
        <w:rPr>
          <w:bCs/>
          <w:sz w:val="24"/>
        </w:rPr>
      </w:pPr>
    </w:p>
    <w:p w14:paraId="06EF1D2A">
      <w:pPr>
        <w:pStyle w:val="8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w:t>
      </w:r>
    </w:p>
    <w:p w14:paraId="612EDA5A">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[AT128][103][MOB] (Nokia)</w:t>
      </w:r>
    </w:p>
    <w:p w14:paraId="5D7BA9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NR_Mob_enh2-Core - Release 18</w:t>
      </w:r>
    </w:p>
    <w:p w14:paraId="6C14292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5C7CD3E1">
      <w:pPr>
        <w:pStyle w:val="2"/>
      </w:pPr>
      <w:r>
        <w:t>1</w:t>
      </w:r>
      <w:r>
        <w:tab/>
      </w:r>
      <w:r>
        <w:t>Introduction</w:t>
      </w:r>
    </w:p>
    <w:p w14:paraId="3BD9367B">
      <w:r>
        <w:t>This is to discuss the following aspects:</w:t>
      </w:r>
    </w:p>
    <w:p w14:paraId="51B6A8C4">
      <w:pPr>
        <w:tabs>
          <w:tab w:val="left" w:pos="1619"/>
        </w:tabs>
        <w:suppressAutoHyphens w:val="0"/>
        <w:spacing w:before="40" w:after="0"/>
        <w:ind w:left="1619" w:hanging="360"/>
        <w:rPr>
          <w:rFonts w:ascii="Arial" w:hAnsi="Arial" w:eastAsia="MS Mincho"/>
          <w:b/>
          <w:szCs w:val="24"/>
          <w:lang w:eastAsia="en-GB"/>
        </w:rPr>
      </w:pPr>
      <w:r>
        <w:rPr>
          <w:rFonts w:ascii="Arial" w:hAnsi="Arial" w:eastAsia="MS Mincho"/>
          <w:b/>
          <w:szCs w:val="24"/>
          <w:lang w:eastAsia="en-GB"/>
        </w:rPr>
        <w:tab/>
      </w:r>
      <w:r>
        <w:rPr>
          <w:rFonts w:ascii="Arial" w:hAnsi="Arial" w:eastAsia="MS Mincho"/>
          <w:b/>
          <w:szCs w:val="24"/>
          <w:lang w:eastAsia="en-GB"/>
        </w:rPr>
        <w:t>[AT128][103][MOB] (Nokia)</w:t>
      </w:r>
    </w:p>
    <w:p w14:paraId="67754DA1">
      <w:pPr>
        <w:tabs>
          <w:tab w:val="left" w:pos="1622"/>
        </w:tabs>
        <w:suppressAutoHyphens w:val="0"/>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b/>
          <w:szCs w:val="24"/>
          <w:lang w:eastAsia="en-GB"/>
        </w:rPr>
        <w:t>Scope:</w:t>
      </w:r>
      <w:r>
        <w:rPr>
          <w:rFonts w:ascii="Arial" w:hAnsi="Arial" w:eastAsia="MS Mincho"/>
          <w:szCs w:val="24"/>
          <w:lang w:eastAsia="en-GB"/>
        </w:rPr>
        <w:t xml:space="preserve"> Discuss R2-2410442 and R2-2410449 and update 38.300 if needed. Note 38.300 CR will be updated based on the endorsed version. </w:t>
      </w:r>
    </w:p>
    <w:p w14:paraId="1A2FFEF2">
      <w:pPr>
        <w:tabs>
          <w:tab w:val="left" w:pos="1622"/>
        </w:tabs>
        <w:suppressAutoHyphens w:val="0"/>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b/>
          <w:szCs w:val="24"/>
          <w:lang w:eastAsia="en-GB"/>
        </w:rPr>
        <w:t>Intended outcome:</w:t>
      </w:r>
      <w:r>
        <w:rPr>
          <w:rFonts w:ascii="Arial" w:hAnsi="Arial" w:eastAsia="MS Mincho"/>
          <w:szCs w:val="24"/>
          <w:lang w:eastAsia="en-GB"/>
        </w:rPr>
        <w:t xml:space="preserve"> 38.300 CR in R2-24010925. Email approval is applied. </w:t>
      </w:r>
    </w:p>
    <w:p w14:paraId="3E543B24">
      <w:pPr>
        <w:suppressAutoHyphens w:val="0"/>
        <w:spacing w:before="40" w:after="0"/>
        <w:ind w:left="1608"/>
        <w:rPr>
          <w:rFonts w:ascii="Arial" w:hAnsi="Arial" w:eastAsia="MS Mincho"/>
          <w:szCs w:val="24"/>
          <w:lang w:eastAsia="en-GB"/>
        </w:rPr>
      </w:pPr>
      <w:r>
        <w:rPr>
          <w:rFonts w:ascii="Arial" w:hAnsi="Arial" w:eastAsia="MS Mincho"/>
          <w:b/>
          <w:szCs w:val="24"/>
          <w:lang w:eastAsia="en-GB"/>
        </w:rPr>
        <w:t>Deadline: Until Thursday CB session.</w:t>
      </w:r>
    </w:p>
    <w:p w14:paraId="686AB4B6">
      <w:pPr>
        <w:pStyle w:val="29"/>
        <w:spacing w:before="280" w:after="280"/>
      </w:pPr>
      <w:r>
        <w:rPr>
          <w:rFonts w:ascii="Times New Roman" w:hAnsi="Times New Roman" w:cs="Times New Roman"/>
          <w:sz w:val="20"/>
          <w:szCs w:val="20"/>
        </w:rPr>
        <w:t xml:space="preserve">The details are given in the following sections. </w:t>
      </w:r>
    </w:p>
    <w:p w14:paraId="60A3AA3E">
      <w:pPr>
        <w:pStyle w:val="2"/>
      </w:pPr>
      <w:r>
        <w:t>2</w:t>
      </w:r>
      <w:r>
        <w:tab/>
      </w:r>
      <w:r>
        <w:t>Discussion</w:t>
      </w:r>
    </w:p>
    <w:p w14:paraId="01C6FD98">
      <w:pPr>
        <w:pStyle w:val="3"/>
      </w:pPr>
      <w:r>
        <w:t>2.1</w:t>
      </w:r>
      <w:r>
        <w:tab/>
      </w:r>
      <w:r>
        <w:t xml:space="preserve">Stage 2 changes in </w:t>
      </w:r>
      <w:r>
        <w:rPr>
          <w:rFonts w:eastAsia="MS Mincho"/>
          <w:szCs w:val="24"/>
          <w:lang w:eastAsia="en-GB"/>
        </w:rPr>
        <w:t>R2-2410442</w:t>
      </w:r>
    </w:p>
    <w:p w14:paraId="49FB675E">
      <w:pPr>
        <w:jc w:val="both"/>
      </w:pPr>
      <w:r>
        <w:fldChar w:fldCharType="begin"/>
      </w:r>
      <w:r>
        <w:instrText xml:space="preserve"> REF _Ref179818073 \r \r \h </w:instrText>
      </w:r>
      <w:r>
        <w:fldChar w:fldCharType="separate"/>
      </w:r>
      <w:r>
        <w:t>[1]</w:t>
      </w:r>
      <w:r>
        <w:fldChar w:fldCharType="end"/>
      </w:r>
      <w:r>
        <w:t xml:space="preserve"> continues on the topic which has been discussed at RAN2#127bis regarding the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pPr>
        <w:pStyle w:val="43"/>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pPr>
        <w:pStyle w:val="43"/>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9.2.3.5.2-1. </w:t>
      </w:r>
    </w:p>
    <w:p w14:paraId="2E278689">
      <w:pPr>
        <w:jc w:val="both"/>
      </w:pPr>
      <w:r>
        <w:t>Companies are invited to share their view on this simple update below Figure 9.2.3.5.2-1.</w:t>
      </w:r>
    </w:p>
    <w:p w14:paraId="22143548">
      <w:pPr>
        <w:jc w:val="both"/>
        <w:rPr>
          <w:b/>
          <w:bCs/>
        </w:rPr>
      </w:pPr>
      <w:r>
        <w:rPr>
          <w:b/>
          <w:bCs/>
        </w:rPr>
        <w:t>Question 1: Do you agree to introduce a reference to TS 38.133 to the description of steps 4a and 4b underneath Figure 9.2.3.5.2-1, as suggested in R2-2410442?</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2"/>
        <w:gridCol w:w="5809"/>
      </w:tblGrid>
      <w:tr w14:paraId="07D7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C4CC213">
            <w:pPr>
              <w:jc w:val="both"/>
              <w:rPr>
                <w:b/>
              </w:rPr>
            </w:pPr>
            <w:r>
              <w:rPr>
                <w:b/>
              </w:rPr>
              <w:t>Company</w:t>
            </w:r>
          </w:p>
        </w:tc>
        <w:tc>
          <w:tcPr>
            <w:tcW w:w="1842" w:type="dxa"/>
          </w:tcPr>
          <w:p w14:paraId="27BE5894">
            <w:pPr>
              <w:jc w:val="both"/>
              <w:rPr>
                <w:b/>
              </w:rPr>
            </w:pPr>
            <w:r>
              <w:rPr>
                <w:b/>
              </w:rPr>
              <w:t>Answer (Yes/No)</w:t>
            </w:r>
          </w:p>
        </w:tc>
        <w:tc>
          <w:tcPr>
            <w:tcW w:w="5809" w:type="dxa"/>
          </w:tcPr>
          <w:p w14:paraId="4C58DB0A">
            <w:pPr>
              <w:jc w:val="both"/>
              <w:rPr>
                <w:b/>
              </w:rPr>
            </w:pPr>
            <w:r>
              <w:rPr>
                <w:b/>
              </w:rPr>
              <w:t>Comments</w:t>
            </w:r>
          </w:p>
        </w:tc>
      </w:tr>
      <w:tr w14:paraId="239C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1D5D1EF">
            <w:pPr>
              <w:jc w:val="both"/>
              <w:rPr>
                <w:lang w:eastAsia="zh-CN"/>
              </w:rPr>
            </w:pPr>
            <w:r>
              <w:rPr>
                <w:rFonts w:eastAsia="Batang"/>
                <w:lang w:eastAsia="ko-KR"/>
              </w:rPr>
              <w:t>LGE</w:t>
            </w:r>
          </w:p>
        </w:tc>
        <w:tc>
          <w:tcPr>
            <w:tcW w:w="1842" w:type="dxa"/>
          </w:tcPr>
          <w:p w14:paraId="02E36EAE">
            <w:pPr>
              <w:jc w:val="both"/>
              <w:rPr>
                <w:lang w:eastAsia="zh-CN"/>
              </w:rPr>
            </w:pPr>
            <w:r>
              <w:rPr>
                <w:rFonts w:eastAsia="Batang"/>
                <w:lang w:eastAsia="ko-KR"/>
              </w:rPr>
              <w:t>Yes</w:t>
            </w:r>
          </w:p>
        </w:tc>
        <w:tc>
          <w:tcPr>
            <w:tcW w:w="5809" w:type="dxa"/>
          </w:tcPr>
          <w:p w14:paraId="7AE0F827">
            <w:pPr>
              <w:rPr>
                <w:lang w:eastAsia="zh-CN"/>
              </w:rPr>
            </w:pPr>
          </w:p>
        </w:tc>
      </w:tr>
      <w:tr w14:paraId="6E1A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64863A2">
            <w:pPr>
              <w:jc w:val="both"/>
              <w:rPr>
                <w:lang w:eastAsia="zh-CN"/>
              </w:rPr>
            </w:pPr>
            <w:r>
              <w:rPr>
                <w:lang w:eastAsia="zh-CN"/>
              </w:rPr>
              <w:t>Huawei, HiSilicon</w:t>
            </w:r>
          </w:p>
        </w:tc>
        <w:tc>
          <w:tcPr>
            <w:tcW w:w="1842" w:type="dxa"/>
          </w:tcPr>
          <w:p w14:paraId="322334B0">
            <w:pPr>
              <w:jc w:val="both"/>
              <w:rPr>
                <w:lang w:eastAsia="zh-CN"/>
              </w:rPr>
            </w:pPr>
            <w:r>
              <w:rPr>
                <w:lang w:eastAsia="zh-CN"/>
              </w:rPr>
              <w:t>No?</w:t>
            </w:r>
          </w:p>
        </w:tc>
        <w:tc>
          <w:tcPr>
            <w:tcW w:w="5809" w:type="dxa"/>
          </w:tcPr>
          <w:p w14:paraId="0B26E489">
            <w:pPr>
              <w:jc w:val="both"/>
              <w:rPr>
                <w:lang w:eastAsia="zh-CN"/>
              </w:rPr>
            </w:pPr>
            <w:r>
              <w:rPr>
                <w:lang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14:paraId="1254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89F775E">
            <w:pPr>
              <w:jc w:val="both"/>
              <w:rPr>
                <w:lang w:eastAsia="zh-CN"/>
              </w:rPr>
            </w:pPr>
            <w:r>
              <w:rPr>
                <w:lang w:eastAsia="zh-CN"/>
              </w:rPr>
              <w:t>Ericsson</w:t>
            </w:r>
          </w:p>
        </w:tc>
        <w:tc>
          <w:tcPr>
            <w:tcW w:w="1842" w:type="dxa"/>
          </w:tcPr>
          <w:p w14:paraId="18B33DDF">
            <w:pPr>
              <w:jc w:val="both"/>
              <w:rPr>
                <w:lang w:eastAsia="zh-CN"/>
              </w:rPr>
            </w:pPr>
            <w:r>
              <w:rPr>
                <w:lang w:eastAsia="zh-CN"/>
              </w:rPr>
              <w:t>No strong view</w:t>
            </w:r>
          </w:p>
        </w:tc>
        <w:tc>
          <w:tcPr>
            <w:tcW w:w="5809" w:type="dxa"/>
          </w:tcPr>
          <w:p w14:paraId="2F595D11">
            <w:pPr>
              <w:jc w:val="both"/>
              <w:rPr>
                <w:lang w:eastAsia="zh-CN"/>
              </w:rPr>
            </w:pPr>
            <w:r>
              <w:rPr>
                <w:lang w:eastAsia="zh-CN"/>
              </w:rPr>
              <w:t>Having just a reference with says “TS 38.133” maybe is not really helpful, but we can go with majority.</w:t>
            </w:r>
          </w:p>
        </w:tc>
      </w:tr>
      <w:tr w14:paraId="0CE9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32F1788">
            <w:pPr>
              <w:jc w:val="both"/>
              <w:rPr>
                <w:lang w:val="en-US" w:eastAsia="zh-CN"/>
              </w:rPr>
            </w:pPr>
            <w:r>
              <w:rPr>
                <w:rFonts w:hint="eastAsia"/>
                <w:lang w:val="en-US" w:eastAsia="zh-CN"/>
              </w:rPr>
              <w:t>ZTE</w:t>
            </w:r>
          </w:p>
        </w:tc>
        <w:tc>
          <w:tcPr>
            <w:tcW w:w="1842" w:type="dxa"/>
          </w:tcPr>
          <w:p w14:paraId="00A68371">
            <w:pPr>
              <w:jc w:val="both"/>
              <w:rPr>
                <w:lang w:eastAsia="zh-CN"/>
              </w:rPr>
            </w:pPr>
            <w:r>
              <w:rPr>
                <w:rFonts w:hint="eastAsia"/>
                <w:lang w:eastAsia="zh-CN"/>
              </w:rPr>
              <w:t>N</w:t>
            </w:r>
            <w:r>
              <w:rPr>
                <w:lang w:eastAsia="zh-CN"/>
              </w:rPr>
              <w:t xml:space="preserve">o strong view </w:t>
            </w:r>
          </w:p>
        </w:tc>
        <w:tc>
          <w:tcPr>
            <w:tcW w:w="5809" w:type="dxa"/>
          </w:tcPr>
          <w:p w14:paraId="0A8434C9">
            <w:pPr>
              <w:jc w:val="both"/>
              <w:rPr>
                <w:lang w:val="en-US" w:eastAsia="zh-CN"/>
              </w:rPr>
            </w:pPr>
          </w:p>
        </w:tc>
      </w:tr>
      <w:tr w14:paraId="4ADE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02E63AB">
            <w:pPr>
              <w:jc w:val="both"/>
              <w:rPr>
                <w:lang w:eastAsia="zh-CN"/>
              </w:rPr>
            </w:pPr>
            <w:r>
              <w:rPr>
                <w:lang w:eastAsia="zh-CN"/>
              </w:rPr>
              <w:t>Nokia</w:t>
            </w:r>
          </w:p>
        </w:tc>
        <w:tc>
          <w:tcPr>
            <w:tcW w:w="1842" w:type="dxa"/>
          </w:tcPr>
          <w:p w14:paraId="0EB23608">
            <w:pPr>
              <w:jc w:val="both"/>
              <w:rPr>
                <w:lang w:eastAsia="zh-CN"/>
              </w:rPr>
            </w:pPr>
            <w:r>
              <w:rPr>
                <w:lang w:eastAsia="zh-CN"/>
              </w:rPr>
              <w:t>Proponent</w:t>
            </w:r>
          </w:p>
        </w:tc>
        <w:tc>
          <w:tcPr>
            <w:tcW w:w="5809" w:type="dxa"/>
          </w:tcPr>
          <w:p w14:paraId="5707BAE7">
            <w:pPr>
              <w:jc w:val="both"/>
              <w:rPr>
                <w:lang w:val="en-US" w:eastAsia="zh-CN"/>
              </w:rPr>
            </w:pPr>
            <w:r>
              <w:rPr>
                <w:lang w:val="en-US" w:eastAsia="zh-CN"/>
              </w:rPr>
              <w:t xml:space="preserve">Having a reference to 38.133 is nothing unusual in Stage-2. We have plenty of references pointing to Stage-3 details (e.g. to 38.331). </w:t>
            </w:r>
          </w:p>
          <w:p w14:paraId="678A9762">
            <w:pPr>
              <w:jc w:val="both"/>
              <w:rPr>
                <w:lang w:val="en-US" w:eastAsia="zh-CN"/>
              </w:rPr>
            </w:pPr>
            <w:r>
              <w:rPr>
                <w:lang w:val="en-US" w:eastAsia="zh-CN"/>
              </w:rPr>
              <w:t xml:space="preserve">We are fine not to provide a detailed description in 38.300 (as we suggested in our paper to RAN2#127bis), but we believe it is beneficial to at least point to associated requirements in RAN4 specs (as it is not so straightforward with the early UL/DL sync, there needs to be a preceding reporting). So at least the reference would be nice to have. </w:t>
            </w:r>
          </w:p>
        </w:tc>
      </w:tr>
      <w:tr w14:paraId="5062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14:paraId="514CEE63">
            <w:pPr>
              <w:jc w:val="both"/>
              <w:rPr>
                <w:lang w:eastAsia="zh-CN"/>
              </w:rPr>
            </w:pPr>
            <w:r>
              <w:rPr>
                <w:rFonts w:hint="eastAsia"/>
                <w:lang w:eastAsia="zh-CN"/>
              </w:rPr>
              <w:t>CATT</w:t>
            </w:r>
          </w:p>
        </w:tc>
        <w:tc>
          <w:tcPr>
            <w:tcW w:w="1842" w:type="dxa"/>
            <w:vAlign w:val="top"/>
          </w:tcPr>
          <w:p w14:paraId="0F621B3E">
            <w:pPr>
              <w:jc w:val="both"/>
              <w:rPr>
                <w:lang w:eastAsia="zh-CN"/>
              </w:rPr>
            </w:pPr>
            <w:r>
              <w:rPr>
                <w:rFonts w:hint="eastAsia"/>
                <w:lang w:eastAsia="zh-CN"/>
              </w:rPr>
              <w:t>No strong view</w:t>
            </w:r>
          </w:p>
        </w:tc>
        <w:tc>
          <w:tcPr>
            <w:tcW w:w="5809" w:type="dxa"/>
            <w:vAlign w:val="top"/>
          </w:tcPr>
          <w:p w14:paraId="5DB6FF08">
            <w:pPr>
              <w:jc w:val="both"/>
              <w:rPr>
                <w:lang w:eastAsia="zh-CN"/>
              </w:rPr>
            </w:pPr>
            <w:r>
              <w:rPr>
                <w:rFonts w:hint="eastAsia"/>
                <w:lang w:val="en-US" w:eastAsia="zh-CN"/>
              </w:rPr>
              <w:t>Slightly prefer to NO</w:t>
            </w:r>
          </w:p>
        </w:tc>
      </w:tr>
      <w:tr w14:paraId="7408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6D46ED9">
            <w:pPr>
              <w:jc w:val="both"/>
              <w:rPr>
                <w:lang w:eastAsia="zh-CN"/>
              </w:rPr>
            </w:pPr>
          </w:p>
        </w:tc>
        <w:tc>
          <w:tcPr>
            <w:tcW w:w="1842" w:type="dxa"/>
          </w:tcPr>
          <w:p w14:paraId="4EAD62E8">
            <w:pPr>
              <w:jc w:val="both"/>
              <w:rPr>
                <w:lang w:eastAsia="zh-CN"/>
              </w:rPr>
            </w:pPr>
          </w:p>
        </w:tc>
        <w:tc>
          <w:tcPr>
            <w:tcW w:w="5809" w:type="dxa"/>
          </w:tcPr>
          <w:p w14:paraId="6CB843A8">
            <w:pPr>
              <w:jc w:val="both"/>
              <w:rPr>
                <w:bCs/>
                <w:lang w:eastAsia="zh-CN"/>
              </w:rPr>
            </w:pPr>
          </w:p>
        </w:tc>
      </w:tr>
      <w:tr w14:paraId="4CFB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4643361">
            <w:pPr>
              <w:jc w:val="both"/>
              <w:rPr>
                <w:lang w:eastAsia="zh-CN"/>
              </w:rPr>
            </w:pPr>
          </w:p>
        </w:tc>
        <w:tc>
          <w:tcPr>
            <w:tcW w:w="1842" w:type="dxa"/>
          </w:tcPr>
          <w:p w14:paraId="1313CB82">
            <w:pPr>
              <w:jc w:val="both"/>
              <w:rPr>
                <w:lang w:eastAsia="zh-CN"/>
              </w:rPr>
            </w:pPr>
          </w:p>
        </w:tc>
        <w:tc>
          <w:tcPr>
            <w:tcW w:w="5809" w:type="dxa"/>
          </w:tcPr>
          <w:p w14:paraId="797307B3">
            <w:pPr>
              <w:jc w:val="both"/>
              <w:rPr>
                <w:lang w:eastAsia="zh-CN"/>
              </w:rPr>
            </w:pPr>
          </w:p>
        </w:tc>
      </w:tr>
      <w:tr w14:paraId="1D93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14C9B56">
            <w:pPr>
              <w:jc w:val="both"/>
              <w:rPr>
                <w:lang w:val="en-US" w:eastAsia="zh-CN"/>
              </w:rPr>
            </w:pPr>
          </w:p>
        </w:tc>
        <w:tc>
          <w:tcPr>
            <w:tcW w:w="1842" w:type="dxa"/>
          </w:tcPr>
          <w:p w14:paraId="52F01658">
            <w:pPr>
              <w:jc w:val="both"/>
              <w:rPr>
                <w:lang w:val="en-US" w:eastAsia="zh-CN"/>
              </w:rPr>
            </w:pPr>
          </w:p>
        </w:tc>
        <w:tc>
          <w:tcPr>
            <w:tcW w:w="5809" w:type="dxa"/>
          </w:tcPr>
          <w:p w14:paraId="5F962195">
            <w:pPr>
              <w:jc w:val="both"/>
              <w:rPr>
                <w:lang w:val="en-US" w:eastAsia="zh-CN"/>
              </w:rPr>
            </w:pPr>
          </w:p>
        </w:tc>
      </w:tr>
      <w:tr w14:paraId="3019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373CBCA">
            <w:pPr>
              <w:jc w:val="both"/>
              <w:rPr>
                <w:lang w:val="en-US" w:eastAsia="zh-CN"/>
              </w:rPr>
            </w:pPr>
          </w:p>
        </w:tc>
        <w:tc>
          <w:tcPr>
            <w:tcW w:w="1842" w:type="dxa"/>
          </w:tcPr>
          <w:p w14:paraId="7C5DE064">
            <w:pPr>
              <w:jc w:val="both"/>
              <w:rPr>
                <w:lang w:val="en-US" w:eastAsia="zh-CN"/>
              </w:rPr>
            </w:pPr>
          </w:p>
        </w:tc>
        <w:tc>
          <w:tcPr>
            <w:tcW w:w="5809" w:type="dxa"/>
          </w:tcPr>
          <w:p w14:paraId="38765EA1">
            <w:pPr>
              <w:jc w:val="both"/>
              <w:rPr>
                <w:lang w:val="en-US" w:eastAsia="zh-CN"/>
              </w:rPr>
            </w:pPr>
          </w:p>
        </w:tc>
      </w:tr>
      <w:tr w14:paraId="6D23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E421077">
            <w:pPr>
              <w:jc w:val="both"/>
              <w:rPr>
                <w:lang w:val="en-US" w:eastAsia="zh-CN"/>
              </w:rPr>
            </w:pPr>
          </w:p>
        </w:tc>
        <w:tc>
          <w:tcPr>
            <w:tcW w:w="1842" w:type="dxa"/>
          </w:tcPr>
          <w:p w14:paraId="577E79D3">
            <w:pPr>
              <w:jc w:val="both"/>
              <w:rPr>
                <w:lang w:val="en-US" w:eastAsia="zh-CN"/>
              </w:rPr>
            </w:pPr>
          </w:p>
        </w:tc>
        <w:tc>
          <w:tcPr>
            <w:tcW w:w="5809" w:type="dxa"/>
          </w:tcPr>
          <w:p w14:paraId="2A147044">
            <w:pPr>
              <w:jc w:val="both"/>
              <w:rPr>
                <w:lang w:val="en-US" w:eastAsia="zh-CN"/>
              </w:rPr>
            </w:pPr>
          </w:p>
        </w:tc>
      </w:tr>
      <w:tr w14:paraId="0FA6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BE3D8C3">
            <w:pPr>
              <w:jc w:val="both"/>
              <w:rPr>
                <w:lang w:val="en-US" w:eastAsia="zh-CN"/>
              </w:rPr>
            </w:pPr>
          </w:p>
        </w:tc>
        <w:tc>
          <w:tcPr>
            <w:tcW w:w="1842" w:type="dxa"/>
          </w:tcPr>
          <w:p w14:paraId="3EFF66B7">
            <w:pPr>
              <w:jc w:val="both"/>
              <w:rPr>
                <w:lang w:val="en-US" w:eastAsia="zh-CN"/>
              </w:rPr>
            </w:pPr>
          </w:p>
        </w:tc>
        <w:tc>
          <w:tcPr>
            <w:tcW w:w="5809" w:type="dxa"/>
          </w:tcPr>
          <w:p w14:paraId="671444F5">
            <w:pPr>
              <w:jc w:val="both"/>
              <w:rPr>
                <w:lang w:val="en-US" w:eastAsia="zh-CN"/>
              </w:rPr>
            </w:pPr>
          </w:p>
        </w:tc>
      </w:tr>
      <w:tr w14:paraId="60F5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BD67FAB">
            <w:pPr>
              <w:jc w:val="both"/>
              <w:rPr>
                <w:lang w:val="en-US" w:eastAsia="zh-CN"/>
              </w:rPr>
            </w:pPr>
          </w:p>
        </w:tc>
        <w:tc>
          <w:tcPr>
            <w:tcW w:w="1842" w:type="dxa"/>
          </w:tcPr>
          <w:p w14:paraId="6EECB7A2">
            <w:pPr>
              <w:jc w:val="both"/>
              <w:rPr>
                <w:lang w:val="en-US" w:eastAsia="zh-CN"/>
              </w:rPr>
            </w:pPr>
          </w:p>
        </w:tc>
        <w:tc>
          <w:tcPr>
            <w:tcW w:w="5809" w:type="dxa"/>
          </w:tcPr>
          <w:p w14:paraId="0A4DAD14">
            <w:pPr>
              <w:jc w:val="both"/>
              <w:rPr>
                <w:lang w:val="en-US" w:eastAsia="zh-CN"/>
              </w:rPr>
            </w:pPr>
          </w:p>
        </w:tc>
      </w:tr>
    </w:tbl>
    <w:p w14:paraId="46974E5A">
      <w:pPr>
        <w:jc w:val="both"/>
        <w:rPr>
          <w:b/>
          <w:bCs/>
        </w:rPr>
      </w:pPr>
      <w:r>
        <w:br w:type="textWrapping"/>
      </w:r>
      <w:r>
        <w:rPr>
          <w:b/>
          <w:bCs/>
        </w:rPr>
        <w:t xml:space="preserve">Summary for Q1: </w:t>
      </w:r>
    </w:p>
    <w:p w14:paraId="31A9AF36">
      <w:pPr>
        <w:jc w:val="both"/>
        <w:rPr>
          <w:b/>
          <w:bCs/>
        </w:rPr>
      </w:pPr>
    </w:p>
    <w:p w14:paraId="35A5A6FE">
      <w:pPr>
        <w:pStyle w:val="3"/>
      </w:pPr>
      <w:r>
        <w:t xml:space="preserve">2.2 </w:t>
      </w:r>
      <w:r>
        <w:tab/>
      </w:r>
      <w:r>
        <w:t>Stage 2 changes in R2-2410449</w:t>
      </w:r>
    </w:p>
    <w:p w14:paraId="0576CA74">
      <w:pPr>
        <w:jc w:val="both"/>
      </w:pPr>
      <w:r>
        <w:t xml:space="preserve">The authors of </w:t>
      </w:r>
      <w:r>
        <w:fldChar w:fldCharType="begin"/>
      </w:r>
      <w:r>
        <w:instrText xml:space="preserve"> REF _Ref179837458 \r \r \h </w:instrText>
      </w:r>
      <w:r>
        <w:fldChar w:fldCharType="separate"/>
      </w:r>
      <w:r>
        <w:t>[2]</w:t>
      </w:r>
      <w:r>
        <w:fldChar w:fldCharType="end"/>
      </w:r>
      <w:r>
        <w:t xml:space="preserve"> discuss the coexistence of Conditional Handover (CHO) and LTM for SCG. The topic has been also discussed at RAN2#127bis </w:t>
      </w:r>
      <w:r>
        <w:fldChar w:fldCharType="begin"/>
      </w:r>
      <w:r>
        <w:instrText xml:space="preserve"> REF _Ref182903685 \r \h </w:instrText>
      </w:r>
      <w:r>
        <w:fldChar w:fldCharType="separate"/>
      </w:r>
      <w:r>
        <w:t>[3]</w:t>
      </w:r>
      <w:r>
        <w:fldChar w:fldCharType="end"/>
      </w:r>
      <w:r>
        <w:t xml:space="preserve"> and it was agreed we do not pursue changes for suspending the evaluation of execution conditions for CHO when LTM for SCG is triggered. Now the authors of </w:t>
      </w:r>
      <w:r>
        <w:fldChar w:fldCharType="begin"/>
      </w:r>
      <w:r>
        <w:instrText xml:space="preserve"> REF _Ref182904150 \r \h </w:instrText>
      </w:r>
      <w:r>
        <w:fldChar w:fldCharType="separate"/>
      </w:r>
      <w:r>
        <w:t>[2]</w:t>
      </w:r>
      <w:r>
        <w:fldChar w:fldCharType="end"/>
      </w:r>
      <w:r>
        <w:t xml:space="preserve"> changed the TP and suggest to agree that “simultaneous execution of CHO (e.g. CHO without SCG configuration, CHO with SCG configuration, CHO with candidate SCG) and Intra-CU SCG LTM is not supported in Rel-18. (see TP for TS37.340)”. As can be noticed, the </w:t>
      </w:r>
      <w:r>
        <w:rPr>
          <w:u w:val="single"/>
        </w:rPr>
        <w:t>change is proposed to TS 37.340, not TS 38.300</w:t>
      </w:r>
      <w:r>
        <w:t xml:space="preserve">. Thus, if agreed, should be merged with the CR discussed in another thread. </w:t>
      </w:r>
    </w:p>
    <w:p w14:paraId="4C268D88">
      <w:pPr>
        <w:jc w:val="both"/>
      </w:pPr>
      <w:r>
        <w:t xml:space="preserve">Companies are invited to express their view on whether such change is correct and needed in TS 37.340, as shown in </w:t>
      </w:r>
      <w:r>
        <w:fldChar w:fldCharType="begin"/>
      </w:r>
      <w:r>
        <w:instrText xml:space="preserve"> REF _Ref182904150 \r \h </w:instrText>
      </w:r>
      <w:r>
        <w:fldChar w:fldCharType="separate"/>
      </w:r>
      <w:r>
        <w:t>[2]</w:t>
      </w:r>
      <w:r>
        <w:fldChar w:fldCharType="end"/>
      </w:r>
      <w:r>
        <w:t>.</w:t>
      </w:r>
    </w:p>
    <w:p w14:paraId="7E107345">
      <w:pPr>
        <w:jc w:val="both"/>
        <w:rPr>
          <w:b/>
          <w:bCs/>
        </w:rPr>
      </w:pPr>
      <w:r>
        <w:rPr>
          <w:b/>
          <w:bCs/>
        </w:rPr>
        <w:t xml:space="preserve">Question 2: Do you agree to capture in </w:t>
      </w:r>
      <w:r>
        <w:rPr>
          <w:b/>
          <w:bCs/>
          <w:u w:val="single"/>
        </w:rPr>
        <w:t>TS 37.340</w:t>
      </w:r>
      <w:r>
        <w:rPr>
          <w:b/>
          <w:bCs/>
        </w:rPr>
        <w:t xml:space="preserve"> that simultaneous execution of CHO (e.g. CHO without SCG configuration, CHO with SCG configuration, CHO with candidate SCG) and Intra-CU SCG LTM is not supported in Rel-18, as shown in R2-2410449?</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2"/>
        <w:gridCol w:w="5809"/>
      </w:tblGrid>
      <w:tr w14:paraId="5204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823083D">
            <w:pPr>
              <w:jc w:val="both"/>
              <w:rPr>
                <w:b/>
              </w:rPr>
            </w:pPr>
            <w:r>
              <w:rPr>
                <w:b/>
              </w:rPr>
              <w:t>Company</w:t>
            </w:r>
          </w:p>
        </w:tc>
        <w:tc>
          <w:tcPr>
            <w:tcW w:w="1842" w:type="dxa"/>
          </w:tcPr>
          <w:p w14:paraId="52FFF4D6">
            <w:pPr>
              <w:jc w:val="both"/>
              <w:rPr>
                <w:b/>
              </w:rPr>
            </w:pPr>
            <w:r>
              <w:rPr>
                <w:b/>
              </w:rPr>
              <w:t>Yes/No</w:t>
            </w:r>
          </w:p>
        </w:tc>
        <w:tc>
          <w:tcPr>
            <w:tcW w:w="5809" w:type="dxa"/>
          </w:tcPr>
          <w:p w14:paraId="40608611">
            <w:pPr>
              <w:jc w:val="both"/>
              <w:rPr>
                <w:b/>
              </w:rPr>
            </w:pPr>
            <w:r>
              <w:rPr>
                <w:b/>
              </w:rPr>
              <w:t>Comments</w:t>
            </w:r>
          </w:p>
        </w:tc>
      </w:tr>
      <w:tr w14:paraId="61BF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FE2C1BF">
            <w:pPr>
              <w:jc w:val="both"/>
              <w:rPr>
                <w:lang w:eastAsia="zh-CN"/>
              </w:rPr>
            </w:pPr>
            <w:r>
              <w:rPr>
                <w:lang w:eastAsia="zh-CN"/>
              </w:rPr>
              <w:t>MediaTek</w:t>
            </w:r>
          </w:p>
        </w:tc>
        <w:tc>
          <w:tcPr>
            <w:tcW w:w="1842" w:type="dxa"/>
          </w:tcPr>
          <w:p w14:paraId="392FA7C2">
            <w:pPr>
              <w:jc w:val="both"/>
              <w:rPr>
                <w:lang w:eastAsia="zh-CN"/>
              </w:rPr>
            </w:pPr>
            <w:r>
              <w:rPr>
                <w:lang w:eastAsia="zh-CN"/>
              </w:rPr>
              <w:t>No</w:t>
            </w:r>
          </w:p>
        </w:tc>
        <w:tc>
          <w:tcPr>
            <w:tcW w:w="5809" w:type="dxa"/>
          </w:tcPr>
          <w:p w14:paraId="2D1FCE53">
            <w:pPr>
              <w:rPr>
                <w:lang w:eastAsia="zh-CN"/>
              </w:rPr>
            </w:pPr>
            <w:r>
              <w:rPr>
                <w:lang w:eastAsia="zh-CN"/>
              </w:rPr>
              <w:t>We have not captured similar aspect for legacy PSCell change + CHO, so there is no need to capture it for SCG LTM + CHO either.</w:t>
            </w:r>
          </w:p>
          <w:p w14:paraId="7BEA72C9">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p w14:paraId="4221C81A">
            <w:pPr>
              <w:rPr>
                <w:lang w:eastAsia="zh-CN"/>
              </w:rPr>
            </w:pPr>
            <w:r>
              <w:rPr>
                <w:rFonts w:hint="eastAsia"/>
                <w:highlight w:val="yellow"/>
                <w:lang w:eastAsia="zh-CN"/>
              </w:rPr>
              <w:t xml:space="preserve">[Lenovo] </w:t>
            </w:r>
            <w:r>
              <w:rPr>
                <w:rFonts w:hint="eastAsia"/>
                <w:lang w:eastAsia="zh-CN"/>
              </w:rPr>
              <w:t xml:space="preserve">In TS37.340, </w:t>
            </w:r>
            <w:r>
              <w:t>While executing CPC,</w:t>
            </w:r>
            <w:r>
              <w:rPr>
                <w:rFonts w:hint="eastAsia"/>
                <w:lang w:eastAsia="zh-CN"/>
              </w:rPr>
              <w:t xml:space="preserve"> UE will stop evaluating CHO condition. (see below).</w:t>
            </w:r>
          </w:p>
          <w:p w14:paraId="2506693C">
            <w:pPr>
              <w:rPr>
                <w:i/>
                <w:iCs/>
                <w:lang w:eastAsia="zh-CN"/>
              </w:rPr>
            </w:pPr>
            <w:r>
              <w:rPr>
                <w:rFonts w:hint="eastAsia"/>
                <w:i/>
                <w:iCs/>
                <w:lang w:eastAsia="zh-CN"/>
              </w:rPr>
              <w:t>TS37.340:</w:t>
            </w:r>
          </w:p>
          <w:p w14:paraId="7443A28D">
            <w:pPr>
              <w:rPr>
                <w:lang w:eastAsia="zh-CN"/>
              </w:rPr>
            </w:pPr>
            <w:r>
              <w:rPr>
                <w:i/>
                <w:iCs/>
              </w:rPr>
              <w:t>While executing CPC, the UE is not required to continue evaluating the execution condition of other candidate PSCell(s) or PCell(s).</w:t>
            </w:r>
          </w:p>
        </w:tc>
      </w:tr>
      <w:tr w14:paraId="7907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D4E3413">
            <w:pPr>
              <w:jc w:val="both"/>
              <w:rPr>
                <w:lang w:eastAsia="zh-CN"/>
              </w:rPr>
            </w:pPr>
            <w:r>
              <w:rPr>
                <w:rFonts w:hint="eastAsia" w:eastAsia="Batang"/>
                <w:lang w:eastAsia="ko-KR"/>
              </w:rPr>
              <w:t>LGE</w:t>
            </w:r>
          </w:p>
        </w:tc>
        <w:tc>
          <w:tcPr>
            <w:tcW w:w="1842" w:type="dxa"/>
          </w:tcPr>
          <w:p w14:paraId="5C307699">
            <w:pPr>
              <w:jc w:val="both"/>
              <w:rPr>
                <w:lang w:eastAsia="zh-CN"/>
              </w:rPr>
            </w:pPr>
            <w:r>
              <w:rPr>
                <w:rFonts w:hint="eastAsia" w:eastAsia="Batang"/>
                <w:lang w:eastAsia="ko-KR"/>
              </w:rPr>
              <w:t>No</w:t>
            </w:r>
          </w:p>
        </w:tc>
        <w:tc>
          <w:tcPr>
            <w:tcW w:w="5809" w:type="dxa"/>
          </w:tcPr>
          <w:p w14:paraId="789DF976">
            <w:pPr>
              <w:jc w:val="both"/>
              <w:rPr>
                <w:lang w:eastAsia="zh-CN"/>
              </w:rPr>
            </w:pPr>
            <w:r>
              <w:rPr>
                <w:lang w:eastAsia="zh-CN"/>
              </w:rPr>
              <w:t xml:space="preserve">It is very rare that simultaneous execution of CHO and Intra-CU SCG LTM happens. </w:t>
            </w:r>
            <w:r>
              <w:rPr>
                <w:rFonts w:hint="eastAsia" w:eastAsia="Batang"/>
                <w:lang w:eastAsia="ko-KR"/>
              </w:rPr>
              <w:t>This means that a failure due to the simultaneous execution rarely happens. For this rare case</w:t>
            </w:r>
            <w:r>
              <w:rPr>
                <w:lang w:eastAsia="zh-CN"/>
              </w:rPr>
              <w:t>, RRC connection re-establishment is sufficient.</w:t>
            </w:r>
          </w:p>
          <w:p w14:paraId="4A42A02D">
            <w:pPr>
              <w:jc w:val="both"/>
              <w:rPr>
                <w:lang w:eastAsia="zh-CN"/>
              </w:rPr>
            </w:pPr>
            <w:r>
              <w:rPr>
                <w:lang w:eastAsia="zh-CN"/>
              </w:rPr>
              <w:t>[</w:t>
            </w:r>
            <w:r>
              <w:rPr>
                <w:highlight w:val="yellow"/>
                <w:lang w:eastAsia="zh-CN"/>
              </w:rPr>
              <w:t>Lenovo</w:t>
            </w:r>
            <w:r>
              <w:rPr>
                <w:lang w:eastAsia="zh-CN"/>
              </w:rPr>
              <w:t>] There are many co-existence cases in Rel-18. The co-existence of CHO and SCG LTM is one of them. But other co-existence cases have been captured/addressed in 3GPP specification. For example, simultaneous execution of MCG LTM and SCG LTM is not allowed.</w:t>
            </w:r>
          </w:p>
        </w:tc>
      </w:tr>
      <w:tr w14:paraId="0C42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89C3653">
            <w:pPr>
              <w:jc w:val="both"/>
              <w:rPr>
                <w:lang w:eastAsia="zh-CN"/>
              </w:rPr>
            </w:pPr>
            <w:r>
              <w:rPr>
                <w:lang w:eastAsia="zh-CN"/>
              </w:rPr>
              <w:t>Huawei, HiSilicon</w:t>
            </w:r>
          </w:p>
        </w:tc>
        <w:tc>
          <w:tcPr>
            <w:tcW w:w="1842" w:type="dxa"/>
          </w:tcPr>
          <w:p w14:paraId="5BDCE897">
            <w:pPr>
              <w:jc w:val="both"/>
              <w:rPr>
                <w:lang w:eastAsia="zh-CN"/>
              </w:rPr>
            </w:pPr>
            <w:r>
              <w:rPr>
                <w:lang w:eastAsia="zh-CN"/>
              </w:rPr>
              <w:t>No</w:t>
            </w:r>
          </w:p>
        </w:tc>
        <w:tc>
          <w:tcPr>
            <w:tcW w:w="5809" w:type="dxa"/>
          </w:tcPr>
          <w:p w14:paraId="44D3CBE9">
            <w:pPr>
              <w:jc w:val="both"/>
              <w:rPr>
                <w:lang w:eastAsia="zh-CN"/>
              </w:rPr>
            </w:pPr>
            <w:r>
              <w:rPr>
                <w:lang w:eastAsia="zh-CN"/>
              </w:rPr>
              <w:t>In Rel-16, if the UE is configured with CHO (and not CPC), reconfiguration with sync of the SCG triggered by an RRC message also does not release the CHO configuration, so it could be triggered and there is no text like what is now proposed for SCG LTM.</w:t>
            </w:r>
          </w:p>
        </w:tc>
      </w:tr>
      <w:tr w14:paraId="0BE7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F78B52E">
            <w:pPr>
              <w:jc w:val="both"/>
              <w:rPr>
                <w:lang w:val="en-US" w:eastAsia="zh-CN"/>
              </w:rPr>
            </w:pPr>
            <w:r>
              <w:rPr>
                <w:lang w:val="en-US" w:eastAsia="zh-CN"/>
              </w:rPr>
              <w:t>Ericsson</w:t>
            </w:r>
          </w:p>
        </w:tc>
        <w:tc>
          <w:tcPr>
            <w:tcW w:w="1842" w:type="dxa"/>
          </w:tcPr>
          <w:p w14:paraId="04CBA205">
            <w:pPr>
              <w:jc w:val="both"/>
              <w:rPr>
                <w:lang w:eastAsia="zh-CN"/>
              </w:rPr>
            </w:pPr>
            <w:r>
              <w:rPr>
                <w:lang w:eastAsia="zh-CN"/>
              </w:rPr>
              <w:t>No</w:t>
            </w:r>
          </w:p>
        </w:tc>
        <w:tc>
          <w:tcPr>
            <w:tcW w:w="5809" w:type="dxa"/>
          </w:tcPr>
          <w:p w14:paraId="5EDAD342">
            <w:pPr>
              <w:jc w:val="both"/>
              <w:rPr>
                <w:lang w:val="en-US" w:eastAsia="zh-CN"/>
              </w:rPr>
            </w:pPr>
          </w:p>
        </w:tc>
      </w:tr>
      <w:tr w14:paraId="61DB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9639CF5">
            <w:pPr>
              <w:jc w:val="both"/>
              <w:rPr>
                <w:lang w:val="en-US" w:eastAsia="zh-CN"/>
              </w:rPr>
            </w:pPr>
            <w:r>
              <w:rPr>
                <w:rFonts w:hint="eastAsia"/>
                <w:lang w:val="en-US" w:eastAsia="zh-CN"/>
              </w:rPr>
              <w:t>Lenovo</w:t>
            </w:r>
          </w:p>
        </w:tc>
        <w:tc>
          <w:tcPr>
            <w:tcW w:w="1842" w:type="dxa"/>
          </w:tcPr>
          <w:p w14:paraId="0D893774">
            <w:pPr>
              <w:jc w:val="both"/>
              <w:rPr>
                <w:lang w:val="en-US" w:eastAsia="zh-CN"/>
              </w:rPr>
            </w:pPr>
            <w:r>
              <w:rPr>
                <w:rFonts w:hint="eastAsia"/>
                <w:lang w:val="en-US" w:eastAsia="zh-CN"/>
              </w:rPr>
              <w:t>Proponent</w:t>
            </w:r>
          </w:p>
        </w:tc>
        <w:tc>
          <w:tcPr>
            <w:tcW w:w="5809" w:type="dxa"/>
          </w:tcPr>
          <w:p w14:paraId="64210573">
            <w:pPr>
              <w:jc w:val="both"/>
              <w:rPr>
                <w:lang w:val="en-US" w:eastAsia="zh-CN"/>
              </w:rPr>
            </w:pPr>
            <w:r>
              <w:rPr>
                <w:lang w:eastAsia="zh-CN"/>
              </w:rPr>
              <w:t>L</w:t>
            </w:r>
            <w:r>
              <w:rPr>
                <w:rFonts w:hint="eastAsia"/>
                <w:lang w:eastAsia="zh-CN"/>
              </w:rPr>
              <w:t xml:space="preserve">ast meeting, we </w:t>
            </w:r>
            <w:r>
              <w:rPr>
                <w:lang w:eastAsia="zh-CN"/>
              </w:rPr>
              <w:t>propo</w:t>
            </w:r>
            <w:r>
              <w:rPr>
                <w:rFonts w:hint="eastAsia"/>
                <w:lang w:eastAsia="zh-CN"/>
              </w:rPr>
              <w:t xml:space="preserve">sed that UE </w:t>
            </w:r>
            <w:r>
              <w:rPr>
                <w:lang w:eastAsia="zh-CN"/>
              </w:rPr>
              <w:t>should</w:t>
            </w:r>
            <w:r>
              <w:rPr>
                <w:rFonts w:hint="eastAsia"/>
                <w:lang w:eastAsia="zh-CN"/>
              </w:rPr>
              <w:t xml:space="preserve"> stop </w:t>
            </w:r>
            <w:r>
              <w:rPr>
                <w:lang w:eastAsia="zh-CN"/>
              </w:rPr>
              <w:t>evaluating</w:t>
            </w:r>
            <w:r>
              <w:rPr>
                <w:rFonts w:hint="eastAsia"/>
                <w:lang w:eastAsia="zh-CN"/>
              </w:rPr>
              <w:t xml:space="preserve"> CHO once SCG LTM is triggered based on the </w:t>
            </w:r>
            <w:r>
              <w:rPr>
                <w:lang w:eastAsia="zh-CN"/>
              </w:rPr>
              <w:t>assumption</w:t>
            </w:r>
            <w:r>
              <w:rPr>
                <w:rFonts w:hint="eastAsia"/>
                <w:lang w:eastAsia="zh-CN"/>
              </w:rPr>
              <w:t xml:space="preserve"> </w:t>
            </w:r>
            <w:r>
              <w:rPr>
                <w:lang w:eastAsia="zh-CN"/>
              </w:rPr>
              <w:t>that</w:t>
            </w:r>
            <w:r>
              <w:rPr>
                <w:rFonts w:hint="eastAsia"/>
                <w:lang w:eastAsia="zh-CN"/>
              </w:rPr>
              <w:t xml:space="preserve"> simultaneous execution of CHO and SCG LTM is not allowed.  </w:t>
            </w:r>
            <w:r>
              <w:rPr>
                <w:lang w:eastAsia="zh-CN"/>
              </w:rPr>
              <w:t>B</w:t>
            </w:r>
            <w:r>
              <w:rPr>
                <w:rFonts w:hint="eastAsia"/>
                <w:lang w:eastAsia="zh-CN"/>
              </w:rPr>
              <w:t xml:space="preserve">ut </w:t>
            </w:r>
            <w:r>
              <w:rPr>
                <w:lang w:eastAsia="zh-CN"/>
              </w:rPr>
              <w:t>some</w:t>
            </w:r>
            <w:r>
              <w:rPr>
                <w:rFonts w:hint="eastAsia"/>
                <w:lang w:eastAsia="zh-CN"/>
              </w:rPr>
              <w:t xml:space="preserve"> </w:t>
            </w:r>
            <w:r>
              <w:rPr>
                <w:lang w:eastAsia="zh-CN"/>
              </w:rPr>
              <w:t>compan</w:t>
            </w:r>
            <w:r>
              <w:rPr>
                <w:rFonts w:hint="eastAsia"/>
                <w:lang w:eastAsia="zh-CN"/>
              </w:rPr>
              <w:t xml:space="preserve">ies </w:t>
            </w:r>
            <w:r>
              <w:rPr>
                <w:lang w:eastAsia="zh-CN"/>
              </w:rPr>
              <w:t>would</w:t>
            </w:r>
            <w:r>
              <w:rPr>
                <w:rFonts w:hint="eastAsia"/>
                <w:lang w:eastAsia="zh-CN"/>
              </w:rPr>
              <w:t xml:space="preserve"> like to support simultaneous execution. So, we </w:t>
            </w:r>
            <w:r>
              <w:rPr>
                <w:lang w:eastAsia="zh-CN"/>
              </w:rPr>
              <w:t>propos</w:t>
            </w:r>
            <w:r>
              <w:rPr>
                <w:rFonts w:hint="eastAsia"/>
                <w:lang w:eastAsia="zh-CN"/>
              </w:rPr>
              <w:t xml:space="preserve">e to discuss </w:t>
            </w:r>
            <w:r>
              <w:rPr>
                <w:lang w:eastAsia="zh-CN"/>
              </w:rPr>
              <w:t>whether</w:t>
            </w:r>
            <w:r>
              <w:rPr>
                <w:rFonts w:hint="eastAsia"/>
                <w:lang w:eastAsia="zh-CN"/>
              </w:rPr>
              <w:t xml:space="preserve"> simultaneous </w:t>
            </w:r>
            <w:r>
              <w:rPr>
                <w:lang w:eastAsia="zh-CN"/>
              </w:rPr>
              <w:t>execution</w:t>
            </w:r>
            <w:r>
              <w:rPr>
                <w:rFonts w:hint="eastAsia"/>
                <w:lang w:eastAsia="zh-CN"/>
              </w:rPr>
              <w:t xml:space="preserve"> is allowed or not.</w:t>
            </w:r>
          </w:p>
        </w:tc>
      </w:tr>
      <w:tr w14:paraId="1E0B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F59D39">
            <w:pPr>
              <w:jc w:val="both"/>
              <w:rPr>
                <w:lang w:eastAsia="zh-CN"/>
              </w:rPr>
            </w:pPr>
            <w:r>
              <w:rPr>
                <w:rFonts w:hint="eastAsia"/>
                <w:lang w:eastAsia="zh-CN"/>
              </w:rPr>
              <w:t>Z</w:t>
            </w:r>
            <w:r>
              <w:rPr>
                <w:lang w:eastAsia="zh-CN"/>
              </w:rPr>
              <w:t>TE</w:t>
            </w:r>
          </w:p>
        </w:tc>
        <w:tc>
          <w:tcPr>
            <w:tcW w:w="1842" w:type="dxa"/>
          </w:tcPr>
          <w:p w14:paraId="4E9D5079">
            <w:pPr>
              <w:jc w:val="both"/>
              <w:rPr>
                <w:lang w:eastAsia="zh-CN"/>
              </w:rPr>
            </w:pPr>
            <w:r>
              <w:rPr>
                <w:rFonts w:hint="eastAsia"/>
                <w:lang w:eastAsia="zh-CN"/>
              </w:rPr>
              <w:t>N</w:t>
            </w:r>
            <w:r>
              <w:rPr>
                <w:lang w:eastAsia="zh-CN"/>
              </w:rPr>
              <w:t>o</w:t>
            </w:r>
          </w:p>
        </w:tc>
        <w:tc>
          <w:tcPr>
            <w:tcW w:w="5809" w:type="dxa"/>
          </w:tcPr>
          <w:p w14:paraId="042517B7">
            <w:pPr>
              <w:jc w:val="both"/>
              <w:rPr>
                <w:lang w:eastAsia="zh-CN"/>
              </w:rPr>
            </w:pPr>
            <w:r>
              <w:rPr>
                <w:lang w:eastAsia="zh-CN"/>
              </w:rPr>
              <w:t xml:space="preserve">Share the same view with Huawei. </w:t>
            </w:r>
          </w:p>
        </w:tc>
      </w:tr>
      <w:tr w14:paraId="307D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79030A9">
            <w:pPr>
              <w:jc w:val="both"/>
              <w:rPr>
                <w:lang w:eastAsia="zh-CN"/>
              </w:rPr>
            </w:pPr>
            <w:r>
              <w:rPr>
                <w:lang w:eastAsia="zh-CN"/>
              </w:rPr>
              <w:t>Nokia</w:t>
            </w:r>
          </w:p>
        </w:tc>
        <w:tc>
          <w:tcPr>
            <w:tcW w:w="1842" w:type="dxa"/>
          </w:tcPr>
          <w:p w14:paraId="31A7A6D3">
            <w:pPr>
              <w:jc w:val="both"/>
              <w:rPr>
                <w:lang w:eastAsia="zh-CN"/>
              </w:rPr>
            </w:pPr>
            <w:r>
              <w:rPr>
                <w:lang w:eastAsia="zh-CN"/>
              </w:rPr>
              <w:t>No</w:t>
            </w:r>
          </w:p>
        </w:tc>
        <w:tc>
          <w:tcPr>
            <w:tcW w:w="5809" w:type="dxa"/>
          </w:tcPr>
          <w:p w14:paraId="07B7C7EB">
            <w:pPr>
              <w:jc w:val="both"/>
              <w:rPr>
                <w:bCs/>
                <w:lang w:eastAsia="zh-CN"/>
              </w:rPr>
            </w:pPr>
            <w:r>
              <w:rPr>
                <w:bCs/>
                <w:lang w:eastAsia="zh-CN"/>
              </w:rPr>
              <w:t xml:space="preserve">We see no need to define these coexistence rules. </w:t>
            </w:r>
          </w:p>
        </w:tc>
      </w:tr>
      <w:tr w14:paraId="3F7E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14:paraId="4FE647BA">
            <w:pPr>
              <w:jc w:val="both"/>
              <w:rPr>
                <w:lang w:eastAsia="zh-CN"/>
              </w:rPr>
            </w:pPr>
            <w:bookmarkStart w:id="4" w:name="_GoBack" w:colFirst="0" w:colLast="2"/>
            <w:r>
              <w:rPr>
                <w:rFonts w:hint="eastAsia"/>
                <w:lang w:eastAsia="zh-CN"/>
              </w:rPr>
              <w:t>CATT</w:t>
            </w:r>
          </w:p>
        </w:tc>
        <w:tc>
          <w:tcPr>
            <w:tcW w:w="1842" w:type="dxa"/>
            <w:vAlign w:val="top"/>
          </w:tcPr>
          <w:p w14:paraId="505A7FEA">
            <w:pPr>
              <w:jc w:val="both"/>
              <w:rPr>
                <w:lang w:eastAsia="zh-CN"/>
              </w:rPr>
            </w:pPr>
            <w:r>
              <w:rPr>
                <w:rFonts w:hint="eastAsia"/>
                <w:lang w:eastAsia="zh-CN"/>
              </w:rPr>
              <w:t>No</w:t>
            </w:r>
          </w:p>
        </w:tc>
        <w:tc>
          <w:tcPr>
            <w:tcW w:w="5809" w:type="dxa"/>
            <w:vAlign w:val="top"/>
          </w:tcPr>
          <w:p w14:paraId="3AEA0994">
            <w:pPr>
              <w:jc w:val="both"/>
              <w:rPr>
                <w:lang w:eastAsia="zh-CN"/>
              </w:rPr>
            </w:pPr>
            <w:r>
              <w:rPr>
                <w:rFonts w:hint="eastAsia"/>
                <w:bCs/>
                <w:lang w:eastAsia="zh-CN"/>
              </w:rPr>
              <w:t>In Rel-17, if the UE is configured with CHO with MRDC (and not CPC), PSCell change triggered via RRC does not initiate it to release the CHO configuration as well.</w:t>
            </w:r>
          </w:p>
        </w:tc>
      </w:tr>
      <w:bookmarkEnd w:id="4"/>
      <w:tr w14:paraId="2DEF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80C0D7C">
            <w:pPr>
              <w:jc w:val="both"/>
              <w:rPr>
                <w:lang w:val="en-US" w:eastAsia="zh-CN"/>
              </w:rPr>
            </w:pPr>
          </w:p>
        </w:tc>
        <w:tc>
          <w:tcPr>
            <w:tcW w:w="1842" w:type="dxa"/>
          </w:tcPr>
          <w:p w14:paraId="316E2D48">
            <w:pPr>
              <w:jc w:val="both"/>
              <w:rPr>
                <w:lang w:val="en-US" w:eastAsia="zh-CN"/>
              </w:rPr>
            </w:pPr>
          </w:p>
        </w:tc>
        <w:tc>
          <w:tcPr>
            <w:tcW w:w="5809" w:type="dxa"/>
          </w:tcPr>
          <w:p w14:paraId="6ACBF7D3">
            <w:pPr>
              <w:jc w:val="both"/>
              <w:rPr>
                <w:lang w:val="en-US" w:eastAsia="zh-CN"/>
              </w:rPr>
            </w:pPr>
          </w:p>
        </w:tc>
      </w:tr>
      <w:tr w14:paraId="3E0E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E0CE9B5">
            <w:pPr>
              <w:jc w:val="both"/>
              <w:rPr>
                <w:lang w:val="en-US" w:eastAsia="zh-CN"/>
              </w:rPr>
            </w:pPr>
          </w:p>
        </w:tc>
        <w:tc>
          <w:tcPr>
            <w:tcW w:w="1842" w:type="dxa"/>
          </w:tcPr>
          <w:p w14:paraId="606EA675">
            <w:pPr>
              <w:jc w:val="both"/>
              <w:rPr>
                <w:lang w:val="en-US" w:eastAsia="zh-CN"/>
              </w:rPr>
            </w:pPr>
          </w:p>
        </w:tc>
        <w:tc>
          <w:tcPr>
            <w:tcW w:w="5809" w:type="dxa"/>
          </w:tcPr>
          <w:p w14:paraId="0FF4D151">
            <w:pPr>
              <w:jc w:val="both"/>
              <w:rPr>
                <w:lang w:val="en-US" w:eastAsia="zh-CN"/>
              </w:rPr>
            </w:pPr>
          </w:p>
        </w:tc>
      </w:tr>
      <w:tr w14:paraId="77F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5D1F9DC">
            <w:pPr>
              <w:jc w:val="both"/>
              <w:rPr>
                <w:lang w:val="en-US" w:eastAsia="zh-CN"/>
              </w:rPr>
            </w:pPr>
          </w:p>
        </w:tc>
        <w:tc>
          <w:tcPr>
            <w:tcW w:w="1842" w:type="dxa"/>
          </w:tcPr>
          <w:p w14:paraId="736B4689">
            <w:pPr>
              <w:jc w:val="both"/>
              <w:rPr>
                <w:lang w:val="en-US" w:eastAsia="zh-CN"/>
              </w:rPr>
            </w:pPr>
          </w:p>
        </w:tc>
        <w:tc>
          <w:tcPr>
            <w:tcW w:w="5809" w:type="dxa"/>
          </w:tcPr>
          <w:p w14:paraId="757DD8E6">
            <w:pPr>
              <w:jc w:val="both"/>
              <w:rPr>
                <w:lang w:val="en-US" w:eastAsia="zh-CN"/>
              </w:rPr>
            </w:pPr>
          </w:p>
        </w:tc>
      </w:tr>
    </w:tbl>
    <w:p w14:paraId="14362E40">
      <w:pPr>
        <w:jc w:val="both"/>
      </w:pPr>
    </w:p>
    <w:p w14:paraId="60A84CA0">
      <w:pPr>
        <w:jc w:val="both"/>
        <w:rPr>
          <w:b/>
          <w:bCs/>
        </w:rPr>
      </w:pPr>
      <w:r>
        <w:rPr>
          <w:b/>
          <w:bCs/>
        </w:rPr>
        <w:t>Summary for Q2:</w:t>
      </w:r>
    </w:p>
    <w:p w14:paraId="2F380EB1">
      <w:pPr>
        <w:jc w:val="both"/>
        <w:rPr>
          <w:b/>
          <w:bCs/>
        </w:rPr>
      </w:pPr>
    </w:p>
    <w:p w14:paraId="14985CBE">
      <w:pPr>
        <w:pStyle w:val="3"/>
      </w:pPr>
      <w:r>
        <w:t>2.3</w:t>
      </w:r>
      <w:r>
        <w:tab/>
      </w:r>
      <w:r>
        <w:t>Issues with in-principle-agreed CR (R2-2409936)</w:t>
      </w:r>
    </w:p>
    <w:p w14:paraId="1DB0006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pPr>
        <w:jc w:val="both"/>
        <w:rPr>
          <w:b/>
          <w:bCs/>
        </w:rPr>
      </w:pPr>
      <w:r>
        <w:rPr>
          <w:b/>
          <w:bCs/>
        </w:rPr>
        <w:t>Question 3: What kind of changes, besides updating “Consequences if not approved” are required for IPA CR (R2-2409936)?</w:t>
      </w:r>
    </w:p>
    <w:tbl>
      <w:tblPr>
        <w:tblStyle w:val="3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4"/>
      </w:tblGrid>
      <w:tr w14:paraId="0724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7D80C00">
            <w:pPr>
              <w:jc w:val="both"/>
              <w:rPr>
                <w:b/>
              </w:rPr>
            </w:pPr>
            <w:r>
              <w:rPr>
                <w:b/>
              </w:rPr>
              <w:t>Company</w:t>
            </w:r>
          </w:p>
        </w:tc>
        <w:tc>
          <w:tcPr>
            <w:tcW w:w="7654" w:type="dxa"/>
          </w:tcPr>
          <w:p w14:paraId="76512B0C">
            <w:pPr>
              <w:jc w:val="both"/>
              <w:rPr>
                <w:b/>
              </w:rPr>
            </w:pPr>
            <w:r>
              <w:rPr>
                <w:b/>
              </w:rPr>
              <w:t>Comments</w:t>
            </w:r>
          </w:p>
        </w:tc>
      </w:tr>
      <w:tr w14:paraId="53C8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120E358">
            <w:pPr>
              <w:jc w:val="both"/>
              <w:rPr>
                <w:lang w:eastAsia="zh-CN"/>
              </w:rPr>
            </w:pPr>
            <w:r>
              <w:rPr>
                <w:lang w:eastAsia="zh-CN"/>
              </w:rPr>
              <w:t>Huawei, HiSilicon</w:t>
            </w:r>
          </w:p>
        </w:tc>
        <w:tc>
          <w:tcPr>
            <w:tcW w:w="7654" w:type="dxa"/>
          </w:tcPr>
          <w:p w14:paraId="5D8FB07E">
            <w:pPr>
              <w:pStyle w:val="43"/>
              <w:numPr>
                <w:ilvl w:val="0"/>
                <w:numId w:val="3"/>
              </w:numPr>
            </w:pPr>
            <w:r>
              <w:t xml:space="preserve">While the UE has stored LTM candidate configurations the UE can also execute any L3 handover except for DAPS handover. In the RRC message which the UE applies for any L3 handover (except DAPS), </w:t>
            </w:r>
            <w:r>
              <w:rPr>
                <w:color w:val="FF0000"/>
                <w:u w:val="single"/>
              </w:rPr>
              <w:t>the</w:t>
            </w:r>
            <w:r>
              <w:t xml:space="preserve"> LTM candidate configurations can be added/modified/released by the target cell. </w:t>
            </w:r>
          </w:p>
          <w:p w14:paraId="13810AD7">
            <w:pPr>
              <w:rPr>
                <w:lang w:eastAsia="zh-CN"/>
              </w:rPr>
            </w:pPr>
            <w:r>
              <w:rPr>
                <w:lang w:eastAsia="zh-CN"/>
              </w:rPr>
              <w:t>Here, “the” can only be used to refer to LTM candidate configurations that were previously mentioned, but the only candidate configurations that were mentioned before is the stored ones, so “the LTM candidate configurations can be added” makes no sense.</w:t>
            </w:r>
          </w:p>
          <w:p w14:paraId="4FE765FD">
            <w:pPr>
              <w:rPr>
                <w:lang w:eastAsia="zh-CN"/>
              </w:rPr>
            </w:pPr>
            <w:r>
              <w:rPr>
                <w:lang w:eastAsia="zh-CN"/>
              </w:rPr>
              <w:t>Besides, there is nothing in the “reason for change” to explain the motivation of this addition and the text looks correct and clear without any change.</w:t>
            </w:r>
          </w:p>
          <w:p w14:paraId="7BB2D5E1">
            <w:pPr>
              <w:pStyle w:val="43"/>
              <w:numPr>
                <w:ilvl w:val="0"/>
                <w:numId w:val="3"/>
              </w:numPr>
            </w:pPr>
            <w:r>
              <w:t xml:space="preserve">The overall procedure for LTM is shown in Figure 9.2.3.5.2-1 below. Subsequent LTM is done by repeating the early synchronization, LTM cell switch execution, and LTM cell switch completion steps without releasing, </w:t>
            </w:r>
            <w:r>
              <w:rPr>
                <w:color w:val="FF0000"/>
                <w:u w:val="single"/>
              </w:rPr>
              <w:t xml:space="preserve">reconfiguring, or adding </w:t>
            </w:r>
            <w:r>
              <w:t>other LTM candidate configurations after each LTM cell switch completion.</w:t>
            </w:r>
          </w:p>
          <w:p w14:paraId="251F5416">
            <w:pPr>
              <w:rPr>
                <w:lang w:eastAsia="zh-CN"/>
              </w:rPr>
            </w:pPr>
            <w:r>
              <w:rPr>
                <w:lang w:eastAsia="zh-CN"/>
              </w:rPr>
              <w:t>Some change can be done but:</w:t>
            </w:r>
          </w:p>
          <w:p w14:paraId="322D25AE">
            <w:pPr>
              <w:pStyle w:val="43"/>
              <w:numPr>
                <w:ilvl w:val="0"/>
                <w:numId w:val="4"/>
              </w:numPr>
              <w:rPr>
                <w:lang w:eastAsia="zh-CN"/>
              </w:rPr>
            </w:pPr>
            <w:r>
              <w:rPr>
                <w:lang w:eastAsia="zh-CN"/>
              </w:rPr>
              <w:t>The motivation should be in the “reason for change” e.g., “the intention of subsequent LTM is not only that the candidate LTM configurations that were not executed can be kept, but that they also don’t need to be reconfigured or replaced by new ones”.</w:t>
            </w:r>
          </w:p>
          <w:p w14:paraId="6FB7B8DC">
            <w:pPr>
              <w:pStyle w:val="43"/>
              <w:numPr>
                <w:ilvl w:val="0"/>
                <w:numId w:val="4"/>
              </w:numPr>
              <w:rPr>
                <w:lang w:eastAsia="zh-CN"/>
              </w:rPr>
            </w:pPr>
            <w:r>
              <w:rPr>
                <w:lang w:eastAsia="zh-CN"/>
              </w:rPr>
              <w:t>“</w:t>
            </w:r>
            <w:r>
              <w:t xml:space="preserve">Clarified that if there is a subsequent LTM, the LTM candidate configuration </w:t>
            </w:r>
            <w:r>
              <w:rPr>
                <w:u w:val="single"/>
              </w:rPr>
              <w:t>should not be released, reconfigured, or added.</w:t>
            </w:r>
            <w:r>
              <w:rPr>
                <w:lang w:eastAsia="zh-CN"/>
              </w:rPr>
              <w:t>” seems to say that the network is not allowed to release, reconfigure or add configurations after executions, which is not correct.</w:t>
            </w:r>
          </w:p>
          <w:p w14:paraId="14932286">
            <w:pPr>
              <w:rPr>
                <w:lang w:eastAsia="zh-CN"/>
              </w:rPr>
            </w:pPr>
            <w:r>
              <w:rPr>
                <w:lang w:eastAsia="zh-CN"/>
              </w:rPr>
              <w:t>Such a confusion could be avoided like:</w:t>
            </w:r>
          </w:p>
          <w:p w14:paraId="54098490">
            <w:pPr>
              <w:pStyle w:val="43"/>
              <w:numPr>
                <w:ilvl w:val="0"/>
                <w:numId w:val="5"/>
              </w:numPr>
            </w:pPr>
            <w:r>
              <w:t xml:space="preserve">The overall procedure for LTM is shown in Figure 9.2.3.5.2-1 below. Subsequent LTM is done by repeating the early synchronization, LTM cell switch execution, and LTM cell switch completion steps without </w:t>
            </w:r>
            <w:r>
              <w:rPr>
                <w:color w:val="FF0000"/>
                <w:u w:val="single"/>
              </w:rPr>
              <w:t xml:space="preserve">the need to </w:t>
            </w:r>
            <w:r>
              <w:t>releas</w:t>
            </w:r>
            <w:r>
              <w:rPr>
                <w:color w:val="FF0000"/>
                <w:u w:val="single"/>
              </w:rPr>
              <w:t>e</w:t>
            </w:r>
            <w:r>
              <w:rPr>
                <w:strike/>
                <w:color w:val="FF0000"/>
              </w:rPr>
              <w:t>ing</w:t>
            </w:r>
            <w:r>
              <w:t xml:space="preserve">, </w:t>
            </w:r>
            <w:r>
              <w:rPr>
                <w:color w:val="FF0000"/>
                <w:u w:val="single"/>
              </w:rPr>
              <w:t xml:space="preserve">reconfigure, or add </w:t>
            </w:r>
            <w:r>
              <w:t>other LTM candidate configurations after each LTM cell switch completion.</w:t>
            </w:r>
          </w:p>
          <w:p w14:paraId="55BE72DF">
            <w:pPr>
              <w:pStyle w:val="43"/>
              <w:rPr>
                <w:lang w:eastAsia="zh-CN"/>
              </w:rPr>
            </w:pPr>
            <w:r>
              <w:rPr>
                <w:lang w:eastAsia="zh-CN"/>
              </w:rPr>
              <w:t xml:space="preserve"> </w:t>
            </w:r>
          </w:p>
        </w:tc>
      </w:tr>
      <w:tr w14:paraId="468D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0B231EE">
            <w:pPr>
              <w:jc w:val="both"/>
              <w:rPr>
                <w:lang w:eastAsia="zh-CN"/>
              </w:rPr>
            </w:pPr>
          </w:p>
        </w:tc>
        <w:tc>
          <w:tcPr>
            <w:tcW w:w="7654" w:type="dxa"/>
          </w:tcPr>
          <w:p w14:paraId="5F32460F">
            <w:pPr>
              <w:jc w:val="both"/>
              <w:rPr>
                <w:lang w:eastAsia="zh-CN"/>
              </w:rPr>
            </w:pPr>
          </w:p>
        </w:tc>
      </w:tr>
      <w:tr w14:paraId="54A3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16CFBB1">
            <w:pPr>
              <w:jc w:val="both"/>
              <w:rPr>
                <w:lang w:eastAsia="zh-CN"/>
              </w:rPr>
            </w:pPr>
          </w:p>
        </w:tc>
        <w:tc>
          <w:tcPr>
            <w:tcW w:w="7654" w:type="dxa"/>
          </w:tcPr>
          <w:p w14:paraId="3D007836">
            <w:pPr>
              <w:jc w:val="both"/>
              <w:rPr>
                <w:lang w:eastAsia="zh-CN"/>
              </w:rPr>
            </w:pPr>
          </w:p>
        </w:tc>
      </w:tr>
      <w:tr w14:paraId="7533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0784942">
            <w:pPr>
              <w:jc w:val="both"/>
              <w:rPr>
                <w:lang w:val="en-US" w:eastAsia="zh-CN"/>
              </w:rPr>
            </w:pPr>
          </w:p>
        </w:tc>
        <w:tc>
          <w:tcPr>
            <w:tcW w:w="7654" w:type="dxa"/>
          </w:tcPr>
          <w:p w14:paraId="119F382E">
            <w:pPr>
              <w:jc w:val="both"/>
              <w:rPr>
                <w:lang w:eastAsia="zh-CN"/>
              </w:rPr>
            </w:pPr>
          </w:p>
        </w:tc>
      </w:tr>
      <w:tr w14:paraId="67A4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7BCC8B9">
            <w:pPr>
              <w:jc w:val="both"/>
              <w:rPr>
                <w:lang w:val="en-US" w:eastAsia="zh-CN"/>
              </w:rPr>
            </w:pPr>
          </w:p>
        </w:tc>
        <w:tc>
          <w:tcPr>
            <w:tcW w:w="7654" w:type="dxa"/>
          </w:tcPr>
          <w:p w14:paraId="306D3C8C">
            <w:pPr>
              <w:jc w:val="both"/>
              <w:rPr>
                <w:lang w:val="en-US" w:eastAsia="zh-CN"/>
              </w:rPr>
            </w:pPr>
          </w:p>
        </w:tc>
      </w:tr>
      <w:tr w14:paraId="5758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B4B06E4">
            <w:pPr>
              <w:jc w:val="both"/>
              <w:rPr>
                <w:lang w:eastAsia="zh-CN"/>
              </w:rPr>
            </w:pPr>
          </w:p>
        </w:tc>
        <w:tc>
          <w:tcPr>
            <w:tcW w:w="7654" w:type="dxa"/>
          </w:tcPr>
          <w:p w14:paraId="28542AE0">
            <w:pPr>
              <w:jc w:val="both"/>
              <w:rPr>
                <w:lang w:eastAsia="zh-CN"/>
              </w:rPr>
            </w:pPr>
          </w:p>
        </w:tc>
      </w:tr>
      <w:tr w14:paraId="46B5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EFCFAED">
            <w:pPr>
              <w:jc w:val="both"/>
              <w:rPr>
                <w:lang w:eastAsia="zh-CN"/>
              </w:rPr>
            </w:pPr>
          </w:p>
        </w:tc>
        <w:tc>
          <w:tcPr>
            <w:tcW w:w="7654" w:type="dxa"/>
          </w:tcPr>
          <w:p w14:paraId="7A334E81">
            <w:pPr>
              <w:jc w:val="both"/>
              <w:rPr>
                <w:lang w:eastAsia="zh-CN"/>
              </w:rPr>
            </w:pPr>
          </w:p>
        </w:tc>
      </w:tr>
      <w:tr w14:paraId="518F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59C7C8">
            <w:pPr>
              <w:jc w:val="both"/>
              <w:rPr>
                <w:lang w:eastAsia="zh-CN"/>
              </w:rPr>
            </w:pPr>
          </w:p>
        </w:tc>
        <w:tc>
          <w:tcPr>
            <w:tcW w:w="7654" w:type="dxa"/>
          </w:tcPr>
          <w:p w14:paraId="7451FA47">
            <w:pPr>
              <w:jc w:val="both"/>
              <w:rPr>
                <w:lang w:eastAsia="zh-CN"/>
              </w:rPr>
            </w:pPr>
          </w:p>
        </w:tc>
      </w:tr>
      <w:tr w14:paraId="4EB4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864C7C7">
            <w:pPr>
              <w:jc w:val="both"/>
              <w:rPr>
                <w:lang w:val="en-US" w:eastAsia="zh-CN"/>
              </w:rPr>
            </w:pPr>
          </w:p>
        </w:tc>
        <w:tc>
          <w:tcPr>
            <w:tcW w:w="7654" w:type="dxa"/>
          </w:tcPr>
          <w:p w14:paraId="4D5114F4">
            <w:pPr>
              <w:jc w:val="both"/>
              <w:rPr>
                <w:lang w:val="en-US" w:eastAsia="zh-CN"/>
              </w:rPr>
            </w:pPr>
          </w:p>
        </w:tc>
      </w:tr>
      <w:tr w14:paraId="20DF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1C5B9DA">
            <w:pPr>
              <w:jc w:val="both"/>
              <w:rPr>
                <w:lang w:val="en-US" w:eastAsia="zh-CN"/>
              </w:rPr>
            </w:pPr>
          </w:p>
        </w:tc>
        <w:tc>
          <w:tcPr>
            <w:tcW w:w="7654" w:type="dxa"/>
          </w:tcPr>
          <w:p w14:paraId="4977E485">
            <w:pPr>
              <w:jc w:val="both"/>
              <w:rPr>
                <w:lang w:val="en-US" w:eastAsia="zh-CN"/>
              </w:rPr>
            </w:pPr>
          </w:p>
        </w:tc>
      </w:tr>
      <w:tr w14:paraId="1E1A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AD85C87">
            <w:pPr>
              <w:jc w:val="both"/>
              <w:rPr>
                <w:lang w:val="en-US" w:eastAsia="zh-CN"/>
              </w:rPr>
            </w:pPr>
          </w:p>
        </w:tc>
        <w:tc>
          <w:tcPr>
            <w:tcW w:w="7654" w:type="dxa"/>
          </w:tcPr>
          <w:p w14:paraId="196271AD">
            <w:pPr>
              <w:jc w:val="both"/>
              <w:rPr>
                <w:lang w:val="en-US" w:eastAsia="zh-CN"/>
              </w:rPr>
            </w:pPr>
          </w:p>
        </w:tc>
      </w:tr>
    </w:tbl>
    <w:p w14:paraId="7E8CB700">
      <w:pPr>
        <w:jc w:val="both"/>
        <w:rPr>
          <w:b/>
          <w:bCs/>
        </w:rPr>
      </w:pPr>
    </w:p>
    <w:p w14:paraId="77556D0A">
      <w:pPr>
        <w:jc w:val="both"/>
        <w:rPr>
          <w:b/>
          <w:bCs/>
        </w:rPr>
      </w:pPr>
      <w:r>
        <w:rPr>
          <w:b/>
          <w:bCs/>
        </w:rPr>
        <w:t xml:space="preserve">Summary for Q3: </w:t>
      </w:r>
    </w:p>
    <w:p w14:paraId="29BD3F2F">
      <w:pPr>
        <w:pStyle w:val="2"/>
      </w:pPr>
      <w:r>
        <w:t>3</w:t>
      </w:r>
      <w:r>
        <w:tab/>
      </w:r>
      <w:r>
        <w:t>Conclusion</w:t>
      </w:r>
    </w:p>
    <w:p w14:paraId="5C2DC0F2">
      <w:r>
        <w:t>In this document the following proposals have been made:</w:t>
      </w:r>
    </w:p>
    <w:p w14:paraId="2C5FCDC5">
      <w:pPr>
        <w:pStyle w:val="2"/>
      </w:pPr>
      <w:r>
        <w:t>References</w:t>
      </w:r>
    </w:p>
    <w:p w14:paraId="7265D04F">
      <w:pPr>
        <w:pStyle w:val="43"/>
        <w:numPr>
          <w:ilvl w:val="0"/>
          <w:numId w:val="6"/>
        </w:numPr>
      </w:pPr>
      <w:bookmarkStart w:id="0" w:name="_Ref182903574"/>
      <w:r>
        <w:t>R2-2410442</w:t>
      </w:r>
      <w:r>
        <w:tab/>
      </w:r>
      <w:r>
        <w:rPr>
          <w:i/>
          <w:iCs/>
        </w:rPr>
        <w:t>Miscellaneous Rel-18 LTM Aspects and Corrections</w:t>
      </w:r>
      <w:r>
        <w:tab/>
      </w:r>
      <w:r>
        <w:t>3GPP TSG-RAN WG2 Meeting #128 Orlando, USA, 18th – 22nd of November 2024</w:t>
      </w:r>
      <w:bookmarkEnd w:id="0"/>
    </w:p>
    <w:p w14:paraId="5073927D">
      <w:pPr>
        <w:pStyle w:val="43"/>
        <w:numPr>
          <w:ilvl w:val="0"/>
          <w:numId w:val="6"/>
        </w:numPr>
        <w:spacing w:line="259" w:lineRule="auto"/>
        <w:jc w:val="both"/>
      </w:pPr>
      <w:bookmarkStart w:id="1" w:name="_Ref182904150"/>
      <w:r>
        <w:t>R2-2410449</w:t>
      </w:r>
      <w:r>
        <w:tab/>
      </w:r>
      <w:r>
        <w:rPr>
          <w:i/>
          <w:iCs/>
        </w:rPr>
        <w:t>Stage 2 TP for simultaneous execution of CHO and SCG LTM</w:t>
      </w:r>
      <w:r>
        <w:tab/>
      </w:r>
      <w:r>
        <w:t>3GPP TSG-RAN WG2 Meeting #128 Orlando, USA, 18th – 22nd of November 2024</w:t>
      </w:r>
      <w:bookmarkEnd w:id="1"/>
    </w:p>
    <w:p w14:paraId="04A60E2B">
      <w:pPr>
        <w:pStyle w:val="43"/>
        <w:numPr>
          <w:ilvl w:val="0"/>
          <w:numId w:val="6"/>
        </w:numPr>
        <w:spacing w:line="259" w:lineRule="auto"/>
        <w:jc w:val="both"/>
      </w:pPr>
      <w:bookmarkStart w:id="2" w:name="_Ref182903685"/>
      <w:r>
        <w:t xml:space="preserve">R2-2409356 </w:t>
      </w:r>
      <w:r>
        <w:tab/>
      </w:r>
      <w:r>
        <w:rPr>
          <w:i/>
          <w:iCs/>
        </w:rPr>
        <w:t>Report from [AT127b][104][MOB] (Nokia)</w:t>
      </w:r>
      <w:r>
        <w:t xml:space="preserve">  3GPP TSG-RAN WG2 Meeting #127bis Hefei, China, 14th – 18th of October 2024</w:t>
      </w:r>
      <w:bookmarkEnd w:id="2"/>
    </w:p>
    <w:p w14:paraId="48648807">
      <w:pPr>
        <w:pStyle w:val="43"/>
        <w:numPr>
          <w:ilvl w:val="0"/>
          <w:numId w:val="6"/>
        </w:numPr>
        <w:spacing w:line="259" w:lineRule="auto"/>
        <w:jc w:val="both"/>
      </w:pPr>
      <w:bookmarkStart w:id="3" w:name="_Ref182925951"/>
      <w:r>
        <w:t>R2-2409936</w:t>
      </w:r>
      <w:r>
        <w:tab/>
      </w:r>
      <w:r>
        <w:rPr>
          <w:i/>
          <w:iCs/>
        </w:rPr>
        <w:t>Misc state 2 corrections for LTM mobility</w:t>
      </w:r>
      <w:r>
        <w:rPr>
          <w:i/>
          <w:iCs/>
        </w:rPr>
        <w:tab/>
      </w:r>
      <w:r>
        <w:t xml:space="preserve"> 3GPP TSG-RAN WG2 Meeting #128 Orlando, USA, 18th – 22nd of November 2024</w:t>
      </w:r>
      <w:bookmarkEnd w:id="3"/>
    </w:p>
    <w:sectPr>
      <w:footerReference r:id="rId4" w:type="default"/>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Liberation Sans">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3E412">
    <w:pPr>
      <w:pStyle w:val="25"/>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00A7F8C2">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ba784c6080c20a173bf22bd8"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Itf4r2AAAAAsBAAAPAAAAAAAAAAEAIAAAACIAAABkcnMv&#10;ZG93bnJldi54bWxQSwECFAAUAAAACACHTuJA/+xur64CAABcBQAADgAAAAAAAAABACAAAAAnAQAA&#10;ZHJzL2Uyb0RvYy54bWxQSwUGAAAAAAYABgBZAQAARwYAAAAA&#10;">
              <v:fill on="f" focussize="0,0"/>
              <v:stroke on="f" weight="0.5pt"/>
              <v:imagedata o:title=""/>
              <o:lock v:ext="edit" aspectratio="f"/>
              <v:textbox inset="20pt,0mm,2.54mm,0mm">
                <w:txbxContent>
                  <w:p w14:paraId="00A7F8C2">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F12A9"/>
    <w:multiLevelType w:val="multilevel"/>
    <w:tmpl w:val="0C2F12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8E0630C"/>
    <w:multiLevelType w:val="multilevel"/>
    <w:tmpl w:val="28E0630C"/>
    <w:lvl w:ilvl="0" w:tentative="0">
      <w:start w:val="1"/>
      <w:numFmt w:val="bullet"/>
      <w:lvlText w:val=""/>
      <w:lvlJc w:val="left"/>
      <w:pPr>
        <w:tabs>
          <w:tab w:val="left" w:pos="0"/>
        </w:tabs>
        <w:ind w:left="770" w:hanging="360"/>
      </w:pPr>
      <w:rPr>
        <w:rFonts w:hint="default" w:ascii="Symbol" w:hAnsi="Symbol" w:cs="Symbol"/>
      </w:rPr>
    </w:lvl>
    <w:lvl w:ilvl="1" w:tentative="0">
      <w:start w:val="1"/>
      <w:numFmt w:val="bullet"/>
      <w:lvlText w:val="o"/>
      <w:lvlJc w:val="left"/>
      <w:pPr>
        <w:tabs>
          <w:tab w:val="left" w:pos="0"/>
        </w:tabs>
        <w:ind w:left="1490" w:hanging="360"/>
      </w:pPr>
      <w:rPr>
        <w:rFonts w:hint="default" w:ascii="Courier New" w:hAnsi="Courier New" w:cs="Courier New"/>
      </w:rPr>
    </w:lvl>
    <w:lvl w:ilvl="2" w:tentative="0">
      <w:start w:val="1"/>
      <w:numFmt w:val="bullet"/>
      <w:lvlText w:val=""/>
      <w:lvlJc w:val="left"/>
      <w:pPr>
        <w:tabs>
          <w:tab w:val="left" w:pos="0"/>
        </w:tabs>
        <w:ind w:left="2210" w:hanging="360"/>
      </w:pPr>
      <w:rPr>
        <w:rFonts w:hint="default" w:ascii="Wingdings" w:hAnsi="Wingdings" w:cs="Wingdings"/>
      </w:rPr>
    </w:lvl>
    <w:lvl w:ilvl="3" w:tentative="0">
      <w:start w:val="1"/>
      <w:numFmt w:val="bullet"/>
      <w:lvlText w:val=""/>
      <w:lvlJc w:val="left"/>
      <w:pPr>
        <w:tabs>
          <w:tab w:val="left" w:pos="0"/>
        </w:tabs>
        <w:ind w:left="2930" w:hanging="360"/>
      </w:pPr>
      <w:rPr>
        <w:rFonts w:hint="default" w:ascii="Symbol" w:hAnsi="Symbol" w:cs="Symbol"/>
      </w:rPr>
    </w:lvl>
    <w:lvl w:ilvl="4" w:tentative="0">
      <w:start w:val="1"/>
      <w:numFmt w:val="bullet"/>
      <w:lvlText w:val="o"/>
      <w:lvlJc w:val="left"/>
      <w:pPr>
        <w:tabs>
          <w:tab w:val="left" w:pos="0"/>
        </w:tabs>
        <w:ind w:left="3650" w:hanging="360"/>
      </w:pPr>
      <w:rPr>
        <w:rFonts w:hint="default" w:ascii="Courier New" w:hAnsi="Courier New" w:cs="Courier New"/>
      </w:rPr>
    </w:lvl>
    <w:lvl w:ilvl="5" w:tentative="0">
      <w:start w:val="1"/>
      <w:numFmt w:val="bullet"/>
      <w:lvlText w:val=""/>
      <w:lvlJc w:val="left"/>
      <w:pPr>
        <w:tabs>
          <w:tab w:val="left" w:pos="0"/>
        </w:tabs>
        <w:ind w:left="4370" w:hanging="360"/>
      </w:pPr>
      <w:rPr>
        <w:rFonts w:hint="default" w:ascii="Wingdings" w:hAnsi="Wingdings" w:cs="Wingdings"/>
      </w:rPr>
    </w:lvl>
    <w:lvl w:ilvl="6" w:tentative="0">
      <w:start w:val="1"/>
      <w:numFmt w:val="bullet"/>
      <w:lvlText w:val=""/>
      <w:lvlJc w:val="left"/>
      <w:pPr>
        <w:tabs>
          <w:tab w:val="left" w:pos="0"/>
        </w:tabs>
        <w:ind w:left="5090" w:hanging="360"/>
      </w:pPr>
      <w:rPr>
        <w:rFonts w:hint="default" w:ascii="Symbol" w:hAnsi="Symbol" w:cs="Symbol"/>
      </w:rPr>
    </w:lvl>
    <w:lvl w:ilvl="7" w:tentative="0">
      <w:start w:val="1"/>
      <w:numFmt w:val="bullet"/>
      <w:lvlText w:val="o"/>
      <w:lvlJc w:val="left"/>
      <w:pPr>
        <w:tabs>
          <w:tab w:val="left" w:pos="0"/>
        </w:tabs>
        <w:ind w:left="5810" w:hanging="360"/>
      </w:pPr>
      <w:rPr>
        <w:rFonts w:hint="default" w:ascii="Courier New" w:hAnsi="Courier New" w:cs="Courier New"/>
      </w:rPr>
    </w:lvl>
    <w:lvl w:ilvl="8" w:tentative="0">
      <w:start w:val="1"/>
      <w:numFmt w:val="bullet"/>
      <w:lvlText w:val=""/>
      <w:lvlJc w:val="left"/>
      <w:pPr>
        <w:tabs>
          <w:tab w:val="left" w:pos="0"/>
        </w:tabs>
        <w:ind w:left="6530" w:hanging="360"/>
      </w:pPr>
      <w:rPr>
        <w:rFonts w:hint="default" w:ascii="Wingdings" w:hAnsi="Wingdings" w:cs="Wingdings"/>
      </w:rPr>
    </w:lvl>
  </w:abstractNum>
  <w:abstractNum w:abstractNumId="2">
    <w:nsid w:val="2B9403DA"/>
    <w:multiLevelType w:val="multilevel"/>
    <w:tmpl w:val="2B9403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DF4F4A"/>
    <w:multiLevelType w:val="multilevel"/>
    <w:tmpl w:val="3ADF4F4A"/>
    <w:lvl w:ilvl="0" w:tentative="0">
      <w:start w:val="1"/>
      <w:numFmt w:val="bullet"/>
      <w:pStyle w:val="47"/>
      <w:lvlText w:val=""/>
      <w:lvlJc w:val="left"/>
      <w:pPr>
        <w:tabs>
          <w:tab w:val="left" w:pos="1619"/>
        </w:tabs>
        <w:ind w:left="1619"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4">
    <w:nsid w:val="3BE62456"/>
    <w:multiLevelType w:val="multilevel"/>
    <w:tmpl w:val="3BE62456"/>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944706E"/>
    <w:multiLevelType w:val="multilevel"/>
    <w:tmpl w:val="4944706E"/>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284"/>
  <w:autoHyphenation/>
  <w:hyphenationZone w:val="425"/>
  <w:doNotHyphenateCaps/>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0OTEyYjg5NzZjNTliZWY1OTFkOGMxYjVkNTk0NTcifQ=="/>
  </w:docVars>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43ED4"/>
    <w:rsid w:val="00363513"/>
    <w:rsid w:val="00365737"/>
    <w:rsid w:val="00396DD6"/>
    <w:rsid w:val="003D4897"/>
    <w:rsid w:val="003F52DB"/>
    <w:rsid w:val="00402BF2"/>
    <w:rsid w:val="00432279"/>
    <w:rsid w:val="00443FB0"/>
    <w:rsid w:val="004A06FB"/>
    <w:rsid w:val="004F1D0C"/>
    <w:rsid w:val="00531FEA"/>
    <w:rsid w:val="00532BCE"/>
    <w:rsid w:val="00582040"/>
    <w:rsid w:val="00646754"/>
    <w:rsid w:val="006771B2"/>
    <w:rsid w:val="00691B4C"/>
    <w:rsid w:val="006B62A4"/>
    <w:rsid w:val="006C3BF5"/>
    <w:rsid w:val="006D45C4"/>
    <w:rsid w:val="006F3C41"/>
    <w:rsid w:val="00703BE3"/>
    <w:rsid w:val="0075045A"/>
    <w:rsid w:val="00767B6F"/>
    <w:rsid w:val="007860E6"/>
    <w:rsid w:val="007F0B9F"/>
    <w:rsid w:val="00801D71"/>
    <w:rsid w:val="00802D79"/>
    <w:rsid w:val="00825362"/>
    <w:rsid w:val="0085213A"/>
    <w:rsid w:val="008A212F"/>
    <w:rsid w:val="008A560D"/>
    <w:rsid w:val="008D005C"/>
    <w:rsid w:val="008F491B"/>
    <w:rsid w:val="009212A2"/>
    <w:rsid w:val="00925103"/>
    <w:rsid w:val="00926927"/>
    <w:rsid w:val="0096579D"/>
    <w:rsid w:val="00970A7A"/>
    <w:rsid w:val="00983A9C"/>
    <w:rsid w:val="009845E3"/>
    <w:rsid w:val="009937B9"/>
    <w:rsid w:val="009B1EB1"/>
    <w:rsid w:val="00A37CED"/>
    <w:rsid w:val="00A47F48"/>
    <w:rsid w:val="00A70B5C"/>
    <w:rsid w:val="00B23833"/>
    <w:rsid w:val="00B6039F"/>
    <w:rsid w:val="00B73A79"/>
    <w:rsid w:val="00B93069"/>
    <w:rsid w:val="00BC1570"/>
    <w:rsid w:val="00BF1768"/>
    <w:rsid w:val="00C2584C"/>
    <w:rsid w:val="00C25ACA"/>
    <w:rsid w:val="00C3356D"/>
    <w:rsid w:val="00C52CDC"/>
    <w:rsid w:val="00C82E9C"/>
    <w:rsid w:val="00CC3DF5"/>
    <w:rsid w:val="00CE13DB"/>
    <w:rsid w:val="00DD49C5"/>
    <w:rsid w:val="00DD6C4E"/>
    <w:rsid w:val="00E132DC"/>
    <w:rsid w:val="00E315AE"/>
    <w:rsid w:val="00E467D0"/>
    <w:rsid w:val="00ED3ADD"/>
    <w:rsid w:val="00F128FB"/>
    <w:rsid w:val="00F42238"/>
    <w:rsid w:val="00F4294D"/>
    <w:rsid w:val="00F51575"/>
    <w:rsid w:val="00F61F0F"/>
    <w:rsid w:val="00F80789"/>
    <w:rsid w:val="2E2A402E"/>
    <w:rsid w:val="76432518"/>
  </w:rsids>
  <m:mathPr>
    <m:mathFont m:val="Cambria Math"/>
    <m:brkBin m:val="before"/>
    <m:brkBinSub m:val="--"/>
    <m:smallFrac m:val="0"/>
    <m:dispDef/>
    <m:lMargin m:val="0"/>
    <m:rMargin m:val="0"/>
    <m:defJc m:val="centerGroup"/>
    <m:wrapIndent m:val="1440"/>
    <m:intLim m:val="subSup"/>
    <m:naryLim m:val="undOvr"/>
  </m:mathPr>
  <w:themeFontLang w:val="en-GB" w:eastAsia="ja-JP"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000000" w:sz="12" w:space="3"/>
      </w:pBdr>
      <w:suppressAutoHyphen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after="180"/>
      <w:ind w:left="851" w:hanging="851"/>
    </w:pPr>
    <w:rPr>
      <w:sz w:val="20"/>
    </w:rPr>
  </w:style>
  <w:style w:type="paragraph" w:styleId="18">
    <w:name w:val="toc 1"/>
    <w:next w:val="1"/>
    <w:semiHidden/>
    <w:qFormat/>
    <w:uiPriority w:val="0"/>
    <w:pPr>
      <w:keepNext/>
      <w:keepLines/>
      <w:widowControl w:val="0"/>
      <w:tabs>
        <w:tab w:val="right" w:leader="dot" w:pos="9639"/>
      </w:tabs>
      <w:suppressAutoHyphen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qFormat/>
    <w:uiPriority w:val="0"/>
    <w:pPr>
      <w:suppressLineNumbers/>
      <w:spacing w:before="120" w:after="120"/>
    </w:pPr>
    <w:rPr>
      <w:rFonts w:cs="Arial"/>
      <w:i/>
      <w:iCs/>
      <w:sz w:val="24"/>
      <w:szCs w:val="24"/>
    </w:rPr>
  </w:style>
  <w:style w:type="paragraph" w:styleId="20">
    <w:name w:val="Document Map"/>
    <w:basedOn w:val="1"/>
    <w:link w:val="39"/>
    <w:qFormat/>
    <w:uiPriority w:val="0"/>
    <w:pPr>
      <w:spacing w:after="0"/>
    </w:pPr>
    <w:rPr>
      <w:sz w:val="24"/>
      <w:szCs w:val="24"/>
    </w:rPr>
  </w:style>
  <w:style w:type="paragraph" w:styleId="21">
    <w:name w:val="annotation text"/>
    <w:basedOn w:val="1"/>
    <w:link w:val="44"/>
    <w:qFormat/>
    <w:uiPriority w:val="0"/>
  </w:style>
  <w:style w:type="paragraph" w:styleId="22">
    <w:name w:val="Body Text"/>
    <w:basedOn w:val="1"/>
    <w:qFormat/>
    <w:uiPriority w:val="0"/>
    <w:pPr>
      <w:spacing w:after="140" w:line="276" w:lineRule="auto"/>
    </w:p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40"/>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38"/>
    <w:qFormat/>
    <w:uiPriority w:val="0"/>
    <w:pPr>
      <w:widowControl w:val="0"/>
      <w:suppressAutoHyphens/>
      <w:textAlignment w:val="baseline"/>
    </w:pPr>
    <w:rPr>
      <w:rFonts w:ascii="Arial" w:hAnsi="Arial" w:eastAsia="宋体" w:cs="Times New Roman"/>
      <w:b/>
      <w:sz w:val="18"/>
      <w:lang w:val="en-GB" w:eastAsia="ja-JP" w:bidi="ar-SA"/>
    </w:rPr>
  </w:style>
  <w:style w:type="paragraph" w:styleId="27">
    <w:name w:val="List"/>
    <w:basedOn w:val="22"/>
    <w:qFormat/>
    <w:uiPriority w:val="0"/>
    <w:rPr>
      <w:rFonts w:cs="Arial"/>
    </w:rPr>
  </w:style>
  <w:style w:type="paragraph" w:styleId="28">
    <w:name w:val="toc 9"/>
    <w:basedOn w:val="23"/>
    <w:next w:val="1"/>
    <w:semiHidden/>
    <w:qFormat/>
    <w:uiPriority w:val="0"/>
    <w:pPr>
      <w:ind w:left="1418" w:hanging="1418"/>
    </w:pPr>
  </w:style>
  <w:style w:type="paragraph" w:styleId="29">
    <w:name w:val="Normal (Web)"/>
    <w:basedOn w:val="1"/>
    <w:unhideWhenUsed/>
    <w:qFormat/>
    <w:uiPriority w:val="99"/>
    <w:pPr>
      <w:spacing w:beforeAutospacing="1" w:afterAutospacing="1"/>
    </w:pPr>
    <w:rPr>
      <w:rFonts w:ascii="Calibri" w:hAnsi="Calibri" w:cs="Calibri" w:eastAsiaTheme="minorHAnsi"/>
      <w:sz w:val="22"/>
      <w:szCs w:val="22"/>
      <w:lang w:val="en-US"/>
    </w:rPr>
  </w:style>
  <w:style w:type="paragraph" w:styleId="30">
    <w:name w:val="annotation subject"/>
    <w:basedOn w:val="21"/>
    <w:next w:val="21"/>
    <w:link w:val="45"/>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annotation reference"/>
    <w:basedOn w:val="33"/>
    <w:qFormat/>
    <w:uiPriority w:val="0"/>
    <w:rPr>
      <w:sz w:val="16"/>
      <w:szCs w:val="16"/>
    </w:rPr>
  </w:style>
  <w:style w:type="character" w:customStyle="1" w:styleId="36">
    <w:name w:val="Internet Link"/>
    <w:qFormat/>
    <w:uiPriority w:val="0"/>
    <w:rPr>
      <w:color w:val="0000FF"/>
      <w:u w:val="single"/>
    </w:rPr>
  </w:style>
  <w:style w:type="character" w:customStyle="1" w:styleId="37">
    <w:name w:val="ZGSM"/>
    <w:qFormat/>
    <w:uiPriority w:val="0"/>
  </w:style>
  <w:style w:type="character" w:customStyle="1" w:styleId="38">
    <w:name w:val="Header Char"/>
    <w:link w:val="26"/>
    <w:qFormat/>
    <w:uiPriority w:val="0"/>
    <w:rPr>
      <w:rFonts w:ascii="Arial" w:hAnsi="Arial"/>
      <w:b/>
      <w:sz w:val="18"/>
      <w:lang w:val="en-GB" w:eastAsia="ja-JP" w:bidi="ar-SA"/>
    </w:rPr>
  </w:style>
  <w:style w:type="character" w:customStyle="1" w:styleId="39">
    <w:name w:val="Document Map Char"/>
    <w:basedOn w:val="33"/>
    <w:link w:val="20"/>
    <w:qFormat/>
    <w:uiPriority w:val="0"/>
    <w:rPr>
      <w:sz w:val="24"/>
      <w:szCs w:val="24"/>
      <w:lang w:eastAsia="en-US"/>
    </w:rPr>
  </w:style>
  <w:style w:type="character" w:customStyle="1" w:styleId="40">
    <w:name w:val="Balloon Text Char"/>
    <w:basedOn w:val="33"/>
    <w:link w:val="24"/>
    <w:qFormat/>
    <w:uiPriority w:val="0"/>
    <w:rPr>
      <w:rFonts w:ascii="Helvetica" w:hAnsi="Helvetica"/>
      <w:sz w:val="18"/>
      <w:szCs w:val="18"/>
      <w:lang w:eastAsia="en-US"/>
    </w:rPr>
  </w:style>
  <w:style w:type="character" w:customStyle="1" w:styleId="41">
    <w:name w:val="未处理的提及1"/>
    <w:basedOn w:val="33"/>
    <w:qFormat/>
    <w:uiPriority w:val="0"/>
    <w:rPr>
      <w:color w:val="605E5C"/>
      <w:shd w:val="clear" w:color="auto" w:fill="E1DFDD"/>
    </w:rPr>
  </w:style>
  <w:style w:type="character" w:customStyle="1" w:styleId="42">
    <w:name w:val="List Paragraph Char"/>
    <w:link w:val="43"/>
    <w:qFormat/>
    <w:locked/>
    <w:uiPriority w:val="34"/>
    <w:rPr>
      <w:lang w:eastAsia="en-US"/>
    </w:rPr>
  </w:style>
  <w:style w:type="paragraph" w:styleId="43">
    <w:name w:val="List Paragraph"/>
    <w:basedOn w:val="1"/>
    <w:link w:val="42"/>
    <w:qFormat/>
    <w:uiPriority w:val="34"/>
    <w:pPr>
      <w:ind w:left="720"/>
      <w:contextualSpacing/>
    </w:pPr>
  </w:style>
  <w:style w:type="character" w:customStyle="1" w:styleId="44">
    <w:name w:val="Comment Text Char"/>
    <w:basedOn w:val="33"/>
    <w:link w:val="21"/>
    <w:qFormat/>
    <w:uiPriority w:val="0"/>
    <w:rPr>
      <w:lang w:eastAsia="en-US"/>
    </w:rPr>
  </w:style>
  <w:style w:type="character" w:customStyle="1" w:styleId="45">
    <w:name w:val="Comment Subject Char"/>
    <w:basedOn w:val="44"/>
    <w:link w:val="30"/>
    <w:qFormat/>
    <w:uiPriority w:val="0"/>
    <w:rPr>
      <w:b/>
      <w:bCs/>
      <w:lang w:eastAsia="en-US"/>
    </w:rPr>
  </w:style>
  <w:style w:type="character" w:customStyle="1" w:styleId="46">
    <w:name w:val="EmailDiscussion Char"/>
    <w:link w:val="47"/>
    <w:qFormat/>
    <w:uiPriority w:val="0"/>
    <w:rPr>
      <w:rFonts w:ascii="Arial" w:hAnsi="Arial" w:eastAsia="MS Mincho"/>
      <w:b/>
      <w:szCs w:val="24"/>
    </w:rPr>
  </w:style>
  <w:style w:type="paragraph" w:customStyle="1" w:styleId="47">
    <w:name w:val="EmailDiscussion"/>
    <w:basedOn w:val="1"/>
    <w:next w:val="48"/>
    <w:link w:val="46"/>
    <w:qFormat/>
    <w:uiPriority w:val="0"/>
    <w:pPr>
      <w:numPr>
        <w:ilvl w:val="0"/>
        <w:numId w:val="1"/>
      </w:numPr>
      <w:spacing w:before="40" w:after="0"/>
    </w:pPr>
    <w:rPr>
      <w:rFonts w:ascii="Arial" w:hAnsi="Arial" w:eastAsia="MS Mincho"/>
      <w:b/>
      <w:szCs w:val="24"/>
      <w:lang w:eastAsia="en-GB"/>
    </w:rPr>
  </w:style>
  <w:style w:type="paragraph" w:customStyle="1" w:styleId="48">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49">
    <w:name w:val="Caracteres de nota al pie"/>
    <w:qFormat/>
    <w:uiPriority w:val="0"/>
  </w:style>
  <w:style w:type="paragraph" w:customStyle="1" w:styleId="50">
    <w:name w:val="Título"/>
    <w:basedOn w:val="1"/>
    <w:next w:val="22"/>
    <w:qFormat/>
    <w:uiPriority w:val="0"/>
    <w:pPr>
      <w:keepNext/>
      <w:spacing w:before="240" w:after="120"/>
    </w:pPr>
    <w:rPr>
      <w:rFonts w:ascii="Liberation Sans" w:hAnsi="Liberation Sans" w:eastAsia="微软雅黑" w:cs="Arial"/>
      <w:sz w:val="28"/>
      <w:szCs w:val="28"/>
    </w:rPr>
  </w:style>
  <w:style w:type="paragraph" w:customStyle="1" w:styleId="51">
    <w:name w:val="Índice"/>
    <w:basedOn w:val="1"/>
    <w:qFormat/>
    <w:uiPriority w:val="0"/>
    <w:pPr>
      <w:suppressLineNumbers/>
    </w:pPr>
    <w:rPr>
      <w:rFonts w:cs="Arial"/>
    </w:rPr>
  </w:style>
  <w:style w:type="paragraph" w:customStyle="1" w:styleId="52">
    <w:name w:val="Cabecera y pie"/>
    <w:basedOn w:val="1"/>
    <w:qFormat/>
    <w:uiPriority w:val="0"/>
  </w:style>
  <w:style w:type="paragraph" w:customStyle="1" w:styleId="53">
    <w:name w:val="EQ"/>
    <w:basedOn w:val="1"/>
    <w:next w:val="1"/>
    <w:qFormat/>
    <w:uiPriority w:val="0"/>
    <w:pPr>
      <w:keepLines/>
      <w:tabs>
        <w:tab w:val="center" w:pos="4536"/>
        <w:tab w:val="right" w:pos="9072"/>
      </w:tabs>
    </w:pPr>
  </w:style>
  <w:style w:type="paragraph" w:customStyle="1" w:styleId="54">
    <w:name w:val="ZD"/>
    <w:qFormat/>
    <w:uiPriority w:val="0"/>
    <w:pPr>
      <w:widowControl w:val="0"/>
      <w:suppressAutoHyphens/>
    </w:pPr>
    <w:rPr>
      <w:rFonts w:ascii="Arial" w:hAnsi="Arial" w:eastAsia="宋体" w:cs="Times New Roman"/>
      <w:sz w:val="32"/>
      <w:lang w:val="en-GB" w:eastAsia="en-US" w:bidi="ar-SA"/>
    </w:rPr>
  </w:style>
  <w:style w:type="paragraph" w:customStyle="1" w:styleId="55">
    <w:name w:val="TT"/>
    <w:basedOn w:val="2"/>
    <w:next w:val="1"/>
    <w:qFormat/>
    <w:uiPriority w:val="0"/>
    <w:pPr>
      <w:outlineLvl w:val="9"/>
    </w:pPr>
  </w:style>
  <w:style w:type="paragraph" w:customStyle="1" w:styleId="56">
    <w:name w:val="NF"/>
    <w:basedOn w:val="57"/>
    <w:qFormat/>
    <w:uiPriority w:val="0"/>
    <w:pPr>
      <w:keepNext/>
      <w:spacing w:after="0"/>
    </w:pPr>
    <w:rPr>
      <w:rFonts w:ascii="Arial" w:hAnsi="Arial"/>
      <w:sz w:val="18"/>
    </w:rPr>
  </w:style>
  <w:style w:type="paragraph" w:customStyle="1" w:styleId="57">
    <w:name w:val="NO"/>
    <w:basedOn w:val="1"/>
    <w:qFormat/>
    <w:uiPriority w:val="0"/>
    <w:pPr>
      <w:keepLines/>
      <w:ind w:left="1135" w:hanging="851"/>
    </w:pPr>
  </w:style>
  <w:style w:type="paragraph" w:customStyle="1" w:styleId="5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hAnsi="Courier New" w:eastAsia="宋体" w:cs="Times New Roman"/>
      <w:sz w:val="16"/>
      <w:lang w:val="en-GB" w:eastAsia="en-US" w:bidi="ar-SA"/>
    </w:rPr>
  </w:style>
  <w:style w:type="paragraph" w:customStyle="1" w:styleId="59">
    <w:name w:val="TAR"/>
    <w:basedOn w:val="60"/>
    <w:qFormat/>
    <w:uiPriority w:val="0"/>
    <w:pPr>
      <w:jc w:val="right"/>
    </w:pPr>
  </w:style>
  <w:style w:type="paragraph" w:customStyle="1" w:styleId="60">
    <w:name w:val="TAL"/>
    <w:basedOn w:val="1"/>
    <w:qFormat/>
    <w:uiPriority w:val="0"/>
    <w:pPr>
      <w:keepNext/>
      <w:keepLines/>
      <w:spacing w:after="0"/>
    </w:pPr>
    <w:rPr>
      <w:rFonts w:ascii="Arial" w:hAnsi="Arial"/>
      <w:sz w:val="18"/>
    </w:rPr>
  </w:style>
  <w:style w:type="paragraph" w:customStyle="1" w:styleId="61">
    <w:name w:val="TAH"/>
    <w:basedOn w:val="62"/>
    <w:qFormat/>
    <w:uiPriority w:val="0"/>
    <w:rPr>
      <w:b/>
    </w:rPr>
  </w:style>
  <w:style w:type="paragraph" w:customStyle="1" w:styleId="62">
    <w:name w:val="TAC"/>
    <w:basedOn w:val="60"/>
    <w:qFormat/>
    <w:uiPriority w:val="0"/>
    <w:pPr>
      <w:jc w:val="center"/>
    </w:pPr>
  </w:style>
  <w:style w:type="paragraph" w:customStyle="1" w:styleId="63">
    <w:name w:val="LD"/>
    <w:qFormat/>
    <w:uiPriority w:val="0"/>
    <w:pPr>
      <w:keepNext/>
      <w:keepLines/>
      <w:suppressAutoHyphens/>
      <w:spacing w:line="180" w:lineRule="exact"/>
    </w:pPr>
    <w:rPr>
      <w:rFonts w:ascii="Courier New" w:hAnsi="Courier New" w:eastAsia="宋体" w:cs="Times New Roman"/>
      <w:lang w:val="en-GB" w:eastAsia="en-US" w:bidi="ar-SA"/>
    </w:r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NW"/>
    <w:basedOn w:val="57"/>
    <w:qFormat/>
    <w:uiPriority w:val="0"/>
    <w:pPr>
      <w:spacing w:after="0"/>
    </w:pPr>
  </w:style>
  <w:style w:type="paragraph" w:customStyle="1" w:styleId="67">
    <w:name w:val="EW"/>
    <w:basedOn w:val="64"/>
    <w:qFormat/>
    <w:uiPriority w:val="0"/>
    <w:pPr>
      <w:spacing w:after="0"/>
    </w:pPr>
  </w:style>
  <w:style w:type="paragraph" w:customStyle="1" w:styleId="68">
    <w:name w:val="B1"/>
    <w:basedOn w:val="1"/>
    <w:qFormat/>
    <w:uiPriority w:val="0"/>
    <w:pPr>
      <w:ind w:left="568" w:hanging="284"/>
    </w:pPr>
  </w:style>
  <w:style w:type="paragraph" w:customStyle="1" w:styleId="69">
    <w:name w:val="Editor's Note"/>
    <w:basedOn w:val="57"/>
    <w:qFormat/>
    <w:uiPriority w:val="0"/>
    <w:rPr>
      <w:color w:val="FF0000"/>
    </w:rPr>
  </w:style>
  <w:style w:type="paragraph" w:customStyle="1" w:styleId="70">
    <w:name w:val="TH"/>
    <w:basedOn w:val="1"/>
    <w:qFormat/>
    <w:uiPriority w:val="0"/>
    <w:pPr>
      <w:keepNext/>
      <w:keepLines/>
      <w:spacing w:before="60"/>
      <w:jc w:val="center"/>
    </w:pPr>
    <w:rPr>
      <w:rFonts w:ascii="Arial" w:hAnsi="Arial"/>
      <w:b/>
    </w:rPr>
  </w:style>
  <w:style w:type="paragraph" w:customStyle="1" w:styleId="71">
    <w:name w:val="ZA"/>
    <w:qFormat/>
    <w:uiPriority w:val="0"/>
    <w:pPr>
      <w:widowControl w:val="0"/>
      <w:pBdr>
        <w:bottom w:val="single" w:color="000000" w:sz="12" w:space="1"/>
      </w:pBdr>
      <w:suppressAutoHyphens/>
      <w:jc w:val="right"/>
    </w:pPr>
    <w:rPr>
      <w:rFonts w:ascii="Arial" w:hAnsi="Arial" w:eastAsia="宋体" w:cs="Times New Roman"/>
      <w:sz w:val="40"/>
      <w:lang w:val="en-GB" w:eastAsia="en-US" w:bidi="ar-SA"/>
    </w:rPr>
  </w:style>
  <w:style w:type="paragraph" w:customStyle="1" w:styleId="72">
    <w:name w:val="ZB"/>
    <w:qFormat/>
    <w:uiPriority w:val="0"/>
    <w:pPr>
      <w:widowControl w:val="0"/>
      <w:suppressAutoHyphens/>
      <w:ind w:right="28"/>
      <w:jc w:val="right"/>
    </w:pPr>
    <w:rPr>
      <w:rFonts w:ascii="Arial" w:hAnsi="Arial" w:eastAsia="宋体" w:cs="Times New Roman"/>
      <w:i/>
      <w:lang w:val="en-GB" w:eastAsia="en-US" w:bidi="ar-SA"/>
    </w:rPr>
  </w:style>
  <w:style w:type="paragraph" w:customStyle="1" w:styleId="73">
    <w:name w:val="ZT"/>
    <w:qFormat/>
    <w:uiPriority w:val="0"/>
    <w:pPr>
      <w:widowControl w:val="0"/>
      <w:suppressAutoHyphens/>
      <w:spacing w:line="240" w:lineRule="atLeast"/>
      <w:jc w:val="right"/>
    </w:pPr>
    <w:rPr>
      <w:rFonts w:ascii="Arial" w:hAnsi="Arial" w:eastAsia="宋体" w:cs="Times New Roman"/>
      <w:b/>
      <w:sz w:val="34"/>
      <w:lang w:val="en-GB" w:eastAsia="en-US" w:bidi="ar-SA"/>
    </w:rPr>
  </w:style>
  <w:style w:type="paragraph" w:customStyle="1" w:styleId="74">
    <w:name w:val="ZU"/>
    <w:qFormat/>
    <w:uiPriority w:val="0"/>
    <w:pPr>
      <w:widowControl w:val="0"/>
      <w:pBdr>
        <w:top w:val="single" w:color="000000" w:sz="12" w:space="1"/>
      </w:pBdr>
      <w:suppressAutoHyphens/>
      <w:jc w:val="right"/>
    </w:pPr>
    <w:rPr>
      <w:rFonts w:ascii="Arial" w:hAnsi="Arial" w:eastAsia="宋体" w:cs="Times New Roman"/>
      <w:lang w:val="en-GB" w:eastAsia="en-US" w:bidi="ar-SA"/>
    </w:rPr>
  </w:style>
  <w:style w:type="paragraph" w:customStyle="1" w:styleId="75">
    <w:name w:val="TAN"/>
    <w:basedOn w:val="60"/>
    <w:qFormat/>
    <w:uiPriority w:val="0"/>
    <w:pPr>
      <w:ind w:left="851" w:hanging="851"/>
    </w:pPr>
  </w:style>
  <w:style w:type="paragraph" w:customStyle="1" w:styleId="76">
    <w:name w:val="ZH"/>
    <w:qFormat/>
    <w:uiPriority w:val="0"/>
    <w:pPr>
      <w:widowControl w:val="0"/>
      <w:suppressAutoHyphens/>
    </w:pPr>
    <w:rPr>
      <w:rFonts w:ascii="Arial" w:hAnsi="Arial" w:eastAsia="宋体" w:cs="Times New Roman"/>
      <w:lang w:val="en-GB" w:eastAsia="en-US" w:bidi="ar-SA"/>
    </w:rPr>
  </w:style>
  <w:style w:type="paragraph" w:customStyle="1" w:styleId="77">
    <w:name w:val="TF"/>
    <w:basedOn w:val="70"/>
    <w:qFormat/>
    <w:uiPriority w:val="0"/>
    <w:pPr>
      <w:keepNext w:val="0"/>
      <w:spacing w:before="0" w:after="240"/>
    </w:pPr>
  </w:style>
  <w:style w:type="paragraph" w:customStyle="1" w:styleId="78">
    <w:name w:val="ZG"/>
    <w:qFormat/>
    <w:uiPriority w:val="0"/>
    <w:pPr>
      <w:widowControl w:val="0"/>
      <w:suppressAutoHyphens/>
      <w:jc w:val="right"/>
    </w:pPr>
    <w:rPr>
      <w:rFonts w:ascii="Arial" w:hAnsi="Arial" w:eastAsia="宋体" w:cs="Times New Roman"/>
      <w:lang w:val="en-GB" w:eastAsia="en-US" w:bidi="ar-SA"/>
    </w:rPr>
  </w:style>
  <w:style w:type="paragraph" w:customStyle="1" w:styleId="79">
    <w:name w:val="B2"/>
    <w:basedOn w:val="1"/>
    <w:qFormat/>
    <w:uiPriority w:val="0"/>
    <w:pPr>
      <w:ind w:left="851" w:hanging="284"/>
    </w:pPr>
  </w:style>
  <w:style w:type="paragraph" w:customStyle="1" w:styleId="80">
    <w:name w:val="B3"/>
    <w:basedOn w:val="1"/>
    <w:qFormat/>
    <w:uiPriority w:val="0"/>
    <w:pPr>
      <w:ind w:left="1135" w:hanging="284"/>
    </w:pPr>
  </w:style>
  <w:style w:type="paragraph" w:customStyle="1" w:styleId="81">
    <w:name w:val="B4"/>
    <w:basedOn w:val="1"/>
    <w:qFormat/>
    <w:uiPriority w:val="0"/>
    <w:pPr>
      <w:ind w:left="1418" w:hanging="284"/>
    </w:pPr>
  </w:style>
  <w:style w:type="paragraph" w:customStyle="1" w:styleId="82">
    <w:name w:val="B5"/>
    <w:basedOn w:val="1"/>
    <w:qFormat/>
    <w:uiPriority w:val="0"/>
    <w:pPr>
      <w:ind w:left="1702" w:hanging="284"/>
    </w:pPr>
  </w:style>
  <w:style w:type="paragraph" w:customStyle="1" w:styleId="83">
    <w:name w:val="ZTD"/>
    <w:basedOn w:val="72"/>
    <w:qFormat/>
    <w:uiPriority w:val="0"/>
    <w:rPr>
      <w:i w:val="0"/>
      <w:sz w:val="40"/>
    </w:rPr>
  </w:style>
  <w:style w:type="paragraph" w:customStyle="1" w:styleId="84">
    <w:name w:val="ZV"/>
    <w:basedOn w:val="74"/>
    <w:qFormat/>
    <w:uiPriority w:val="0"/>
  </w:style>
  <w:style w:type="paragraph" w:customStyle="1" w:styleId="85">
    <w:name w:val="TAJ"/>
    <w:basedOn w:val="70"/>
    <w:qFormat/>
    <w:uiPriority w:val="0"/>
  </w:style>
  <w:style w:type="paragraph" w:customStyle="1" w:styleId="86">
    <w:name w:val="Guidance"/>
    <w:basedOn w:val="1"/>
    <w:qFormat/>
    <w:uiPriority w:val="0"/>
    <w:rPr>
      <w:i/>
      <w:color w:val="0000FF"/>
    </w:rPr>
  </w:style>
  <w:style w:type="paragraph" w:customStyle="1" w:styleId="87">
    <w:name w:val="CR Cover Page"/>
    <w:qFormat/>
    <w:uiPriority w:val="0"/>
    <w:pPr>
      <w:suppressAutoHyphens/>
      <w:spacing w:after="120"/>
    </w:pPr>
    <w:rPr>
      <w:rFonts w:ascii="Arial" w:hAnsi="Arial" w:eastAsia="MS Mincho" w:cs="Times New Roman"/>
      <w:lang w:val="en-GB" w:eastAsia="en-US" w:bidi="ar-SA"/>
    </w:rPr>
  </w:style>
  <w:style w:type="paragraph" w:customStyle="1" w:styleId="88">
    <w:name w:val="修订1"/>
    <w:semiHidden/>
    <w:qFormat/>
    <w:uiPriority w:val="99"/>
    <w:pPr>
      <w:suppressAutoHyphens/>
    </w:pPr>
    <w:rPr>
      <w:rFonts w:ascii="Times New Roman" w:hAnsi="Times New Roman" w:eastAsia="宋体" w:cs="Times New Roman"/>
      <w:lang w:val="en-GB" w:eastAsia="en-US" w:bidi="ar-SA"/>
    </w:rPr>
  </w:style>
  <w:style w:type="table" w:customStyle="1" w:styleId="89">
    <w:name w:val="Table Normal1"/>
    <w:basedOn w:val="31"/>
    <w:semiHidden/>
    <w:uiPriority w:val="0"/>
    <w:rPr>
      <w:lang w:val="sv" w:eastAsia="sv"/>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B5AED20C-EACC-4B26-A1A5-77385D2DCFBA}">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FC74508D-DE07-4AAD-9624-1FEB1FD7B84E}">
  <ds:schemaRefs/>
</ds:datastoreItem>
</file>

<file path=customXml/itemProps7.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5</Pages>
  <Words>1481</Words>
  <Characters>7529</Characters>
  <Lines>66</Lines>
  <Paragraphs>18</Paragraphs>
  <TotalTime>0</TotalTime>
  <ScaleCrop>false</ScaleCrop>
  <LinksUpToDate>false</LinksUpToDate>
  <CharactersWithSpaces>8937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2024-11-21T13:56:00Z</dcterms:created>
  <dc:creator>Benoist</dc:creator>
  <cp:lastModifiedBy>CATT</cp:lastModifiedBy>
  <dcterms:modified xsi:type="dcterms:W3CDTF">2024-11-21T16:22:42Z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2052-12.1.0.18608</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ICV">
    <vt:lpwstr>1F7BC46EF22D422B8557EE62E1E28F6F_12</vt:lpwstr>
  </property>
</Properties>
</file>