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FA7F5" w14:textId="1088B2F9" w:rsidR="00B73A79" w:rsidRDefault="00092639">
      <w:pPr>
        <w:pStyle w:val="Header"/>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Header"/>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w:t>
      </w:r>
      <w:proofErr w:type="gramStart"/>
      <w:r w:rsidR="0075045A" w:rsidRPr="0075045A">
        <w:rPr>
          <w:rFonts w:ascii="Arial" w:hAnsi="Arial" w:cs="Arial"/>
          <w:b/>
          <w:bCs/>
          <w:sz w:val="24"/>
        </w:rPr>
        <w:t>128][</w:t>
      </w:r>
      <w:proofErr w:type="gramEnd"/>
      <w:r w:rsidR="0075045A" w:rsidRPr="0075045A">
        <w:rPr>
          <w:rFonts w:ascii="Arial" w:hAnsi="Arial" w:cs="Arial"/>
          <w:b/>
          <w:bCs/>
          <w:sz w:val="24"/>
        </w:rPr>
        <w:t>103][MOB]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w:t>
      </w:r>
      <w:proofErr w:type="gramStart"/>
      <w:r w:rsidRPr="0075045A">
        <w:rPr>
          <w:rFonts w:ascii="Arial" w:eastAsia="MS Mincho" w:hAnsi="Arial"/>
          <w:b/>
          <w:szCs w:val="24"/>
          <w:lang w:eastAsia="en-GB"/>
        </w:rPr>
        <w:t>128][</w:t>
      </w:r>
      <w:proofErr w:type="gramEnd"/>
      <w:r w:rsidRPr="0075045A">
        <w:rPr>
          <w:rFonts w:ascii="Arial" w:eastAsia="MS Mincho" w:hAnsi="Arial"/>
          <w:b/>
          <w:szCs w:val="24"/>
          <w:lang w:eastAsia="en-GB"/>
        </w:rPr>
        <w:t>103][MOB]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NormalWeb"/>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Heading1"/>
      </w:pPr>
      <w:r>
        <w:t>2</w:t>
      </w:r>
      <w:r>
        <w:tab/>
        <w:t>Discussion</w:t>
      </w:r>
    </w:p>
    <w:p w14:paraId="01C6FD98" w14:textId="3DA5A9A5" w:rsidR="00B73A79" w:rsidRDefault="00092639">
      <w:pPr>
        <w:pStyle w:val="Heading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r w:rsidR="00983A9C">
        <w:t>continues on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ListParagraph"/>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ListParagraph"/>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2567C4" w14:paraId="239CED4D" w14:textId="77777777">
        <w:tc>
          <w:tcPr>
            <w:tcW w:w="1980" w:type="dxa"/>
          </w:tcPr>
          <w:p w14:paraId="01D5D1EF" w14:textId="610EB785" w:rsidR="002567C4" w:rsidRDefault="002567C4" w:rsidP="002567C4">
            <w:pPr>
              <w:jc w:val="both"/>
              <w:rPr>
                <w:lang w:eastAsia="zh-CN"/>
              </w:rPr>
            </w:pPr>
            <w:r w:rsidRPr="009B19D9">
              <w:rPr>
                <w:rFonts w:eastAsia="Batang"/>
                <w:lang w:eastAsia="ko-KR"/>
              </w:rPr>
              <w:t>LGE</w:t>
            </w:r>
          </w:p>
        </w:tc>
        <w:tc>
          <w:tcPr>
            <w:tcW w:w="1842" w:type="dxa"/>
          </w:tcPr>
          <w:p w14:paraId="02E36EAE" w14:textId="0CA349C1" w:rsidR="002567C4" w:rsidRDefault="002567C4" w:rsidP="002567C4">
            <w:pPr>
              <w:jc w:val="both"/>
              <w:rPr>
                <w:lang w:eastAsia="zh-CN"/>
              </w:rPr>
            </w:pPr>
            <w:r w:rsidRPr="009B19D9">
              <w:rPr>
                <w:rFonts w:eastAsia="Batang"/>
                <w:lang w:eastAsia="ko-KR"/>
              </w:rPr>
              <w:t>Yes</w:t>
            </w:r>
          </w:p>
        </w:tc>
        <w:tc>
          <w:tcPr>
            <w:tcW w:w="5809" w:type="dxa"/>
          </w:tcPr>
          <w:p w14:paraId="7AE0F827" w14:textId="15A535A9" w:rsidR="002567C4" w:rsidRDefault="002567C4" w:rsidP="002567C4">
            <w:pPr>
              <w:rPr>
                <w:lang w:eastAsia="zh-CN"/>
              </w:rPr>
            </w:pPr>
          </w:p>
        </w:tc>
      </w:tr>
      <w:tr w:rsidR="00B93069" w14:paraId="6E1A0E32" w14:textId="77777777">
        <w:tc>
          <w:tcPr>
            <w:tcW w:w="1980" w:type="dxa"/>
          </w:tcPr>
          <w:p w14:paraId="564863A2" w14:textId="7F855B62" w:rsidR="00B93069" w:rsidRDefault="00B93069" w:rsidP="00B93069">
            <w:pPr>
              <w:jc w:val="both"/>
              <w:rPr>
                <w:lang w:eastAsia="zh-CN"/>
              </w:rPr>
            </w:pPr>
            <w:r>
              <w:rPr>
                <w:lang w:eastAsia="zh-CN"/>
              </w:rPr>
              <w:t>Huawei, HiSilicon</w:t>
            </w:r>
          </w:p>
        </w:tc>
        <w:tc>
          <w:tcPr>
            <w:tcW w:w="1842" w:type="dxa"/>
          </w:tcPr>
          <w:p w14:paraId="322334B0" w14:textId="3A0FB07E" w:rsidR="00B93069" w:rsidRDefault="00B93069" w:rsidP="00B93069">
            <w:pPr>
              <w:jc w:val="both"/>
              <w:rPr>
                <w:lang w:eastAsia="zh-CN"/>
              </w:rPr>
            </w:pPr>
            <w:r>
              <w:rPr>
                <w:lang w:eastAsia="zh-CN"/>
              </w:rPr>
              <w:t>No?</w:t>
            </w:r>
          </w:p>
        </w:tc>
        <w:tc>
          <w:tcPr>
            <w:tcW w:w="5809" w:type="dxa"/>
          </w:tcPr>
          <w:p w14:paraId="0B26E489" w14:textId="06F2AF36" w:rsidR="00B93069" w:rsidRDefault="00B93069" w:rsidP="00B93069">
            <w:pPr>
              <w:jc w:val="both"/>
              <w:rPr>
                <w:lang w:eastAsia="zh-CN"/>
              </w:rPr>
            </w:pPr>
            <w:r>
              <w:rPr>
                <w:lang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rsidR="002567C4" w14:paraId="125432D7" w14:textId="77777777">
        <w:tc>
          <w:tcPr>
            <w:tcW w:w="1980" w:type="dxa"/>
          </w:tcPr>
          <w:p w14:paraId="789F775E" w14:textId="3087212D" w:rsidR="002567C4" w:rsidRDefault="00A37CED" w:rsidP="002567C4">
            <w:pPr>
              <w:jc w:val="both"/>
              <w:rPr>
                <w:lang w:eastAsia="zh-CN"/>
              </w:rPr>
            </w:pPr>
            <w:r>
              <w:rPr>
                <w:lang w:eastAsia="zh-CN"/>
              </w:rPr>
              <w:lastRenderedPageBreak/>
              <w:t>Ericsson</w:t>
            </w:r>
          </w:p>
        </w:tc>
        <w:tc>
          <w:tcPr>
            <w:tcW w:w="1842" w:type="dxa"/>
          </w:tcPr>
          <w:p w14:paraId="18B33DDF" w14:textId="5858F0D1" w:rsidR="002567C4" w:rsidRDefault="00A37CED" w:rsidP="002567C4">
            <w:pPr>
              <w:jc w:val="both"/>
              <w:rPr>
                <w:lang w:eastAsia="zh-CN"/>
              </w:rPr>
            </w:pPr>
            <w:r>
              <w:rPr>
                <w:lang w:eastAsia="zh-CN"/>
              </w:rPr>
              <w:t>No strong view</w:t>
            </w:r>
          </w:p>
        </w:tc>
        <w:tc>
          <w:tcPr>
            <w:tcW w:w="5809" w:type="dxa"/>
          </w:tcPr>
          <w:p w14:paraId="2F595D11" w14:textId="3DE3617F" w:rsidR="002567C4" w:rsidRDefault="00A37CED" w:rsidP="002567C4">
            <w:pPr>
              <w:jc w:val="both"/>
              <w:rPr>
                <w:lang w:eastAsia="zh-CN"/>
              </w:rPr>
            </w:pPr>
            <w:r>
              <w:rPr>
                <w:lang w:eastAsia="zh-CN"/>
              </w:rPr>
              <w:t>Having just a reference with says “TS 38.133” maybe is not really helpful, but we can go with majority.</w:t>
            </w:r>
          </w:p>
        </w:tc>
      </w:tr>
      <w:tr w:rsidR="002567C4" w14:paraId="0CE9CB71" w14:textId="77777777">
        <w:tc>
          <w:tcPr>
            <w:tcW w:w="1980" w:type="dxa"/>
          </w:tcPr>
          <w:p w14:paraId="432F1788" w14:textId="622D44C9" w:rsidR="002567C4" w:rsidRDefault="00531FEA" w:rsidP="002567C4">
            <w:pPr>
              <w:jc w:val="both"/>
              <w:rPr>
                <w:lang w:val="en-US" w:eastAsia="zh-CN"/>
              </w:rPr>
            </w:pPr>
            <w:r>
              <w:rPr>
                <w:rFonts w:hint="eastAsia"/>
                <w:lang w:val="en-US" w:eastAsia="zh-CN"/>
              </w:rPr>
              <w:t>ZTE</w:t>
            </w:r>
          </w:p>
        </w:tc>
        <w:tc>
          <w:tcPr>
            <w:tcW w:w="1842" w:type="dxa"/>
          </w:tcPr>
          <w:p w14:paraId="00A68371" w14:textId="6BE7C9DA" w:rsidR="002567C4" w:rsidRDefault="00531FEA" w:rsidP="002567C4">
            <w:pPr>
              <w:jc w:val="both"/>
              <w:rPr>
                <w:lang w:eastAsia="zh-CN"/>
              </w:rPr>
            </w:pPr>
            <w:r>
              <w:rPr>
                <w:rFonts w:hint="eastAsia"/>
                <w:lang w:eastAsia="zh-CN"/>
              </w:rPr>
              <w:t>N</w:t>
            </w:r>
            <w:r>
              <w:rPr>
                <w:lang w:eastAsia="zh-CN"/>
              </w:rPr>
              <w:t xml:space="preserve">o strong view </w:t>
            </w:r>
          </w:p>
        </w:tc>
        <w:tc>
          <w:tcPr>
            <w:tcW w:w="5809" w:type="dxa"/>
          </w:tcPr>
          <w:p w14:paraId="0A8434C9" w14:textId="26CE7BE2" w:rsidR="002567C4" w:rsidRDefault="002567C4" w:rsidP="002567C4">
            <w:pPr>
              <w:jc w:val="both"/>
              <w:rPr>
                <w:lang w:val="en-US" w:eastAsia="zh-CN"/>
              </w:rPr>
            </w:pPr>
          </w:p>
        </w:tc>
      </w:tr>
      <w:tr w:rsidR="002567C4" w14:paraId="4ADE681D" w14:textId="77777777">
        <w:tc>
          <w:tcPr>
            <w:tcW w:w="1980" w:type="dxa"/>
          </w:tcPr>
          <w:p w14:paraId="002E63AB" w14:textId="24AF9D7B" w:rsidR="002567C4" w:rsidRDefault="002567C4" w:rsidP="002567C4">
            <w:pPr>
              <w:jc w:val="both"/>
              <w:rPr>
                <w:lang w:eastAsia="zh-CN"/>
              </w:rPr>
            </w:pPr>
          </w:p>
        </w:tc>
        <w:tc>
          <w:tcPr>
            <w:tcW w:w="1842" w:type="dxa"/>
          </w:tcPr>
          <w:p w14:paraId="0EB23608" w14:textId="4FC71CFB" w:rsidR="002567C4" w:rsidRDefault="002567C4" w:rsidP="002567C4">
            <w:pPr>
              <w:jc w:val="both"/>
              <w:rPr>
                <w:lang w:eastAsia="zh-CN"/>
              </w:rPr>
            </w:pPr>
          </w:p>
        </w:tc>
        <w:tc>
          <w:tcPr>
            <w:tcW w:w="5809" w:type="dxa"/>
          </w:tcPr>
          <w:p w14:paraId="678A9762" w14:textId="3F984620" w:rsidR="002567C4" w:rsidRDefault="002567C4" w:rsidP="002567C4">
            <w:pPr>
              <w:jc w:val="both"/>
              <w:rPr>
                <w:lang w:val="en-US" w:eastAsia="zh-CN"/>
              </w:rPr>
            </w:pPr>
          </w:p>
        </w:tc>
      </w:tr>
      <w:tr w:rsidR="002567C4" w14:paraId="5062BC08" w14:textId="77777777">
        <w:tc>
          <w:tcPr>
            <w:tcW w:w="1980" w:type="dxa"/>
          </w:tcPr>
          <w:p w14:paraId="514CEE63" w14:textId="76DAEBB6" w:rsidR="002567C4" w:rsidRDefault="002567C4" w:rsidP="002567C4">
            <w:pPr>
              <w:jc w:val="both"/>
              <w:rPr>
                <w:lang w:eastAsia="zh-CN"/>
              </w:rPr>
            </w:pPr>
          </w:p>
        </w:tc>
        <w:tc>
          <w:tcPr>
            <w:tcW w:w="1842" w:type="dxa"/>
          </w:tcPr>
          <w:p w14:paraId="0F621B3E" w14:textId="2E365EAD" w:rsidR="002567C4" w:rsidRDefault="002567C4" w:rsidP="002567C4">
            <w:pPr>
              <w:jc w:val="both"/>
              <w:rPr>
                <w:lang w:eastAsia="zh-CN"/>
              </w:rPr>
            </w:pPr>
          </w:p>
        </w:tc>
        <w:tc>
          <w:tcPr>
            <w:tcW w:w="5809" w:type="dxa"/>
          </w:tcPr>
          <w:p w14:paraId="5DB6FF08" w14:textId="0039386D" w:rsidR="002567C4" w:rsidRDefault="002567C4" w:rsidP="002567C4">
            <w:pPr>
              <w:jc w:val="both"/>
              <w:rPr>
                <w:lang w:eastAsia="zh-CN"/>
              </w:rPr>
            </w:pPr>
          </w:p>
        </w:tc>
      </w:tr>
      <w:tr w:rsidR="002567C4" w14:paraId="74087B04" w14:textId="77777777">
        <w:tc>
          <w:tcPr>
            <w:tcW w:w="1980" w:type="dxa"/>
          </w:tcPr>
          <w:p w14:paraId="76D46ED9" w14:textId="105F9348" w:rsidR="002567C4" w:rsidRDefault="002567C4" w:rsidP="002567C4">
            <w:pPr>
              <w:jc w:val="both"/>
              <w:rPr>
                <w:lang w:eastAsia="zh-CN"/>
              </w:rPr>
            </w:pPr>
          </w:p>
        </w:tc>
        <w:tc>
          <w:tcPr>
            <w:tcW w:w="1842" w:type="dxa"/>
          </w:tcPr>
          <w:p w14:paraId="4EAD62E8" w14:textId="385AD9BA" w:rsidR="002567C4" w:rsidRDefault="002567C4" w:rsidP="002567C4">
            <w:pPr>
              <w:jc w:val="both"/>
              <w:rPr>
                <w:lang w:eastAsia="zh-CN"/>
              </w:rPr>
            </w:pPr>
          </w:p>
        </w:tc>
        <w:tc>
          <w:tcPr>
            <w:tcW w:w="5809" w:type="dxa"/>
          </w:tcPr>
          <w:p w14:paraId="6CB843A8" w14:textId="47919DAD" w:rsidR="002567C4" w:rsidRDefault="002567C4" w:rsidP="002567C4">
            <w:pPr>
              <w:jc w:val="both"/>
              <w:rPr>
                <w:bCs/>
                <w:lang w:eastAsia="zh-CN"/>
              </w:rPr>
            </w:pPr>
          </w:p>
        </w:tc>
      </w:tr>
      <w:tr w:rsidR="002567C4" w14:paraId="4CFB5730" w14:textId="77777777">
        <w:tc>
          <w:tcPr>
            <w:tcW w:w="1980" w:type="dxa"/>
          </w:tcPr>
          <w:p w14:paraId="04643361" w14:textId="723868D4" w:rsidR="002567C4" w:rsidRDefault="002567C4" w:rsidP="002567C4">
            <w:pPr>
              <w:jc w:val="both"/>
              <w:rPr>
                <w:lang w:eastAsia="zh-CN"/>
              </w:rPr>
            </w:pPr>
          </w:p>
        </w:tc>
        <w:tc>
          <w:tcPr>
            <w:tcW w:w="1842" w:type="dxa"/>
          </w:tcPr>
          <w:p w14:paraId="1313CB82" w14:textId="0A36C536" w:rsidR="002567C4" w:rsidRDefault="002567C4" w:rsidP="002567C4">
            <w:pPr>
              <w:jc w:val="both"/>
              <w:rPr>
                <w:lang w:eastAsia="zh-CN"/>
              </w:rPr>
            </w:pPr>
          </w:p>
        </w:tc>
        <w:tc>
          <w:tcPr>
            <w:tcW w:w="5809" w:type="dxa"/>
          </w:tcPr>
          <w:p w14:paraId="797307B3" w14:textId="3DA1FB69" w:rsidR="002567C4" w:rsidRDefault="002567C4" w:rsidP="002567C4">
            <w:pPr>
              <w:jc w:val="both"/>
              <w:rPr>
                <w:lang w:eastAsia="zh-CN"/>
              </w:rPr>
            </w:pPr>
          </w:p>
        </w:tc>
      </w:tr>
      <w:tr w:rsidR="002567C4" w14:paraId="1D933563" w14:textId="77777777">
        <w:tc>
          <w:tcPr>
            <w:tcW w:w="1980" w:type="dxa"/>
          </w:tcPr>
          <w:p w14:paraId="614C9B56" w14:textId="08BCE522" w:rsidR="002567C4" w:rsidRDefault="002567C4" w:rsidP="002567C4">
            <w:pPr>
              <w:jc w:val="both"/>
              <w:rPr>
                <w:lang w:val="en-US" w:eastAsia="zh-CN"/>
              </w:rPr>
            </w:pPr>
          </w:p>
        </w:tc>
        <w:tc>
          <w:tcPr>
            <w:tcW w:w="1842" w:type="dxa"/>
          </w:tcPr>
          <w:p w14:paraId="52F01658" w14:textId="791A8067" w:rsidR="002567C4" w:rsidRDefault="002567C4" w:rsidP="002567C4">
            <w:pPr>
              <w:jc w:val="both"/>
              <w:rPr>
                <w:lang w:val="en-US" w:eastAsia="zh-CN"/>
              </w:rPr>
            </w:pPr>
          </w:p>
        </w:tc>
        <w:tc>
          <w:tcPr>
            <w:tcW w:w="5809" w:type="dxa"/>
          </w:tcPr>
          <w:p w14:paraId="5F962195" w14:textId="77777777" w:rsidR="002567C4" w:rsidRDefault="002567C4" w:rsidP="002567C4">
            <w:pPr>
              <w:jc w:val="both"/>
              <w:rPr>
                <w:lang w:val="en-US" w:eastAsia="zh-CN"/>
              </w:rPr>
            </w:pPr>
          </w:p>
        </w:tc>
      </w:tr>
      <w:tr w:rsidR="002567C4" w14:paraId="30191B88" w14:textId="77777777">
        <w:tc>
          <w:tcPr>
            <w:tcW w:w="1980" w:type="dxa"/>
          </w:tcPr>
          <w:p w14:paraId="3373CBCA" w14:textId="77777777" w:rsidR="002567C4" w:rsidRDefault="002567C4" w:rsidP="002567C4">
            <w:pPr>
              <w:jc w:val="both"/>
              <w:rPr>
                <w:lang w:val="en-US" w:eastAsia="zh-CN"/>
              </w:rPr>
            </w:pPr>
          </w:p>
        </w:tc>
        <w:tc>
          <w:tcPr>
            <w:tcW w:w="1842" w:type="dxa"/>
          </w:tcPr>
          <w:p w14:paraId="7C5DE064" w14:textId="77777777" w:rsidR="002567C4" w:rsidRDefault="002567C4" w:rsidP="002567C4">
            <w:pPr>
              <w:jc w:val="both"/>
              <w:rPr>
                <w:lang w:val="en-US" w:eastAsia="zh-CN"/>
              </w:rPr>
            </w:pPr>
          </w:p>
        </w:tc>
        <w:tc>
          <w:tcPr>
            <w:tcW w:w="5809" w:type="dxa"/>
          </w:tcPr>
          <w:p w14:paraId="38765EA1" w14:textId="77777777" w:rsidR="002567C4" w:rsidRDefault="002567C4" w:rsidP="002567C4">
            <w:pPr>
              <w:jc w:val="both"/>
              <w:rPr>
                <w:lang w:val="en-US" w:eastAsia="zh-CN"/>
              </w:rPr>
            </w:pPr>
          </w:p>
        </w:tc>
      </w:tr>
      <w:tr w:rsidR="002567C4" w14:paraId="6D23A7A8" w14:textId="77777777">
        <w:tc>
          <w:tcPr>
            <w:tcW w:w="1980" w:type="dxa"/>
          </w:tcPr>
          <w:p w14:paraId="4E421077" w14:textId="77777777" w:rsidR="002567C4" w:rsidRDefault="002567C4" w:rsidP="002567C4">
            <w:pPr>
              <w:jc w:val="both"/>
              <w:rPr>
                <w:lang w:val="en-US" w:eastAsia="zh-CN"/>
              </w:rPr>
            </w:pPr>
          </w:p>
        </w:tc>
        <w:tc>
          <w:tcPr>
            <w:tcW w:w="1842" w:type="dxa"/>
          </w:tcPr>
          <w:p w14:paraId="577E79D3" w14:textId="77777777" w:rsidR="002567C4" w:rsidRDefault="002567C4" w:rsidP="002567C4">
            <w:pPr>
              <w:jc w:val="both"/>
              <w:rPr>
                <w:lang w:val="en-US" w:eastAsia="zh-CN"/>
              </w:rPr>
            </w:pPr>
          </w:p>
        </w:tc>
        <w:tc>
          <w:tcPr>
            <w:tcW w:w="5809" w:type="dxa"/>
          </w:tcPr>
          <w:p w14:paraId="2A147044" w14:textId="77777777" w:rsidR="002567C4" w:rsidRDefault="002567C4" w:rsidP="002567C4">
            <w:pPr>
              <w:jc w:val="both"/>
              <w:rPr>
                <w:lang w:val="en-US" w:eastAsia="zh-CN"/>
              </w:rPr>
            </w:pPr>
          </w:p>
        </w:tc>
      </w:tr>
      <w:tr w:rsidR="002567C4" w14:paraId="0FA659FA" w14:textId="77777777">
        <w:tc>
          <w:tcPr>
            <w:tcW w:w="1980" w:type="dxa"/>
          </w:tcPr>
          <w:p w14:paraId="0BE3D8C3" w14:textId="77777777" w:rsidR="002567C4" w:rsidRDefault="002567C4" w:rsidP="002567C4">
            <w:pPr>
              <w:jc w:val="both"/>
              <w:rPr>
                <w:lang w:val="en-US" w:eastAsia="zh-CN"/>
              </w:rPr>
            </w:pPr>
          </w:p>
        </w:tc>
        <w:tc>
          <w:tcPr>
            <w:tcW w:w="1842" w:type="dxa"/>
          </w:tcPr>
          <w:p w14:paraId="3EFF66B7" w14:textId="77777777" w:rsidR="002567C4" w:rsidRDefault="002567C4" w:rsidP="002567C4">
            <w:pPr>
              <w:jc w:val="both"/>
              <w:rPr>
                <w:lang w:val="en-US" w:eastAsia="zh-CN"/>
              </w:rPr>
            </w:pPr>
          </w:p>
        </w:tc>
        <w:tc>
          <w:tcPr>
            <w:tcW w:w="5809" w:type="dxa"/>
          </w:tcPr>
          <w:p w14:paraId="671444F5" w14:textId="77777777" w:rsidR="002567C4" w:rsidRDefault="002567C4" w:rsidP="002567C4">
            <w:pPr>
              <w:jc w:val="both"/>
              <w:rPr>
                <w:lang w:val="en-US" w:eastAsia="zh-CN"/>
              </w:rPr>
            </w:pPr>
          </w:p>
        </w:tc>
      </w:tr>
      <w:tr w:rsidR="002567C4" w14:paraId="60F5890B" w14:textId="77777777">
        <w:tc>
          <w:tcPr>
            <w:tcW w:w="1980" w:type="dxa"/>
          </w:tcPr>
          <w:p w14:paraId="7BD67FAB" w14:textId="77777777" w:rsidR="002567C4" w:rsidRDefault="002567C4" w:rsidP="002567C4">
            <w:pPr>
              <w:jc w:val="both"/>
              <w:rPr>
                <w:lang w:val="en-US" w:eastAsia="zh-CN"/>
              </w:rPr>
            </w:pPr>
          </w:p>
        </w:tc>
        <w:tc>
          <w:tcPr>
            <w:tcW w:w="1842" w:type="dxa"/>
          </w:tcPr>
          <w:p w14:paraId="6EECB7A2" w14:textId="77777777" w:rsidR="002567C4" w:rsidRDefault="002567C4" w:rsidP="002567C4">
            <w:pPr>
              <w:jc w:val="both"/>
              <w:rPr>
                <w:lang w:val="en-US" w:eastAsia="zh-CN"/>
              </w:rPr>
            </w:pPr>
          </w:p>
        </w:tc>
        <w:tc>
          <w:tcPr>
            <w:tcW w:w="5809" w:type="dxa"/>
          </w:tcPr>
          <w:p w14:paraId="0A4DAD14" w14:textId="77777777" w:rsidR="002567C4" w:rsidRDefault="002567C4" w:rsidP="002567C4">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Heading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to agree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 xml:space="preserve">We have not captured similar aspect for legacy </w:t>
            </w:r>
            <w:proofErr w:type="spellStart"/>
            <w:r>
              <w:rPr>
                <w:lang w:eastAsia="zh-CN"/>
              </w:rPr>
              <w:t>PSCell</w:t>
            </w:r>
            <w:proofErr w:type="spellEnd"/>
            <w:r>
              <w:rPr>
                <w:lang w:eastAsia="zh-CN"/>
              </w:rPr>
              <w:t xml:space="preserve"> change + CHO, so there is no need to capture it for SCG LTM + CHO either.</w:t>
            </w:r>
          </w:p>
          <w:p w14:paraId="7BEA72C9" w14:textId="77777777"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p w14:paraId="4221C81A" w14:textId="77777777" w:rsidR="00E467D0" w:rsidRPr="00EE3026" w:rsidRDefault="00E467D0" w:rsidP="00E467D0">
            <w:pPr>
              <w:rPr>
                <w:lang w:eastAsia="zh-CN"/>
              </w:rPr>
            </w:pPr>
            <w:r w:rsidRPr="00EE3026">
              <w:rPr>
                <w:rFonts w:hint="eastAsia"/>
                <w:highlight w:val="yellow"/>
                <w:lang w:eastAsia="zh-CN"/>
              </w:rPr>
              <w:t xml:space="preserve">[Lenovo] </w:t>
            </w:r>
            <w:r w:rsidRPr="00EE3026">
              <w:rPr>
                <w:rFonts w:hint="eastAsia"/>
                <w:lang w:eastAsia="zh-CN"/>
              </w:rPr>
              <w:t xml:space="preserve">In TS37.340, </w:t>
            </w:r>
            <w:r w:rsidRPr="00EE3026">
              <w:t>While executing CPC,</w:t>
            </w:r>
            <w:r w:rsidRPr="00EE3026">
              <w:rPr>
                <w:rFonts w:hint="eastAsia"/>
                <w:lang w:eastAsia="zh-CN"/>
              </w:rPr>
              <w:t xml:space="preserve"> UE will stop evaluating CHO condition. (see below</w:t>
            </w:r>
            <w:r>
              <w:rPr>
                <w:rFonts w:hint="eastAsia"/>
                <w:lang w:eastAsia="zh-CN"/>
              </w:rPr>
              <w:t>)</w:t>
            </w:r>
            <w:r w:rsidRPr="00EE3026">
              <w:rPr>
                <w:rFonts w:hint="eastAsia"/>
                <w:lang w:eastAsia="zh-CN"/>
              </w:rPr>
              <w:t>.</w:t>
            </w:r>
          </w:p>
          <w:p w14:paraId="2506693C" w14:textId="77777777" w:rsidR="00E467D0" w:rsidRPr="00EE3026" w:rsidRDefault="00E467D0" w:rsidP="00E467D0">
            <w:pPr>
              <w:rPr>
                <w:i/>
                <w:iCs/>
                <w:lang w:eastAsia="zh-CN"/>
              </w:rPr>
            </w:pPr>
            <w:r w:rsidRPr="00EE3026">
              <w:rPr>
                <w:rFonts w:hint="eastAsia"/>
                <w:i/>
                <w:iCs/>
                <w:lang w:eastAsia="zh-CN"/>
              </w:rPr>
              <w:t>TS37.340:</w:t>
            </w:r>
          </w:p>
          <w:p w14:paraId="7443A28D" w14:textId="01FFE9D5" w:rsidR="00E467D0" w:rsidRDefault="00E467D0" w:rsidP="00E467D0">
            <w:pPr>
              <w:rPr>
                <w:lang w:eastAsia="zh-CN"/>
              </w:rPr>
            </w:pPr>
            <w:r w:rsidRPr="00EE3026">
              <w:rPr>
                <w:i/>
                <w:iCs/>
              </w:rPr>
              <w:t xml:space="preserve">While executing CPC, the UE is not required to continue evaluating the execution condition of other candidate </w:t>
            </w:r>
            <w:proofErr w:type="spellStart"/>
            <w:r w:rsidRPr="00EE3026">
              <w:rPr>
                <w:i/>
                <w:iCs/>
              </w:rPr>
              <w:t>PSCell</w:t>
            </w:r>
            <w:proofErr w:type="spellEnd"/>
            <w:r w:rsidRPr="00EE3026">
              <w:rPr>
                <w:i/>
                <w:iCs/>
              </w:rPr>
              <w:t xml:space="preserve">(s) or </w:t>
            </w:r>
            <w:proofErr w:type="spellStart"/>
            <w:r w:rsidRPr="00EE3026">
              <w:rPr>
                <w:i/>
                <w:iCs/>
              </w:rPr>
              <w:t>PCell</w:t>
            </w:r>
            <w:proofErr w:type="spellEnd"/>
            <w:r w:rsidRPr="00EE3026">
              <w:rPr>
                <w:i/>
                <w:iCs/>
              </w:rPr>
              <w:t>(s).</w:t>
            </w:r>
          </w:p>
        </w:tc>
      </w:tr>
      <w:tr w:rsidR="002567C4" w14:paraId="7907BAF5" w14:textId="77777777">
        <w:tc>
          <w:tcPr>
            <w:tcW w:w="1980" w:type="dxa"/>
          </w:tcPr>
          <w:p w14:paraId="1D4E3413" w14:textId="4E533243" w:rsidR="002567C4" w:rsidRDefault="002567C4" w:rsidP="002567C4">
            <w:pPr>
              <w:jc w:val="both"/>
              <w:rPr>
                <w:lang w:eastAsia="zh-CN"/>
              </w:rPr>
            </w:pPr>
            <w:r>
              <w:rPr>
                <w:rFonts w:eastAsia="Batang" w:hint="eastAsia"/>
                <w:lang w:eastAsia="ko-KR"/>
              </w:rPr>
              <w:t>LGE</w:t>
            </w:r>
          </w:p>
        </w:tc>
        <w:tc>
          <w:tcPr>
            <w:tcW w:w="1842" w:type="dxa"/>
          </w:tcPr>
          <w:p w14:paraId="5C307699" w14:textId="68BC03B0" w:rsidR="002567C4" w:rsidRDefault="002567C4" w:rsidP="002567C4">
            <w:pPr>
              <w:jc w:val="both"/>
              <w:rPr>
                <w:lang w:eastAsia="zh-CN"/>
              </w:rPr>
            </w:pPr>
            <w:r>
              <w:rPr>
                <w:rFonts w:eastAsia="Batang" w:hint="eastAsia"/>
                <w:lang w:eastAsia="ko-KR"/>
              </w:rPr>
              <w:t>No</w:t>
            </w:r>
          </w:p>
        </w:tc>
        <w:tc>
          <w:tcPr>
            <w:tcW w:w="5809" w:type="dxa"/>
          </w:tcPr>
          <w:p w14:paraId="789DF976" w14:textId="77777777" w:rsidR="002567C4" w:rsidRDefault="002567C4" w:rsidP="002567C4">
            <w:pPr>
              <w:jc w:val="both"/>
              <w:rPr>
                <w:lang w:eastAsia="zh-CN"/>
              </w:rPr>
            </w:pPr>
            <w:r w:rsidRPr="009B19D9">
              <w:rPr>
                <w:lang w:eastAsia="zh-CN"/>
              </w:rPr>
              <w:t xml:space="preserve">It is very rare that simultaneous execution of CHO and Intra-CU SCG LTM happens. </w:t>
            </w:r>
            <w:r>
              <w:rPr>
                <w:rFonts w:eastAsia="Batang" w:hint="eastAsia"/>
                <w:lang w:eastAsia="ko-KR"/>
              </w:rPr>
              <w:t xml:space="preserve">This means that a failure due to the simultaneous </w:t>
            </w:r>
            <w:r>
              <w:rPr>
                <w:rFonts w:eastAsia="Batang" w:hint="eastAsia"/>
                <w:lang w:eastAsia="ko-KR"/>
              </w:rPr>
              <w:lastRenderedPageBreak/>
              <w:t>execution rarely happens. For this rare case</w:t>
            </w:r>
            <w:r w:rsidRPr="009B19D9">
              <w:rPr>
                <w:lang w:eastAsia="zh-CN"/>
              </w:rPr>
              <w:t>, RRC connection re-establishment is sufficient.</w:t>
            </w:r>
          </w:p>
          <w:p w14:paraId="4A42A02D" w14:textId="2A9BAC5F" w:rsidR="008A560D" w:rsidRDefault="008A560D" w:rsidP="002567C4">
            <w:pPr>
              <w:jc w:val="both"/>
              <w:rPr>
                <w:lang w:eastAsia="zh-CN"/>
              </w:rPr>
            </w:pPr>
            <w:r w:rsidRPr="008A560D">
              <w:rPr>
                <w:lang w:eastAsia="zh-CN"/>
              </w:rPr>
              <w:t>[</w:t>
            </w:r>
            <w:r w:rsidRPr="00F42238">
              <w:rPr>
                <w:highlight w:val="yellow"/>
                <w:lang w:eastAsia="zh-CN"/>
              </w:rPr>
              <w:t>Lenovo</w:t>
            </w:r>
            <w:r w:rsidRPr="008A560D">
              <w:rPr>
                <w:lang w:eastAsia="zh-CN"/>
              </w:rPr>
              <w:t>] There are many co-existence cases in Rel-18. The co-existence of CHO and SCG LTM is one of them. But other co-existence cases have been captured/addressed in 3GPP specification. For example, simultaneous execution of MCG LTM and SCG LTM is not allowed.</w:t>
            </w:r>
          </w:p>
        </w:tc>
      </w:tr>
      <w:tr w:rsidR="00B93069" w14:paraId="0C42886F" w14:textId="77777777">
        <w:tc>
          <w:tcPr>
            <w:tcW w:w="1980" w:type="dxa"/>
          </w:tcPr>
          <w:p w14:paraId="389C3653" w14:textId="5150A86E" w:rsidR="00B93069" w:rsidRDefault="00B93069" w:rsidP="00B93069">
            <w:pPr>
              <w:jc w:val="both"/>
              <w:rPr>
                <w:lang w:eastAsia="zh-CN"/>
              </w:rPr>
            </w:pPr>
            <w:r>
              <w:rPr>
                <w:lang w:eastAsia="zh-CN"/>
              </w:rPr>
              <w:lastRenderedPageBreak/>
              <w:t>Huawei, HiSilicon</w:t>
            </w:r>
          </w:p>
        </w:tc>
        <w:tc>
          <w:tcPr>
            <w:tcW w:w="1842" w:type="dxa"/>
          </w:tcPr>
          <w:p w14:paraId="5BDCE897" w14:textId="1E5A7794" w:rsidR="00B93069" w:rsidRDefault="00B93069" w:rsidP="00B93069">
            <w:pPr>
              <w:jc w:val="both"/>
              <w:rPr>
                <w:lang w:eastAsia="zh-CN"/>
              </w:rPr>
            </w:pPr>
            <w:r>
              <w:rPr>
                <w:lang w:eastAsia="zh-CN"/>
              </w:rPr>
              <w:t>No</w:t>
            </w:r>
          </w:p>
        </w:tc>
        <w:tc>
          <w:tcPr>
            <w:tcW w:w="5809" w:type="dxa"/>
          </w:tcPr>
          <w:p w14:paraId="44D3CBE9" w14:textId="57161CE9" w:rsidR="00B93069" w:rsidRDefault="00B93069" w:rsidP="00B93069">
            <w:pPr>
              <w:jc w:val="both"/>
              <w:rPr>
                <w:lang w:eastAsia="zh-CN"/>
              </w:rPr>
            </w:pPr>
            <w:r w:rsidRPr="001532CA">
              <w:rPr>
                <w:lang w:eastAsia="zh-CN"/>
              </w:rPr>
              <w:t>In Rel-16, if the UE is configured with CHO (and not CPC), reconfiguration with sync of the SCG triggered by an RRC message also does not release the CHO configuration, so it could be triggered and there is no text like what is now proposed for SCG LTM.</w:t>
            </w:r>
          </w:p>
        </w:tc>
      </w:tr>
      <w:tr w:rsidR="00B93069" w14:paraId="0BE77441" w14:textId="77777777">
        <w:tc>
          <w:tcPr>
            <w:tcW w:w="1980" w:type="dxa"/>
          </w:tcPr>
          <w:p w14:paraId="6F78B52E" w14:textId="37B87854" w:rsidR="00B93069" w:rsidRDefault="00A37CED" w:rsidP="00B93069">
            <w:pPr>
              <w:jc w:val="both"/>
              <w:rPr>
                <w:lang w:val="en-US" w:eastAsia="zh-CN"/>
              </w:rPr>
            </w:pPr>
            <w:r>
              <w:rPr>
                <w:lang w:val="en-US" w:eastAsia="zh-CN"/>
              </w:rPr>
              <w:t>Ericsson</w:t>
            </w:r>
          </w:p>
        </w:tc>
        <w:tc>
          <w:tcPr>
            <w:tcW w:w="1842" w:type="dxa"/>
          </w:tcPr>
          <w:p w14:paraId="04CBA205" w14:textId="329FDA25" w:rsidR="00B93069" w:rsidRDefault="00A37CED" w:rsidP="00B93069">
            <w:pPr>
              <w:jc w:val="both"/>
              <w:rPr>
                <w:lang w:eastAsia="zh-CN"/>
              </w:rPr>
            </w:pPr>
            <w:r>
              <w:rPr>
                <w:lang w:eastAsia="zh-CN"/>
              </w:rPr>
              <w:t>No</w:t>
            </w:r>
          </w:p>
        </w:tc>
        <w:tc>
          <w:tcPr>
            <w:tcW w:w="5809" w:type="dxa"/>
          </w:tcPr>
          <w:p w14:paraId="5EDAD342" w14:textId="53CAA721" w:rsidR="00B93069" w:rsidRDefault="00B93069" w:rsidP="00B93069">
            <w:pPr>
              <w:jc w:val="both"/>
              <w:rPr>
                <w:lang w:val="en-US" w:eastAsia="zh-CN"/>
              </w:rPr>
            </w:pPr>
          </w:p>
        </w:tc>
      </w:tr>
      <w:tr w:rsidR="00B93069" w14:paraId="61DB0257" w14:textId="77777777">
        <w:tc>
          <w:tcPr>
            <w:tcW w:w="1980" w:type="dxa"/>
          </w:tcPr>
          <w:p w14:paraId="49639CF5" w14:textId="15778C28" w:rsidR="00B93069" w:rsidRDefault="00F4294D" w:rsidP="00B93069">
            <w:pPr>
              <w:jc w:val="both"/>
              <w:rPr>
                <w:lang w:val="en-US" w:eastAsia="zh-CN"/>
              </w:rPr>
            </w:pPr>
            <w:r>
              <w:rPr>
                <w:rFonts w:hint="eastAsia"/>
                <w:lang w:val="en-US" w:eastAsia="zh-CN"/>
              </w:rPr>
              <w:t>Lenovo</w:t>
            </w:r>
          </w:p>
        </w:tc>
        <w:tc>
          <w:tcPr>
            <w:tcW w:w="1842" w:type="dxa"/>
          </w:tcPr>
          <w:p w14:paraId="0D893774" w14:textId="64508DA6" w:rsidR="00B93069" w:rsidRDefault="00F4294D" w:rsidP="00B93069">
            <w:pPr>
              <w:jc w:val="both"/>
              <w:rPr>
                <w:lang w:val="en-US" w:eastAsia="zh-CN"/>
              </w:rPr>
            </w:pPr>
            <w:r>
              <w:rPr>
                <w:rFonts w:hint="eastAsia"/>
                <w:lang w:val="en-US" w:eastAsia="zh-CN"/>
              </w:rPr>
              <w:t>Proponent</w:t>
            </w:r>
          </w:p>
        </w:tc>
        <w:tc>
          <w:tcPr>
            <w:tcW w:w="5809" w:type="dxa"/>
          </w:tcPr>
          <w:p w14:paraId="64210573" w14:textId="66EE228F" w:rsidR="00B93069" w:rsidRDefault="00582040" w:rsidP="00B93069">
            <w:pPr>
              <w:jc w:val="both"/>
              <w:rPr>
                <w:lang w:val="en-US" w:eastAsia="zh-CN"/>
              </w:rPr>
            </w:pPr>
            <w:r>
              <w:rPr>
                <w:lang w:eastAsia="zh-CN"/>
              </w:rPr>
              <w:t>L</w:t>
            </w:r>
            <w:r>
              <w:rPr>
                <w:rFonts w:hint="eastAsia"/>
                <w:lang w:eastAsia="zh-CN"/>
              </w:rPr>
              <w:t xml:space="preserve">ast meeting, we </w:t>
            </w:r>
            <w:r>
              <w:rPr>
                <w:lang w:eastAsia="zh-CN"/>
              </w:rPr>
              <w:t>propo</w:t>
            </w:r>
            <w:r>
              <w:rPr>
                <w:rFonts w:hint="eastAsia"/>
                <w:lang w:eastAsia="zh-CN"/>
              </w:rPr>
              <w:t xml:space="preserve">sed that UE </w:t>
            </w:r>
            <w:r>
              <w:rPr>
                <w:lang w:eastAsia="zh-CN"/>
              </w:rPr>
              <w:t>should</w:t>
            </w:r>
            <w:r>
              <w:rPr>
                <w:rFonts w:hint="eastAsia"/>
                <w:lang w:eastAsia="zh-CN"/>
              </w:rPr>
              <w:t xml:space="preserve"> stop </w:t>
            </w:r>
            <w:r>
              <w:rPr>
                <w:lang w:eastAsia="zh-CN"/>
              </w:rPr>
              <w:t>evaluating</w:t>
            </w:r>
            <w:r>
              <w:rPr>
                <w:rFonts w:hint="eastAsia"/>
                <w:lang w:eastAsia="zh-CN"/>
              </w:rPr>
              <w:t xml:space="preserve"> CHO once SCG LTM is triggered based on the </w:t>
            </w:r>
            <w:r>
              <w:rPr>
                <w:lang w:eastAsia="zh-CN"/>
              </w:rPr>
              <w:t>assumption</w:t>
            </w:r>
            <w:r>
              <w:rPr>
                <w:rFonts w:hint="eastAsia"/>
                <w:lang w:eastAsia="zh-CN"/>
              </w:rPr>
              <w:t xml:space="preserve"> </w:t>
            </w:r>
            <w:r>
              <w:rPr>
                <w:lang w:eastAsia="zh-CN"/>
              </w:rPr>
              <w:t>that</w:t>
            </w:r>
            <w:r>
              <w:rPr>
                <w:rFonts w:hint="eastAsia"/>
                <w:lang w:eastAsia="zh-CN"/>
              </w:rPr>
              <w:t xml:space="preserve"> simultaneous execution of CHO and SCG LTM is not allowed.  </w:t>
            </w:r>
            <w:r>
              <w:rPr>
                <w:lang w:eastAsia="zh-CN"/>
              </w:rPr>
              <w:t>B</w:t>
            </w:r>
            <w:r>
              <w:rPr>
                <w:rFonts w:hint="eastAsia"/>
                <w:lang w:eastAsia="zh-CN"/>
              </w:rPr>
              <w:t xml:space="preserve">ut </w:t>
            </w:r>
            <w:r>
              <w:rPr>
                <w:lang w:eastAsia="zh-CN"/>
              </w:rPr>
              <w:t>some</w:t>
            </w:r>
            <w:r>
              <w:rPr>
                <w:rFonts w:hint="eastAsia"/>
                <w:lang w:eastAsia="zh-CN"/>
              </w:rPr>
              <w:t xml:space="preserve"> </w:t>
            </w:r>
            <w:r>
              <w:rPr>
                <w:lang w:eastAsia="zh-CN"/>
              </w:rPr>
              <w:t>compan</w:t>
            </w:r>
            <w:r>
              <w:rPr>
                <w:rFonts w:hint="eastAsia"/>
                <w:lang w:eastAsia="zh-CN"/>
              </w:rPr>
              <w:t xml:space="preserve">ies </w:t>
            </w:r>
            <w:r>
              <w:rPr>
                <w:lang w:eastAsia="zh-CN"/>
              </w:rPr>
              <w:t>would</w:t>
            </w:r>
            <w:r>
              <w:rPr>
                <w:rFonts w:hint="eastAsia"/>
                <w:lang w:eastAsia="zh-CN"/>
              </w:rPr>
              <w:t xml:space="preserve"> like to support simultaneous execution. So, we </w:t>
            </w:r>
            <w:r>
              <w:rPr>
                <w:lang w:eastAsia="zh-CN"/>
              </w:rPr>
              <w:t>propos</w:t>
            </w:r>
            <w:r>
              <w:rPr>
                <w:rFonts w:hint="eastAsia"/>
                <w:lang w:eastAsia="zh-CN"/>
              </w:rPr>
              <w:t xml:space="preserve">e to discuss </w:t>
            </w:r>
            <w:r>
              <w:rPr>
                <w:lang w:eastAsia="zh-CN"/>
              </w:rPr>
              <w:t>whether</w:t>
            </w:r>
            <w:r>
              <w:rPr>
                <w:rFonts w:hint="eastAsia"/>
                <w:lang w:eastAsia="zh-CN"/>
              </w:rPr>
              <w:t xml:space="preserve"> simultaneous </w:t>
            </w:r>
            <w:r>
              <w:rPr>
                <w:lang w:eastAsia="zh-CN"/>
              </w:rPr>
              <w:t>execution</w:t>
            </w:r>
            <w:r>
              <w:rPr>
                <w:rFonts w:hint="eastAsia"/>
                <w:lang w:eastAsia="zh-CN"/>
              </w:rPr>
              <w:t xml:space="preserve"> is allowed or not.</w:t>
            </w:r>
          </w:p>
        </w:tc>
      </w:tr>
      <w:tr w:rsidR="00B93069" w14:paraId="1E0B6E39" w14:textId="77777777">
        <w:tc>
          <w:tcPr>
            <w:tcW w:w="1980" w:type="dxa"/>
          </w:tcPr>
          <w:p w14:paraId="29F59D39" w14:textId="6C0FB139" w:rsidR="00B93069" w:rsidRDefault="00531FEA" w:rsidP="00B93069">
            <w:pPr>
              <w:jc w:val="both"/>
              <w:rPr>
                <w:lang w:eastAsia="zh-CN"/>
              </w:rPr>
            </w:pPr>
            <w:r>
              <w:rPr>
                <w:rFonts w:hint="eastAsia"/>
                <w:lang w:eastAsia="zh-CN"/>
              </w:rPr>
              <w:t>Z</w:t>
            </w:r>
            <w:r>
              <w:rPr>
                <w:lang w:eastAsia="zh-CN"/>
              </w:rPr>
              <w:t>TE</w:t>
            </w:r>
          </w:p>
        </w:tc>
        <w:tc>
          <w:tcPr>
            <w:tcW w:w="1842" w:type="dxa"/>
          </w:tcPr>
          <w:p w14:paraId="4E9D5079" w14:textId="2BF44351" w:rsidR="00B93069" w:rsidRDefault="00531FEA" w:rsidP="00B93069">
            <w:pPr>
              <w:jc w:val="both"/>
              <w:rPr>
                <w:lang w:eastAsia="zh-CN"/>
              </w:rPr>
            </w:pPr>
            <w:r>
              <w:rPr>
                <w:rFonts w:hint="eastAsia"/>
                <w:lang w:eastAsia="zh-CN"/>
              </w:rPr>
              <w:t>N</w:t>
            </w:r>
            <w:r>
              <w:rPr>
                <w:lang w:eastAsia="zh-CN"/>
              </w:rPr>
              <w:t>o</w:t>
            </w:r>
          </w:p>
        </w:tc>
        <w:tc>
          <w:tcPr>
            <w:tcW w:w="5809" w:type="dxa"/>
          </w:tcPr>
          <w:p w14:paraId="042517B7" w14:textId="37B8B016" w:rsidR="00B93069" w:rsidRDefault="00A47F48" w:rsidP="00B93069">
            <w:pPr>
              <w:jc w:val="both"/>
              <w:rPr>
                <w:lang w:eastAsia="zh-CN"/>
              </w:rPr>
            </w:pPr>
            <w:r>
              <w:rPr>
                <w:lang w:eastAsia="zh-CN"/>
              </w:rPr>
              <w:t>Share the same view with H</w:t>
            </w:r>
            <w:r w:rsidR="00532BCE">
              <w:rPr>
                <w:lang w:eastAsia="zh-CN"/>
              </w:rPr>
              <w:t>uawei</w:t>
            </w:r>
            <w:r>
              <w:rPr>
                <w:lang w:eastAsia="zh-CN"/>
              </w:rPr>
              <w:t xml:space="preserve">. </w:t>
            </w:r>
          </w:p>
        </w:tc>
      </w:tr>
      <w:tr w:rsidR="00B93069" w14:paraId="307D3EFD" w14:textId="77777777">
        <w:tc>
          <w:tcPr>
            <w:tcW w:w="1980" w:type="dxa"/>
          </w:tcPr>
          <w:p w14:paraId="379030A9" w14:textId="0482E169" w:rsidR="00B93069" w:rsidRDefault="00B93069" w:rsidP="00B93069">
            <w:pPr>
              <w:jc w:val="both"/>
              <w:rPr>
                <w:lang w:eastAsia="zh-CN"/>
              </w:rPr>
            </w:pPr>
          </w:p>
        </w:tc>
        <w:tc>
          <w:tcPr>
            <w:tcW w:w="1842" w:type="dxa"/>
          </w:tcPr>
          <w:p w14:paraId="31A7A6D3" w14:textId="766B1148" w:rsidR="00B93069" w:rsidRDefault="00B93069" w:rsidP="00B93069">
            <w:pPr>
              <w:jc w:val="both"/>
              <w:rPr>
                <w:lang w:eastAsia="zh-CN"/>
              </w:rPr>
            </w:pPr>
          </w:p>
        </w:tc>
        <w:tc>
          <w:tcPr>
            <w:tcW w:w="5809" w:type="dxa"/>
          </w:tcPr>
          <w:p w14:paraId="07B7C7EB" w14:textId="32154E56" w:rsidR="00B93069" w:rsidRDefault="00B93069" w:rsidP="00B93069">
            <w:pPr>
              <w:jc w:val="both"/>
              <w:rPr>
                <w:bCs/>
                <w:lang w:eastAsia="zh-CN"/>
              </w:rPr>
            </w:pPr>
          </w:p>
        </w:tc>
      </w:tr>
      <w:tr w:rsidR="00B93069" w14:paraId="3F7E36E0" w14:textId="77777777">
        <w:tc>
          <w:tcPr>
            <w:tcW w:w="1980" w:type="dxa"/>
          </w:tcPr>
          <w:p w14:paraId="4FE647BA" w14:textId="0504F8C6" w:rsidR="00B93069" w:rsidRDefault="00B93069" w:rsidP="00B93069">
            <w:pPr>
              <w:jc w:val="both"/>
              <w:rPr>
                <w:lang w:eastAsia="zh-CN"/>
              </w:rPr>
            </w:pPr>
          </w:p>
        </w:tc>
        <w:tc>
          <w:tcPr>
            <w:tcW w:w="1842" w:type="dxa"/>
          </w:tcPr>
          <w:p w14:paraId="505A7FEA" w14:textId="345A3DE3" w:rsidR="00B93069" w:rsidRDefault="00B93069" w:rsidP="00B93069">
            <w:pPr>
              <w:jc w:val="both"/>
              <w:rPr>
                <w:lang w:eastAsia="zh-CN"/>
              </w:rPr>
            </w:pPr>
          </w:p>
        </w:tc>
        <w:tc>
          <w:tcPr>
            <w:tcW w:w="5809" w:type="dxa"/>
          </w:tcPr>
          <w:p w14:paraId="3AEA0994" w14:textId="2C0E1C23" w:rsidR="00B93069" w:rsidRDefault="00B93069" w:rsidP="00B93069">
            <w:pPr>
              <w:jc w:val="both"/>
              <w:rPr>
                <w:lang w:eastAsia="zh-CN"/>
              </w:rPr>
            </w:pPr>
          </w:p>
        </w:tc>
      </w:tr>
      <w:tr w:rsidR="00B93069" w14:paraId="2DEF3D3C" w14:textId="77777777">
        <w:tc>
          <w:tcPr>
            <w:tcW w:w="1980" w:type="dxa"/>
          </w:tcPr>
          <w:p w14:paraId="680C0D7C" w14:textId="0A7088CA" w:rsidR="00B93069" w:rsidRDefault="00B93069" w:rsidP="00B93069">
            <w:pPr>
              <w:jc w:val="both"/>
              <w:rPr>
                <w:lang w:val="en-US" w:eastAsia="zh-CN"/>
              </w:rPr>
            </w:pPr>
          </w:p>
        </w:tc>
        <w:tc>
          <w:tcPr>
            <w:tcW w:w="1842" w:type="dxa"/>
          </w:tcPr>
          <w:p w14:paraId="316E2D48" w14:textId="6501A053" w:rsidR="00B93069" w:rsidRDefault="00B93069" w:rsidP="00B93069">
            <w:pPr>
              <w:jc w:val="both"/>
              <w:rPr>
                <w:lang w:val="en-US" w:eastAsia="zh-CN"/>
              </w:rPr>
            </w:pPr>
          </w:p>
        </w:tc>
        <w:tc>
          <w:tcPr>
            <w:tcW w:w="5809" w:type="dxa"/>
          </w:tcPr>
          <w:p w14:paraId="6ACBF7D3" w14:textId="2AC86619" w:rsidR="00B93069" w:rsidRDefault="00B93069" w:rsidP="00B93069">
            <w:pPr>
              <w:jc w:val="both"/>
              <w:rPr>
                <w:lang w:val="en-US" w:eastAsia="zh-CN"/>
              </w:rPr>
            </w:pPr>
          </w:p>
        </w:tc>
      </w:tr>
      <w:tr w:rsidR="00B93069" w14:paraId="3E0EB8BD" w14:textId="77777777">
        <w:tc>
          <w:tcPr>
            <w:tcW w:w="1980" w:type="dxa"/>
          </w:tcPr>
          <w:p w14:paraId="4E0CE9B5" w14:textId="6D0C80E5" w:rsidR="00B93069" w:rsidRDefault="00B93069" w:rsidP="00B93069">
            <w:pPr>
              <w:jc w:val="both"/>
              <w:rPr>
                <w:lang w:val="en-US" w:eastAsia="zh-CN"/>
              </w:rPr>
            </w:pPr>
          </w:p>
        </w:tc>
        <w:tc>
          <w:tcPr>
            <w:tcW w:w="1842" w:type="dxa"/>
          </w:tcPr>
          <w:p w14:paraId="606EA675" w14:textId="1BE64C5E" w:rsidR="00B93069" w:rsidRDefault="00B93069" w:rsidP="00B93069">
            <w:pPr>
              <w:jc w:val="both"/>
              <w:rPr>
                <w:lang w:val="en-US" w:eastAsia="zh-CN"/>
              </w:rPr>
            </w:pPr>
          </w:p>
        </w:tc>
        <w:tc>
          <w:tcPr>
            <w:tcW w:w="5809" w:type="dxa"/>
          </w:tcPr>
          <w:p w14:paraId="0FF4D151" w14:textId="1A3C71CC" w:rsidR="00B93069" w:rsidRDefault="00B93069" w:rsidP="00B93069">
            <w:pPr>
              <w:jc w:val="both"/>
              <w:rPr>
                <w:lang w:val="en-US" w:eastAsia="zh-CN"/>
              </w:rPr>
            </w:pPr>
          </w:p>
        </w:tc>
      </w:tr>
      <w:tr w:rsidR="00B93069" w14:paraId="77F6D561" w14:textId="77777777">
        <w:tc>
          <w:tcPr>
            <w:tcW w:w="1980" w:type="dxa"/>
          </w:tcPr>
          <w:p w14:paraId="55D1F9DC" w14:textId="77777777" w:rsidR="00B93069" w:rsidRDefault="00B93069" w:rsidP="00B93069">
            <w:pPr>
              <w:jc w:val="both"/>
              <w:rPr>
                <w:lang w:val="en-US" w:eastAsia="zh-CN"/>
              </w:rPr>
            </w:pPr>
          </w:p>
        </w:tc>
        <w:tc>
          <w:tcPr>
            <w:tcW w:w="1842" w:type="dxa"/>
          </w:tcPr>
          <w:p w14:paraId="736B4689" w14:textId="77777777" w:rsidR="00B93069" w:rsidRDefault="00B93069" w:rsidP="00B93069">
            <w:pPr>
              <w:jc w:val="both"/>
              <w:rPr>
                <w:lang w:val="en-US" w:eastAsia="zh-CN"/>
              </w:rPr>
            </w:pPr>
          </w:p>
        </w:tc>
        <w:tc>
          <w:tcPr>
            <w:tcW w:w="5809" w:type="dxa"/>
          </w:tcPr>
          <w:p w14:paraId="757DD8E6" w14:textId="77777777" w:rsidR="00B93069" w:rsidRDefault="00B93069" w:rsidP="00B93069">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Heading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TableGrid"/>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49369980" w:rsidR="00825362" w:rsidRPr="00646754" w:rsidRDefault="00646754">
            <w:pPr>
              <w:jc w:val="both"/>
              <w:rPr>
                <w:lang w:val="en-150" w:eastAsia="zh-CN"/>
              </w:rPr>
            </w:pPr>
            <w:r>
              <w:rPr>
                <w:lang w:val="en-150" w:eastAsia="zh-CN"/>
              </w:rPr>
              <w:t xml:space="preserve">Huawei, </w:t>
            </w:r>
            <w:proofErr w:type="spellStart"/>
            <w:r>
              <w:rPr>
                <w:lang w:val="en-150" w:eastAsia="zh-CN"/>
              </w:rPr>
              <w:t>HiSilicon</w:t>
            </w:r>
            <w:proofErr w:type="spellEnd"/>
          </w:p>
        </w:tc>
        <w:tc>
          <w:tcPr>
            <w:tcW w:w="7654" w:type="dxa"/>
          </w:tcPr>
          <w:p w14:paraId="5D8FB07E" w14:textId="24D8C89B" w:rsidR="00646754" w:rsidRPr="00296CF8" w:rsidRDefault="00646754" w:rsidP="00646754">
            <w:pPr>
              <w:pStyle w:val="ListParagraph"/>
              <w:numPr>
                <w:ilvl w:val="0"/>
                <w:numId w:val="14"/>
              </w:numPr>
            </w:pPr>
            <w:r w:rsidRPr="00296CF8">
              <w:t xml:space="preserve">While the UE has stored LTM candidate configurations the UE can also execute any L3 handover except for DAPS handover. In the RRC message which the UE applies for any L3 handover (except DAPS), </w:t>
            </w:r>
            <w:r w:rsidRPr="00646754">
              <w:rPr>
                <w:color w:val="FF0000"/>
                <w:u w:val="single"/>
              </w:rPr>
              <w:t>the</w:t>
            </w:r>
            <w:r>
              <w:t xml:space="preserve"> </w:t>
            </w:r>
            <w:r w:rsidRPr="00296CF8">
              <w:t>LTM candidate configurations can be added/modified/released by the target cell.</w:t>
            </w:r>
            <w:r>
              <w:t xml:space="preserve"> </w:t>
            </w:r>
          </w:p>
          <w:p w14:paraId="13810AD7" w14:textId="77777777" w:rsidR="00825362" w:rsidRDefault="00646754" w:rsidP="00646754">
            <w:pPr>
              <w:rPr>
                <w:lang w:val="en-150" w:eastAsia="zh-CN"/>
              </w:rPr>
            </w:pPr>
            <w:r>
              <w:rPr>
                <w:lang w:val="en-150" w:eastAsia="zh-CN"/>
              </w:rPr>
              <w:t>Here, “the” can only be used to refer to LTM candidate configurations that were previously mentioned, but the only candidate configurations that were mentioned before is the stored ones, so “the LTM candidate configurations can be added” makes no sense.</w:t>
            </w:r>
          </w:p>
          <w:p w14:paraId="4FE765FD" w14:textId="286F9F1B" w:rsidR="00646754" w:rsidRDefault="00646754" w:rsidP="00646754">
            <w:pPr>
              <w:rPr>
                <w:lang w:val="en-150" w:eastAsia="zh-CN"/>
              </w:rPr>
            </w:pPr>
            <w:r>
              <w:rPr>
                <w:lang w:val="en-150" w:eastAsia="zh-CN"/>
              </w:rPr>
              <w:t>Besides, there is nothing in the “reason for change” to explain the motivation of this addition and the text looks correct and clear without any change.</w:t>
            </w:r>
          </w:p>
          <w:p w14:paraId="7BB2D5E1" w14:textId="0F9DFC63" w:rsidR="00646754" w:rsidRDefault="00646754" w:rsidP="00646754">
            <w:pPr>
              <w:pStyle w:val="ListParagraph"/>
              <w:numPr>
                <w:ilvl w:val="0"/>
                <w:numId w:val="14"/>
              </w:numPr>
            </w:pPr>
            <w:r w:rsidRPr="00296CF8">
              <w:lastRenderedPageBreak/>
              <w:t>The overall procedure for LTM is shown in Figure 9.2.3.5.2-1 below. Subsequent LTM is done by repeating the early synchronization, LTM cell switch execution, and LTM cell switch completion steps without releasing</w:t>
            </w:r>
            <w:r>
              <w:t xml:space="preserve">, </w:t>
            </w:r>
            <w:r w:rsidRPr="00646754">
              <w:rPr>
                <w:color w:val="FF0000"/>
                <w:u w:val="single"/>
              </w:rPr>
              <w:t xml:space="preserve">reconfiguring, or adding </w:t>
            </w:r>
            <w:r w:rsidRPr="00296CF8">
              <w:t>other LTM candidate configurations after each LTM cell switch completion.</w:t>
            </w:r>
          </w:p>
          <w:p w14:paraId="251F5416" w14:textId="77777777" w:rsidR="00646754" w:rsidRDefault="00646754" w:rsidP="00646754">
            <w:pPr>
              <w:rPr>
                <w:lang w:val="en-150" w:eastAsia="zh-CN"/>
              </w:rPr>
            </w:pPr>
            <w:r>
              <w:rPr>
                <w:lang w:val="en-150" w:eastAsia="zh-CN"/>
              </w:rPr>
              <w:t>Some change can be done but:</w:t>
            </w:r>
          </w:p>
          <w:p w14:paraId="322D25AE" w14:textId="2CADB632" w:rsidR="008D005C" w:rsidRDefault="00646754" w:rsidP="008D005C">
            <w:pPr>
              <w:pStyle w:val="ListParagraph"/>
              <w:numPr>
                <w:ilvl w:val="0"/>
                <w:numId w:val="15"/>
              </w:numPr>
              <w:rPr>
                <w:lang w:val="en-150" w:eastAsia="zh-CN"/>
              </w:rPr>
            </w:pPr>
            <w:r w:rsidRPr="008D005C">
              <w:rPr>
                <w:lang w:val="en-150" w:eastAsia="zh-CN"/>
              </w:rPr>
              <w:t>The motivation should be in the “reason for change”</w:t>
            </w:r>
            <w:r w:rsidR="00703BE3">
              <w:rPr>
                <w:lang w:val="en-150" w:eastAsia="zh-CN"/>
              </w:rPr>
              <w:t xml:space="preserve"> e.g., “the intention of subsequent LTM is not only that the candidate LTM configurations that were not executed can be kept, but that they also don’t need to be reconfigured or replaced by new ones”.</w:t>
            </w:r>
            <w:bookmarkStart w:id="0" w:name="_GoBack"/>
            <w:bookmarkEnd w:id="0"/>
          </w:p>
          <w:p w14:paraId="6FB7B8DC" w14:textId="34AED4F9" w:rsidR="008D005C" w:rsidRDefault="008D005C" w:rsidP="008D005C">
            <w:pPr>
              <w:pStyle w:val="ListParagraph"/>
              <w:numPr>
                <w:ilvl w:val="0"/>
                <w:numId w:val="15"/>
              </w:numPr>
              <w:rPr>
                <w:lang w:val="en-150" w:eastAsia="zh-CN"/>
              </w:rPr>
            </w:pPr>
            <w:r>
              <w:rPr>
                <w:lang w:val="en-150" w:eastAsia="zh-CN"/>
              </w:rPr>
              <w:t>“</w:t>
            </w:r>
            <w:r>
              <w:t xml:space="preserve">Clarified that if there is a subsequent LTM, the LTM candidate configuration </w:t>
            </w:r>
            <w:r w:rsidRPr="008D005C">
              <w:rPr>
                <w:u w:val="single"/>
              </w:rPr>
              <w:t>should not be released, reconfigured, or added.</w:t>
            </w:r>
            <w:r>
              <w:rPr>
                <w:lang w:val="en-150" w:eastAsia="zh-CN"/>
              </w:rPr>
              <w:t>” seems to say that the network is not allowed to release, reconfigure or add configurations after executions, which is not correct.</w:t>
            </w:r>
          </w:p>
          <w:p w14:paraId="14932286" w14:textId="785841F3" w:rsidR="008D005C" w:rsidRDefault="008D005C" w:rsidP="008D005C">
            <w:pPr>
              <w:rPr>
                <w:lang w:val="en-150" w:eastAsia="zh-CN"/>
              </w:rPr>
            </w:pPr>
            <w:r>
              <w:rPr>
                <w:lang w:val="en-150" w:eastAsia="zh-CN"/>
              </w:rPr>
              <w:t>Such a confusion could be avoided like:</w:t>
            </w:r>
          </w:p>
          <w:p w14:paraId="54098490" w14:textId="7635C778" w:rsidR="008D005C" w:rsidRDefault="008D005C" w:rsidP="008D005C">
            <w:pPr>
              <w:pStyle w:val="ListParagraph"/>
              <w:numPr>
                <w:ilvl w:val="0"/>
                <w:numId w:val="16"/>
              </w:numPr>
            </w:pPr>
            <w:r w:rsidRPr="00296CF8">
              <w:t xml:space="preserve">The overall procedure for LTM is shown in Figure 9.2.3.5.2-1 below. Subsequent LTM is done by repeating the early synchronization, LTM cell switch execution, and LTM cell switch completion steps without </w:t>
            </w:r>
            <w:r w:rsidRPr="008D005C">
              <w:rPr>
                <w:color w:val="FF0000"/>
                <w:u w:val="single"/>
                <w:lang w:val="en-150"/>
              </w:rPr>
              <w:t xml:space="preserve">the need to </w:t>
            </w:r>
            <w:proofErr w:type="spellStart"/>
            <w:r w:rsidRPr="00296CF8">
              <w:t>releas</w:t>
            </w:r>
            <w:proofErr w:type="spellEnd"/>
            <w:r w:rsidRPr="008D005C">
              <w:rPr>
                <w:color w:val="FF0000"/>
                <w:u w:val="single"/>
                <w:lang w:val="en-150"/>
              </w:rPr>
              <w:t>e</w:t>
            </w:r>
            <w:proofErr w:type="spellStart"/>
            <w:r w:rsidRPr="008D005C">
              <w:rPr>
                <w:strike/>
                <w:color w:val="FF0000"/>
              </w:rPr>
              <w:t>ing</w:t>
            </w:r>
            <w:proofErr w:type="spellEnd"/>
            <w:r>
              <w:t xml:space="preserve">, </w:t>
            </w:r>
            <w:proofErr w:type="spellStart"/>
            <w:r w:rsidRPr="00646754">
              <w:rPr>
                <w:color w:val="FF0000"/>
                <w:u w:val="single"/>
              </w:rPr>
              <w:t>reconfigur</w:t>
            </w:r>
            <w:proofErr w:type="spellEnd"/>
            <w:r>
              <w:rPr>
                <w:color w:val="FF0000"/>
                <w:u w:val="single"/>
                <w:lang w:val="en-150"/>
              </w:rPr>
              <w:t>e</w:t>
            </w:r>
            <w:r w:rsidRPr="00646754">
              <w:rPr>
                <w:color w:val="FF0000"/>
                <w:u w:val="single"/>
              </w:rPr>
              <w:t xml:space="preserve">, or add </w:t>
            </w:r>
            <w:r w:rsidRPr="00296CF8">
              <w:t>other LTM candidate configurations after each LTM cell switch completion.</w:t>
            </w:r>
          </w:p>
          <w:p w14:paraId="55BE72DF" w14:textId="0832351E" w:rsidR="00646754" w:rsidRPr="00646754" w:rsidRDefault="00646754" w:rsidP="008D005C">
            <w:pPr>
              <w:pStyle w:val="ListParagraph"/>
              <w:rPr>
                <w:lang w:val="en-150" w:eastAsia="zh-CN"/>
              </w:rPr>
            </w:pPr>
            <w:r w:rsidRPr="00646754">
              <w:rPr>
                <w:lang w:val="en-150" w:eastAsia="zh-CN"/>
              </w:rPr>
              <w:t xml:space="preserve"> </w:t>
            </w: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t>References</w:t>
      </w:r>
    </w:p>
    <w:p w14:paraId="7265D04F" w14:textId="011AF49A" w:rsidR="009845E3" w:rsidRDefault="009845E3" w:rsidP="00E132DC">
      <w:pPr>
        <w:pStyle w:val="ListParagraph"/>
        <w:numPr>
          <w:ilvl w:val="0"/>
          <w:numId w:val="8"/>
        </w:numPr>
      </w:pPr>
      <w:bookmarkStart w:id="1"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1"/>
    </w:p>
    <w:p w14:paraId="5073927D" w14:textId="4E25FEDD" w:rsidR="00B73A79" w:rsidRDefault="009845E3">
      <w:pPr>
        <w:pStyle w:val="ListParagraph"/>
        <w:numPr>
          <w:ilvl w:val="0"/>
          <w:numId w:val="8"/>
        </w:numPr>
        <w:spacing w:line="259" w:lineRule="auto"/>
        <w:jc w:val="both"/>
      </w:pPr>
      <w:bookmarkStart w:id="2" w:name="_Ref182904150"/>
      <w:r>
        <w:t>R2-2410449</w:t>
      </w:r>
      <w:r>
        <w:tab/>
      </w:r>
      <w:r w:rsidRPr="00E132DC">
        <w:rPr>
          <w:i/>
          <w:iCs/>
        </w:rPr>
        <w:t>Stage 2 TP for simultaneous execution of CHO and SCG LTM</w:t>
      </w:r>
      <w:r w:rsidR="00E132DC">
        <w:tab/>
        <w:t>3GPP TSG-RAN WG2 Meeting #128 Orlando, USA, 18th – 22nd of November 2024</w:t>
      </w:r>
      <w:bookmarkEnd w:id="2"/>
    </w:p>
    <w:p w14:paraId="04A60E2B" w14:textId="20E25AEE" w:rsidR="009845E3" w:rsidRDefault="009845E3">
      <w:pPr>
        <w:pStyle w:val="ListParagraph"/>
        <w:numPr>
          <w:ilvl w:val="0"/>
          <w:numId w:val="8"/>
        </w:numPr>
        <w:spacing w:line="259" w:lineRule="auto"/>
        <w:jc w:val="both"/>
      </w:pPr>
      <w:bookmarkStart w:id="3" w:name="_Ref182903685"/>
      <w:r w:rsidRPr="009845E3">
        <w:t xml:space="preserve">R2-2409356 </w:t>
      </w:r>
      <w:r>
        <w:tab/>
      </w:r>
      <w:r w:rsidRPr="00E132DC">
        <w:rPr>
          <w:i/>
          <w:iCs/>
        </w:rPr>
        <w:t>Report from [AT127</w:t>
      </w:r>
      <w:proofErr w:type="gramStart"/>
      <w:r w:rsidRPr="00E132DC">
        <w:rPr>
          <w:i/>
          <w:iCs/>
        </w:rPr>
        <w:t>b][</w:t>
      </w:r>
      <w:proofErr w:type="gramEnd"/>
      <w:r w:rsidRPr="00E132DC">
        <w:rPr>
          <w:i/>
          <w:iCs/>
        </w:rPr>
        <w:t>104][MOB] (Nokia)</w:t>
      </w:r>
      <w:r>
        <w:t xml:space="preserve"> </w:t>
      </w:r>
      <w:r w:rsidR="00E132DC">
        <w:t xml:space="preserve"> 3GPP TSG-RAN WG2 Meeting #127bis Hefei, China, 14th – 18th of October 2024</w:t>
      </w:r>
      <w:bookmarkEnd w:id="3"/>
    </w:p>
    <w:p w14:paraId="48648807" w14:textId="7142A479" w:rsidR="009845E3" w:rsidRDefault="009845E3" w:rsidP="00983A9C">
      <w:pPr>
        <w:pStyle w:val="ListParagraph"/>
        <w:numPr>
          <w:ilvl w:val="0"/>
          <w:numId w:val="8"/>
        </w:numPr>
        <w:spacing w:line="259" w:lineRule="auto"/>
        <w:jc w:val="both"/>
      </w:pPr>
      <w:bookmarkStart w:id="4" w:name="_Ref182925951"/>
      <w:r>
        <w:t>R2-2409936</w:t>
      </w:r>
      <w:r>
        <w:tab/>
      </w:r>
      <w:proofErr w:type="spellStart"/>
      <w:r w:rsidRPr="00E132DC">
        <w:rPr>
          <w:i/>
          <w:iCs/>
        </w:rPr>
        <w:t>Misc</w:t>
      </w:r>
      <w:proofErr w:type="spellEnd"/>
      <w:r w:rsidRPr="00E132DC">
        <w:rPr>
          <w:i/>
          <w:iCs/>
        </w:rPr>
        <w:t xml:space="preserve"> state 2 corrections for LTM mobility</w:t>
      </w:r>
      <w:r w:rsidRPr="00E132DC">
        <w:rPr>
          <w:i/>
          <w:iCs/>
        </w:rPr>
        <w:tab/>
      </w:r>
      <w:r w:rsidR="00E132DC">
        <w:t xml:space="preserve"> 3GPP TSG-RAN WG2 Meeting #128 Orlando, USA, 18th – 22nd of November 2024</w:t>
      </w:r>
      <w:bookmarkEnd w:id="4"/>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99884" w14:textId="77777777" w:rsidR="00443FB0" w:rsidRDefault="00443FB0" w:rsidP="006771B2">
      <w:pPr>
        <w:spacing w:after="0"/>
      </w:pPr>
      <w:r>
        <w:separator/>
      </w:r>
    </w:p>
  </w:endnote>
  <w:endnote w:type="continuationSeparator" w:id="0">
    <w:p w14:paraId="121BC18D" w14:textId="77777777" w:rsidR="00443FB0" w:rsidRDefault="00443FB0"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E412" w14:textId="0E31F2F3" w:rsidR="0096579D" w:rsidRDefault="0096579D">
    <w:pPr>
      <w:pStyle w:val="Footer"/>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B2CA" w14:textId="77777777" w:rsidR="00443FB0" w:rsidRDefault="00443FB0" w:rsidP="006771B2">
      <w:pPr>
        <w:spacing w:after="0"/>
      </w:pPr>
      <w:r>
        <w:separator/>
      </w:r>
    </w:p>
  </w:footnote>
  <w:footnote w:type="continuationSeparator" w:id="0">
    <w:p w14:paraId="47FCB011" w14:textId="77777777" w:rsidR="00443FB0" w:rsidRDefault="00443FB0"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2F12A9"/>
    <w:multiLevelType w:val="hybridMultilevel"/>
    <w:tmpl w:val="AED00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B9403DA"/>
    <w:multiLevelType w:val="hybridMultilevel"/>
    <w:tmpl w:val="AED00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BE62456"/>
    <w:multiLevelType w:val="hybridMultilevel"/>
    <w:tmpl w:val="9000B4A0"/>
    <w:lvl w:ilvl="0" w:tplc="9A3088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5"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1"/>
  </w:num>
  <w:num w:numId="5">
    <w:abstractNumId w:val="0"/>
  </w:num>
  <w:num w:numId="6">
    <w:abstractNumId w:val="14"/>
  </w:num>
  <w:num w:numId="7">
    <w:abstractNumId w:val="1"/>
  </w:num>
  <w:num w:numId="8">
    <w:abstractNumId w:val="10"/>
  </w:num>
  <w:num w:numId="9">
    <w:abstractNumId w:val="2"/>
  </w:num>
  <w:num w:numId="10">
    <w:abstractNumId w:val="7"/>
  </w:num>
  <w:num w:numId="11">
    <w:abstractNumId w:val="12"/>
  </w:num>
  <w:num w:numId="12">
    <w:abstractNumId w:val="4"/>
  </w:num>
  <w:num w:numId="13">
    <w:abstractNumId w:val="15"/>
  </w:num>
  <w:num w:numId="14">
    <w:abstractNumId w:val="6"/>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43ED4"/>
    <w:rsid w:val="00363513"/>
    <w:rsid w:val="00365737"/>
    <w:rsid w:val="00396DD6"/>
    <w:rsid w:val="003D4897"/>
    <w:rsid w:val="003F52DB"/>
    <w:rsid w:val="00402BF2"/>
    <w:rsid w:val="00432279"/>
    <w:rsid w:val="00443FB0"/>
    <w:rsid w:val="004A06FB"/>
    <w:rsid w:val="004F1D0C"/>
    <w:rsid w:val="00531FEA"/>
    <w:rsid w:val="00532BCE"/>
    <w:rsid w:val="00582040"/>
    <w:rsid w:val="00646754"/>
    <w:rsid w:val="006771B2"/>
    <w:rsid w:val="00691B4C"/>
    <w:rsid w:val="006B62A4"/>
    <w:rsid w:val="006C3BF5"/>
    <w:rsid w:val="006D45C4"/>
    <w:rsid w:val="00703BE3"/>
    <w:rsid w:val="0075045A"/>
    <w:rsid w:val="00767B6F"/>
    <w:rsid w:val="007860E6"/>
    <w:rsid w:val="007F0B9F"/>
    <w:rsid w:val="00801D71"/>
    <w:rsid w:val="00802D79"/>
    <w:rsid w:val="00825362"/>
    <w:rsid w:val="0085213A"/>
    <w:rsid w:val="008A212F"/>
    <w:rsid w:val="008A560D"/>
    <w:rsid w:val="008D005C"/>
    <w:rsid w:val="008F491B"/>
    <w:rsid w:val="00925103"/>
    <w:rsid w:val="00926927"/>
    <w:rsid w:val="0096579D"/>
    <w:rsid w:val="00970A7A"/>
    <w:rsid w:val="00983A9C"/>
    <w:rsid w:val="009845E3"/>
    <w:rsid w:val="009937B9"/>
    <w:rsid w:val="009B1EB1"/>
    <w:rsid w:val="00A37CED"/>
    <w:rsid w:val="00A47F48"/>
    <w:rsid w:val="00A70B5C"/>
    <w:rsid w:val="00B23833"/>
    <w:rsid w:val="00B6039F"/>
    <w:rsid w:val="00B73A79"/>
    <w:rsid w:val="00B93069"/>
    <w:rsid w:val="00BC1570"/>
    <w:rsid w:val="00C2584C"/>
    <w:rsid w:val="00C25ACA"/>
    <w:rsid w:val="00C3356D"/>
    <w:rsid w:val="00C52CDC"/>
    <w:rsid w:val="00C82E9C"/>
    <w:rsid w:val="00CC3DF5"/>
    <w:rsid w:val="00CE13DB"/>
    <w:rsid w:val="00DD49C5"/>
    <w:rsid w:val="00DD6C4E"/>
    <w:rsid w:val="00E132DC"/>
    <w:rsid w:val="00E315AE"/>
    <w:rsid w:val="00E467D0"/>
    <w:rsid w:val="00ED3ADD"/>
    <w:rsid w:val="00F128FB"/>
    <w:rsid w:val="00F42238"/>
    <w:rsid w:val="00F4294D"/>
    <w:rsid w:val="00F51575"/>
    <w:rsid w:val="00F61F0F"/>
    <w:rsid w:val="00F8078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C74508D-DE07-4AAD-9624-1FEB1FD7B84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7531</Characters>
  <Application>Microsoft Office Word</Application>
  <DocSecurity>0</DocSecurity>
  <Lines>62</Lines>
  <Paragraphs>17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Huawei (David Lecompte)</cp:lastModifiedBy>
  <cp:revision>2</cp:revision>
  <dcterms:created xsi:type="dcterms:W3CDTF">2024-11-21T13:56:00Z</dcterms:created>
  <dcterms:modified xsi:type="dcterms:W3CDTF">2024-11-21T13:56:00Z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