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w:t>
      </w:r>
      <w:proofErr w:type="gramStart"/>
      <w:r w:rsidR="0075045A" w:rsidRPr="0075045A">
        <w:rPr>
          <w:rFonts w:ascii="Arial" w:hAnsi="Arial" w:cs="Arial"/>
          <w:b/>
          <w:bCs/>
          <w:sz w:val="24"/>
        </w:rPr>
        <w:t>103][</w:t>
      </w:r>
      <w:proofErr w:type="gramEnd"/>
      <w:r w:rsidR="0075045A" w:rsidRPr="0075045A">
        <w:rPr>
          <w:rFonts w:ascii="Arial" w:hAnsi="Arial" w:cs="Arial"/>
          <w:b/>
          <w:bCs/>
          <w:sz w:val="24"/>
        </w:rPr>
        <w:t>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w:t>
      </w:r>
      <w:proofErr w:type="gramStart"/>
      <w:r w:rsidRPr="0075045A">
        <w:rPr>
          <w:rFonts w:ascii="Arial" w:eastAsia="MS Mincho" w:hAnsi="Arial"/>
          <w:b/>
          <w:szCs w:val="24"/>
          <w:lang w:eastAsia="en-GB"/>
        </w:rPr>
        <w:t>103][</w:t>
      </w:r>
      <w:proofErr w:type="gramEnd"/>
      <w:r w:rsidRPr="0075045A">
        <w:rPr>
          <w:rFonts w:ascii="Arial" w:eastAsia="MS Mincho" w:hAnsi="Arial"/>
          <w:b/>
          <w:szCs w:val="24"/>
          <w:lang w:eastAsia="en-GB"/>
        </w:rPr>
        <w:t>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proofErr w:type="gramStart"/>
      <w:r w:rsidR="00983A9C">
        <w:t>continues on</w:t>
      </w:r>
      <w:proofErr w:type="gramEnd"/>
      <w:r w:rsidR="00983A9C">
        <w:t xml:space="preserve">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eastAsia="zh-CN"/>
              </w:rPr>
              <w:t>Huawei, HiSilicon</w:t>
            </w:r>
          </w:p>
        </w:tc>
        <w:tc>
          <w:tcPr>
            <w:tcW w:w="1842" w:type="dxa"/>
          </w:tcPr>
          <w:p w14:paraId="322334B0" w14:textId="3A0FB07E" w:rsidR="00B93069" w:rsidRDefault="00B93069" w:rsidP="00B93069">
            <w:pPr>
              <w:jc w:val="both"/>
              <w:rPr>
                <w:lang w:eastAsia="zh-CN"/>
              </w:rPr>
            </w:pPr>
            <w:r>
              <w:rPr>
                <w:lang w:eastAsia="zh-CN"/>
              </w:rPr>
              <w:t>No?</w:t>
            </w:r>
          </w:p>
        </w:tc>
        <w:tc>
          <w:tcPr>
            <w:tcW w:w="5809" w:type="dxa"/>
          </w:tcPr>
          <w:p w14:paraId="0B26E489" w14:textId="06F2AF36" w:rsidR="00B93069" w:rsidRDefault="00B93069" w:rsidP="00B9306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3087212D" w:rsidR="002567C4" w:rsidRDefault="00A37CED" w:rsidP="002567C4">
            <w:pPr>
              <w:jc w:val="both"/>
              <w:rPr>
                <w:lang w:eastAsia="zh-CN"/>
              </w:rPr>
            </w:pPr>
            <w:r>
              <w:rPr>
                <w:lang w:eastAsia="zh-CN"/>
              </w:rPr>
              <w:lastRenderedPageBreak/>
              <w:t>Ericsson</w:t>
            </w:r>
          </w:p>
        </w:tc>
        <w:tc>
          <w:tcPr>
            <w:tcW w:w="1842" w:type="dxa"/>
          </w:tcPr>
          <w:p w14:paraId="18B33DDF" w14:textId="5858F0D1" w:rsidR="002567C4" w:rsidRDefault="00A37CED" w:rsidP="002567C4">
            <w:pPr>
              <w:jc w:val="both"/>
              <w:rPr>
                <w:lang w:eastAsia="zh-CN"/>
              </w:rPr>
            </w:pPr>
            <w:r>
              <w:rPr>
                <w:lang w:eastAsia="zh-CN"/>
              </w:rPr>
              <w:t>No strong view</w:t>
            </w:r>
          </w:p>
        </w:tc>
        <w:tc>
          <w:tcPr>
            <w:tcW w:w="5809" w:type="dxa"/>
          </w:tcPr>
          <w:p w14:paraId="2F595D11" w14:textId="3DE3617F" w:rsidR="002567C4" w:rsidRDefault="00A37CED" w:rsidP="002567C4">
            <w:pPr>
              <w:jc w:val="both"/>
              <w:rPr>
                <w:lang w:eastAsia="zh-CN"/>
              </w:rPr>
            </w:pPr>
            <w:r>
              <w:rPr>
                <w:lang w:eastAsia="zh-CN"/>
              </w:rPr>
              <w:t xml:space="preserve">Having just a reference with says “TS 38.133” maybe is not </w:t>
            </w:r>
            <w:proofErr w:type="gramStart"/>
            <w:r>
              <w:rPr>
                <w:lang w:eastAsia="zh-CN"/>
              </w:rPr>
              <w:t>really helpful</w:t>
            </w:r>
            <w:proofErr w:type="gramEnd"/>
            <w:r>
              <w:rPr>
                <w:lang w:eastAsia="zh-CN"/>
              </w:rPr>
              <w:t>, but we can go with majority.</w:t>
            </w:r>
          </w:p>
        </w:tc>
      </w:tr>
      <w:tr w:rsidR="002567C4" w14:paraId="0CE9CB71" w14:textId="77777777">
        <w:tc>
          <w:tcPr>
            <w:tcW w:w="1980" w:type="dxa"/>
          </w:tcPr>
          <w:p w14:paraId="432F1788" w14:textId="17BCC32D" w:rsidR="002567C4" w:rsidRDefault="002567C4" w:rsidP="002567C4">
            <w:pPr>
              <w:jc w:val="both"/>
              <w:rPr>
                <w:lang w:val="en-US" w:eastAsia="zh-CN"/>
              </w:rPr>
            </w:pPr>
          </w:p>
        </w:tc>
        <w:tc>
          <w:tcPr>
            <w:tcW w:w="1842" w:type="dxa"/>
          </w:tcPr>
          <w:p w14:paraId="00A68371" w14:textId="5A73637E" w:rsidR="002567C4" w:rsidRDefault="002567C4" w:rsidP="002567C4">
            <w:pPr>
              <w:jc w:val="both"/>
              <w:rPr>
                <w:lang w:eastAsia="zh-CN"/>
              </w:rPr>
            </w:pP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w:t>
      </w:r>
      <w:proofErr w:type="gramStart"/>
      <w:r w:rsidR="00396DD6">
        <w:t>to agree</w:t>
      </w:r>
      <w:proofErr w:type="gramEnd"/>
      <w:r w:rsidR="00396DD6">
        <w:t xml:space="preserv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443A28D" w14:textId="32FD5E13"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4A42A02D" w14:textId="0FE65E7E"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This means that a failure due to the simultaneous execution rarely happens. For this rare case</w:t>
            </w:r>
            <w:r w:rsidRPr="009B19D9">
              <w:rPr>
                <w:lang w:eastAsia="zh-CN"/>
              </w:rPr>
              <w:t>, RRC connection re-establishment is sufficient.</w:t>
            </w:r>
          </w:p>
        </w:tc>
      </w:tr>
      <w:tr w:rsidR="00B93069" w14:paraId="0C42886F" w14:textId="77777777">
        <w:tc>
          <w:tcPr>
            <w:tcW w:w="1980" w:type="dxa"/>
          </w:tcPr>
          <w:p w14:paraId="389C3653" w14:textId="5150A86E" w:rsidR="00B93069" w:rsidRDefault="00B93069" w:rsidP="00B93069">
            <w:pPr>
              <w:jc w:val="both"/>
              <w:rPr>
                <w:lang w:eastAsia="zh-CN"/>
              </w:rPr>
            </w:pPr>
            <w:r>
              <w:rPr>
                <w:lang w:eastAsia="zh-CN"/>
              </w:rPr>
              <w:t>Huawei, HiSilicon</w:t>
            </w:r>
          </w:p>
        </w:tc>
        <w:tc>
          <w:tcPr>
            <w:tcW w:w="1842" w:type="dxa"/>
          </w:tcPr>
          <w:p w14:paraId="5BDCE897" w14:textId="1E5A7794" w:rsidR="00B93069" w:rsidRDefault="00B93069" w:rsidP="00B93069">
            <w:pPr>
              <w:jc w:val="both"/>
              <w:rPr>
                <w:lang w:eastAsia="zh-CN"/>
              </w:rPr>
            </w:pPr>
            <w:r>
              <w:rPr>
                <w:lang w:eastAsia="zh-CN"/>
              </w:rPr>
              <w:t>No</w:t>
            </w:r>
          </w:p>
        </w:tc>
        <w:tc>
          <w:tcPr>
            <w:tcW w:w="5809" w:type="dxa"/>
          </w:tcPr>
          <w:p w14:paraId="44D3CBE9" w14:textId="0FAA26A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B93069" w14:paraId="0BE77441" w14:textId="77777777">
        <w:tc>
          <w:tcPr>
            <w:tcW w:w="1980" w:type="dxa"/>
          </w:tcPr>
          <w:p w14:paraId="6F78B52E" w14:textId="37B87854" w:rsidR="00B93069" w:rsidRDefault="00A37CED" w:rsidP="00B93069">
            <w:pPr>
              <w:jc w:val="both"/>
              <w:rPr>
                <w:lang w:val="en-US" w:eastAsia="zh-CN"/>
              </w:rPr>
            </w:pPr>
            <w:r>
              <w:rPr>
                <w:lang w:val="en-US" w:eastAsia="zh-CN"/>
              </w:rPr>
              <w:lastRenderedPageBreak/>
              <w:t>Ericsson</w:t>
            </w:r>
          </w:p>
        </w:tc>
        <w:tc>
          <w:tcPr>
            <w:tcW w:w="1842" w:type="dxa"/>
          </w:tcPr>
          <w:p w14:paraId="04CBA205" w14:textId="329FDA25" w:rsidR="00B93069" w:rsidRDefault="00A37CED" w:rsidP="00B93069">
            <w:pPr>
              <w:jc w:val="both"/>
              <w:rPr>
                <w:lang w:eastAsia="zh-CN"/>
              </w:rPr>
            </w:pPr>
            <w:r>
              <w:rPr>
                <w:lang w:eastAsia="zh-CN"/>
              </w:rPr>
              <w:t>No</w:t>
            </w: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690D8A92" w:rsidR="00B93069" w:rsidRDefault="00B93069" w:rsidP="00B93069">
            <w:pPr>
              <w:jc w:val="both"/>
              <w:rPr>
                <w:lang w:val="en-US" w:eastAsia="zh-CN"/>
              </w:rPr>
            </w:pPr>
          </w:p>
        </w:tc>
        <w:tc>
          <w:tcPr>
            <w:tcW w:w="1842" w:type="dxa"/>
          </w:tcPr>
          <w:p w14:paraId="0D893774" w14:textId="2ECC2754" w:rsidR="00B93069" w:rsidRDefault="00B93069" w:rsidP="00B93069">
            <w:pPr>
              <w:jc w:val="both"/>
              <w:rPr>
                <w:lang w:val="en-US" w:eastAsia="zh-CN"/>
              </w:rPr>
            </w:pPr>
          </w:p>
        </w:tc>
        <w:tc>
          <w:tcPr>
            <w:tcW w:w="5809" w:type="dxa"/>
          </w:tcPr>
          <w:p w14:paraId="64210573" w14:textId="61FFD646" w:rsidR="00B93069" w:rsidRDefault="00B93069" w:rsidP="00B93069">
            <w:pPr>
              <w:jc w:val="both"/>
              <w:rPr>
                <w:lang w:val="en-US" w:eastAsia="zh-CN"/>
              </w:rPr>
            </w:pPr>
          </w:p>
        </w:tc>
      </w:tr>
      <w:tr w:rsidR="00B93069" w14:paraId="1E0B6E39" w14:textId="77777777">
        <w:tc>
          <w:tcPr>
            <w:tcW w:w="1980" w:type="dxa"/>
          </w:tcPr>
          <w:p w14:paraId="29F59D39" w14:textId="720B2EF4" w:rsidR="00B93069" w:rsidRDefault="00B93069" w:rsidP="00B93069">
            <w:pPr>
              <w:jc w:val="both"/>
              <w:rPr>
                <w:lang w:eastAsia="zh-CN"/>
              </w:rPr>
            </w:pPr>
          </w:p>
        </w:tc>
        <w:tc>
          <w:tcPr>
            <w:tcW w:w="1842" w:type="dxa"/>
          </w:tcPr>
          <w:p w14:paraId="4E9D5079" w14:textId="0F7E0ED1" w:rsidR="00B93069" w:rsidRDefault="00B93069" w:rsidP="00B93069">
            <w:pPr>
              <w:jc w:val="both"/>
              <w:rPr>
                <w:lang w:eastAsia="zh-CN"/>
              </w:rPr>
            </w:pPr>
          </w:p>
        </w:tc>
        <w:tc>
          <w:tcPr>
            <w:tcW w:w="5809" w:type="dxa"/>
          </w:tcPr>
          <w:p w14:paraId="042517B7" w14:textId="4789E0B3" w:rsidR="00B93069" w:rsidRDefault="00B93069" w:rsidP="00B93069">
            <w:pPr>
              <w:jc w:val="both"/>
              <w:rPr>
                <w:lang w:eastAsia="zh-CN"/>
              </w:rPr>
            </w:pPr>
          </w:p>
        </w:tc>
      </w:tr>
      <w:tr w:rsidR="00B93069" w14:paraId="307D3EFD" w14:textId="77777777">
        <w:tc>
          <w:tcPr>
            <w:tcW w:w="1980" w:type="dxa"/>
          </w:tcPr>
          <w:p w14:paraId="379030A9" w14:textId="0482E169" w:rsidR="00B93069" w:rsidRDefault="00B93069" w:rsidP="00B93069">
            <w:pPr>
              <w:jc w:val="both"/>
              <w:rPr>
                <w:lang w:eastAsia="zh-CN"/>
              </w:rPr>
            </w:pPr>
          </w:p>
        </w:tc>
        <w:tc>
          <w:tcPr>
            <w:tcW w:w="1842" w:type="dxa"/>
          </w:tcPr>
          <w:p w14:paraId="31A7A6D3" w14:textId="766B1148" w:rsidR="00B93069" w:rsidRDefault="00B93069" w:rsidP="00B93069">
            <w:pPr>
              <w:jc w:val="both"/>
              <w:rPr>
                <w:lang w:eastAsia="zh-CN"/>
              </w:rPr>
            </w:pPr>
          </w:p>
        </w:tc>
        <w:tc>
          <w:tcPr>
            <w:tcW w:w="5809" w:type="dxa"/>
          </w:tcPr>
          <w:p w14:paraId="07B7C7EB" w14:textId="32154E56" w:rsidR="00B93069" w:rsidRDefault="00B93069" w:rsidP="00B93069">
            <w:pPr>
              <w:jc w:val="both"/>
              <w:rPr>
                <w:bCs/>
                <w:lang w:eastAsia="zh-CN"/>
              </w:rPr>
            </w:pPr>
          </w:p>
        </w:tc>
      </w:tr>
      <w:tr w:rsidR="00B93069" w14:paraId="3F7E36E0" w14:textId="77777777">
        <w:tc>
          <w:tcPr>
            <w:tcW w:w="1980" w:type="dxa"/>
          </w:tcPr>
          <w:p w14:paraId="4FE647BA" w14:textId="0504F8C6" w:rsidR="00B93069" w:rsidRDefault="00B93069" w:rsidP="00B93069">
            <w:pPr>
              <w:jc w:val="both"/>
              <w:rPr>
                <w:lang w:eastAsia="zh-CN"/>
              </w:rPr>
            </w:pPr>
          </w:p>
        </w:tc>
        <w:tc>
          <w:tcPr>
            <w:tcW w:w="1842" w:type="dxa"/>
          </w:tcPr>
          <w:p w14:paraId="505A7FEA" w14:textId="345A3DE3" w:rsidR="00B93069" w:rsidRDefault="00B93069" w:rsidP="00B93069">
            <w:pPr>
              <w:jc w:val="both"/>
              <w:rPr>
                <w:lang w:eastAsia="zh-CN"/>
              </w:rPr>
            </w:pPr>
          </w:p>
        </w:tc>
        <w:tc>
          <w:tcPr>
            <w:tcW w:w="5809" w:type="dxa"/>
          </w:tcPr>
          <w:p w14:paraId="3AEA0994" w14:textId="2C0E1C23" w:rsidR="00B93069" w:rsidRDefault="00B93069" w:rsidP="00B93069">
            <w:pPr>
              <w:jc w:val="both"/>
              <w:rPr>
                <w:lang w:eastAsia="zh-CN"/>
              </w:rPr>
            </w:pPr>
          </w:p>
        </w:tc>
      </w:tr>
      <w:tr w:rsidR="00B93069" w14:paraId="2DEF3D3C" w14:textId="77777777">
        <w:tc>
          <w:tcPr>
            <w:tcW w:w="1980" w:type="dxa"/>
          </w:tcPr>
          <w:p w14:paraId="680C0D7C" w14:textId="0A7088CA" w:rsidR="00B93069" w:rsidRDefault="00B93069" w:rsidP="00B93069">
            <w:pPr>
              <w:jc w:val="both"/>
              <w:rPr>
                <w:lang w:val="en-US" w:eastAsia="zh-CN"/>
              </w:rPr>
            </w:pPr>
          </w:p>
        </w:tc>
        <w:tc>
          <w:tcPr>
            <w:tcW w:w="1842" w:type="dxa"/>
          </w:tcPr>
          <w:p w14:paraId="316E2D48" w14:textId="6501A053" w:rsidR="00B93069" w:rsidRDefault="00B93069" w:rsidP="00B93069">
            <w:pPr>
              <w:jc w:val="both"/>
              <w:rPr>
                <w:lang w:val="en-US" w:eastAsia="zh-CN"/>
              </w:rPr>
            </w:pPr>
          </w:p>
        </w:tc>
        <w:tc>
          <w:tcPr>
            <w:tcW w:w="5809" w:type="dxa"/>
          </w:tcPr>
          <w:p w14:paraId="6ACBF7D3" w14:textId="2AC86619" w:rsidR="00B93069" w:rsidRDefault="00B93069" w:rsidP="00B93069">
            <w:pPr>
              <w:jc w:val="both"/>
              <w:rPr>
                <w:lang w:val="en-US" w:eastAsia="zh-CN"/>
              </w:rPr>
            </w:pPr>
          </w:p>
        </w:tc>
      </w:tr>
      <w:tr w:rsidR="00B93069" w14:paraId="3E0EB8BD" w14:textId="77777777">
        <w:tc>
          <w:tcPr>
            <w:tcW w:w="1980" w:type="dxa"/>
          </w:tcPr>
          <w:p w14:paraId="4E0CE9B5" w14:textId="6D0C80E5" w:rsidR="00B93069" w:rsidRDefault="00B93069" w:rsidP="00B93069">
            <w:pPr>
              <w:jc w:val="both"/>
              <w:rPr>
                <w:lang w:val="en-US" w:eastAsia="zh-CN"/>
              </w:rPr>
            </w:pPr>
          </w:p>
        </w:tc>
        <w:tc>
          <w:tcPr>
            <w:tcW w:w="1842" w:type="dxa"/>
          </w:tcPr>
          <w:p w14:paraId="606EA675" w14:textId="1BE64C5E" w:rsidR="00B93069" w:rsidRDefault="00B93069" w:rsidP="00B93069">
            <w:pPr>
              <w:jc w:val="both"/>
              <w:rPr>
                <w:lang w:val="en-US" w:eastAsia="zh-CN"/>
              </w:rPr>
            </w:pPr>
          </w:p>
        </w:tc>
        <w:tc>
          <w:tcPr>
            <w:tcW w:w="5809" w:type="dxa"/>
          </w:tcPr>
          <w:p w14:paraId="0FF4D151" w14:textId="1A3C71CC" w:rsidR="00B93069" w:rsidRDefault="00B93069" w:rsidP="00B93069">
            <w:pPr>
              <w:jc w:val="both"/>
              <w:rPr>
                <w:lang w:val="en-US" w:eastAsia="zh-CN"/>
              </w:rPr>
            </w:pPr>
          </w:p>
        </w:tc>
      </w:tr>
      <w:tr w:rsidR="00B93069" w14:paraId="77F6D561" w14:textId="77777777">
        <w:tc>
          <w:tcPr>
            <w:tcW w:w="1980" w:type="dxa"/>
          </w:tcPr>
          <w:p w14:paraId="55D1F9DC" w14:textId="77777777" w:rsidR="00B93069" w:rsidRDefault="00B93069" w:rsidP="00B93069">
            <w:pPr>
              <w:jc w:val="both"/>
              <w:rPr>
                <w:lang w:val="en-US" w:eastAsia="zh-CN"/>
              </w:rPr>
            </w:pPr>
          </w:p>
        </w:tc>
        <w:tc>
          <w:tcPr>
            <w:tcW w:w="1842" w:type="dxa"/>
          </w:tcPr>
          <w:p w14:paraId="736B4689" w14:textId="77777777" w:rsidR="00B93069" w:rsidRDefault="00B93069" w:rsidP="00B93069">
            <w:pPr>
              <w:jc w:val="both"/>
              <w:rPr>
                <w:lang w:val="en-US" w:eastAsia="zh-CN"/>
              </w:rPr>
            </w:pPr>
          </w:p>
        </w:tc>
        <w:tc>
          <w:tcPr>
            <w:tcW w:w="5809" w:type="dxa"/>
          </w:tcPr>
          <w:p w14:paraId="757DD8E6" w14:textId="77777777" w:rsidR="00B93069" w:rsidRDefault="00B93069" w:rsidP="00B93069">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lastRenderedPageBreak/>
        <w:t>References</w:t>
      </w:r>
    </w:p>
    <w:p w14:paraId="7265D04F" w14:textId="011AF49A" w:rsidR="009845E3" w:rsidRDefault="009845E3" w:rsidP="00E132DC">
      <w:pPr>
        <w:pStyle w:val="ListParagraph"/>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ListParagraph"/>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ListParagraph"/>
        <w:numPr>
          <w:ilvl w:val="0"/>
          <w:numId w:val="8"/>
        </w:numPr>
        <w:spacing w:line="259" w:lineRule="auto"/>
        <w:jc w:val="both"/>
      </w:pPr>
      <w:bookmarkStart w:id="2" w:name="_Ref182903685"/>
      <w:r w:rsidRPr="009845E3">
        <w:t xml:space="preserve">R2-2409356 </w:t>
      </w:r>
      <w:r>
        <w:tab/>
      </w:r>
      <w:r w:rsidRPr="00E132DC">
        <w:rPr>
          <w:i/>
          <w:iCs/>
        </w:rPr>
        <w:t>Report from [AT127b][</w:t>
      </w:r>
      <w:proofErr w:type="gramStart"/>
      <w:r w:rsidRPr="00E132DC">
        <w:rPr>
          <w:i/>
          <w:iCs/>
        </w:rPr>
        <w:t>104][</w:t>
      </w:r>
      <w:proofErr w:type="gramEnd"/>
      <w:r w:rsidRPr="00E132DC">
        <w:rPr>
          <w:i/>
          <w:iCs/>
        </w:rPr>
        <w:t>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ListParagraph"/>
        <w:numPr>
          <w:ilvl w:val="0"/>
          <w:numId w:val="8"/>
        </w:numPr>
        <w:spacing w:line="259" w:lineRule="auto"/>
        <w:jc w:val="both"/>
      </w:pPr>
      <w:bookmarkStart w:id="3" w:name="_Ref182925951"/>
      <w:r>
        <w:t>R2-2409936</w:t>
      </w:r>
      <w:r>
        <w:tab/>
      </w:r>
      <w:proofErr w:type="spellStart"/>
      <w:r w:rsidRPr="00E132DC">
        <w:rPr>
          <w:i/>
          <w:iCs/>
        </w:rPr>
        <w:t>Misc</w:t>
      </w:r>
      <w:proofErr w:type="spellEnd"/>
      <w:r w:rsidRPr="00E132DC">
        <w:rPr>
          <w:i/>
          <w:iCs/>
        </w:rPr>
        <w:t xml:space="preserve">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D39D2" w14:textId="77777777" w:rsidR="006B62A4" w:rsidRDefault="006B62A4" w:rsidP="006771B2">
      <w:pPr>
        <w:spacing w:after="0"/>
      </w:pPr>
      <w:r>
        <w:separator/>
      </w:r>
    </w:p>
  </w:endnote>
  <w:endnote w:type="continuationSeparator" w:id="0">
    <w:p w14:paraId="699A6139" w14:textId="77777777" w:rsidR="006B62A4" w:rsidRDefault="006B62A4"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E7A43" w14:textId="77777777" w:rsidR="006B62A4" w:rsidRDefault="006B62A4" w:rsidP="006771B2">
      <w:pPr>
        <w:spacing w:after="0"/>
      </w:pPr>
      <w:r>
        <w:separator/>
      </w:r>
    </w:p>
  </w:footnote>
  <w:footnote w:type="continuationSeparator" w:id="0">
    <w:p w14:paraId="3B366D62" w14:textId="77777777" w:rsidR="006B62A4" w:rsidRDefault="006B62A4"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800395">
    <w:abstractNumId w:val="6"/>
  </w:num>
  <w:num w:numId="2" w16cid:durableId="81993930">
    <w:abstractNumId w:val="4"/>
  </w:num>
  <w:num w:numId="3" w16cid:durableId="1229194260">
    <w:abstractNumId w:val="10"/>
  </w:num>
  <w:num w:numId="4" w16cid:durableId="1008098959">
    <w:abstractNumId w:val="8"/>
  </w:num>
  <w:num w:numId="5" w16cid:durableId="1000961076">
    <w:abstractNumId w:val="0"/>
  </w:num>
  <w:num w:numId="6" w16cid:durableId="1854224753">
    <w:abstractNumId w:val="11"/>
  </w:num>
  <w:num w:numId="7" w16cid:durableId="906112667">
    <w:abstractNumId w:val="1"/>
  </w:num>
  <w:num w:numId="8" w16cid:durableId="275214689">
    <w:abstractNumId w:val="7"/>
  </w:num>
  <w:num w:numId="9" w16cid:durableId="626937867">
    <w:abstractNumId w:val="2"/>
  </w:num>
  <w:num w:numId="10" w16cid:durableId="1260141035">
    <w:abstractNumId w:val="5"/>
  </w:num>
  <w:num w:numId="11" w16cid:durableId="1707372142">
    <w:abstractNumId w:val="9"/>
  </w:num>
  <w:num w:numId="12" w16cid:durableId="767196339">
    <w:abstractNumId w:val="3"/>
  </w:num>
  <w:num w:numId="13" w16cid:durableId="1702976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A06FB"/>
    <w:rsid w:val="004F1D0C"/>
    <w:rsid w:val="006771B2"/>
    <w:rsid w:val="00691B4C"/>
    <w:rsid w:val="006B62A4"/>
    <w:rsid w:val="006C3BF5"/>
    <w:rsid w:val="006D45C4"/>
    <w:rsid w:val="0075045A"/>
    <w:rsid w:val="00767B6F"/>
    <w:rsid w:val="007860E6"/>
    <w:rsid w:val="007F0B9F"/>
    <w:rsid w:val="00802D79"/>
    <w:rsid w:val="00825362"/>
    <w:rsid w:val="008A212F"/>
    <w:rsid w:val="008F491B"/>
    <w:rsid w:val="00925103"/>
    <w:rsid w:val="00926927"/>
    <w:rsid w:val="0096579D"/>
    <w:rsid w:val="00983A9C"/>
    <w:rsid w:val="009845E3"/>
    <w:rsid w:val="009937B9"/>
    <w:rsid w:val="009B1EB1"/>
    <w:rsid w:val="00A37CED"/>
    <w:rsid w:val="00A70B5C"/>
    <w:rsid w:val="00B23833"/>
    <w:rsid w:val="00B6039F"/>
    <w:rsid w:val="00B73A79"/>
    <w:rsid w:val="00B93069"/>
    <w:rsid w:val="00C2584C"/>
    <w:rsid w:val="00C3356D"/>
    <w:rsid w:val="00C52CDC"/>
    <w:rsid w:val="00C82E9C"/>
    <w:rsid w:val="00CC3DF5"/>
    <w:rsid w:val="00CE13DB"/>
    <w:rsid w:val="00DD49C5"/>
    <w:rsid w:val="00DD6C4E"/>
    <w:rsid w:val="00E132DC"/>
    <w:rsid w:val="00E315AE"/>
    <w:rsid w:val="00ED3ADD"/>
    <w:rsid w:val="00F128FB"/>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0E2E168-11B4-4304-AE19-B8FE74AB5D80}">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5147</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Ericsson - Tony</cp:lastModifiedBy>
  <cp:revision>4</cp:revision>
  <dcterms:created xsi:type="dcterms:W3CDTF">2024-11-20T16:40:00Z</dcterms:created>
  <dcterms:modified xsi:type="dcterms:W3CDTF">2024-11-20T17:13:00Z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