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#127bis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240xxxxx</w:t>
      </w:r>
    </w:p>
    <w:p>
      <w:pPr>
        <w:pStyle w:val="24"/>
        <w:tabs>
          <w:tab w:val="right" w:pos="9639"/>
        </w:tabs>
        <w:rPr>
          <w:bCs/>
          <w:sz w:val="24"/>
          <w:szCs w:val="24"/>
          <w:lang w:eastAsia="zh-CN"/>
        </w:rPr>
      </w:pPr>
      <w:r>
        <w:rPr>
          <w:bCs/>
          <w:sz w:val="24"/>
          <w:szCs w:val="24"/>
          <w:lang w:eastAsia="zh-CN"/>
        </w:rPr>
        <w:t>Hefei, China, 14</w:t>
      </w:r>
      <w:r>
        <w:rPr>
          <w:bCs/>
          <w:sz w:val="24"/>
          <w:szCs w:val="24"/>
          <w:vertAlign w:val="superscript"/>
          <w:lang w:eastAsia="zh-CN"/>
        </w:rPr>
        <w:t>th</w:t>
      </w:r>
      <w:r>
        <w:rPr>
          <w:bCs/>
          <w:sz w:val="24"/>
          <w:szCs w:val="24"/>
          <w:lang w:eastAsia="zh-CN"/>
        </w:rPr>
        <w:t xml:space="preserve"> – 18</w:t>
      </w:r>
      <w:r>
        <w:rPr>
          <w:bCs/>
          <w:sz w:val="24"/>
          <w:szCs w:val="24"/>
          <w:vertAlign w:val="superscript"/>
          <w:lang w:eastAsia="zh-CN"/>
        </w:rPr>
        <w:t>th</w:t>
      </w:r>
      <w:r>
        <w:rPr>
          <w:bCs/>
          <w:sz w:val="24"/>
          <w:szCs w:val="24"/>
          <w:lang w:eastAsia="zh-CN"/>
        </w:rPr>
        <w:t xml:space="preserve"> of October 2024</w:t>
      </w:r>
      <w:r>
        <w:rPr>
          <w:sz w:val="24"/>
          <w:szCs w:val="24"/>
          <w:lang w:eastAsia="zh-CN"/>
        </w:rPr>
        <w:tab/>
      </w:r>
    </w:p>
    <w:p>
      <w:pPr>
        <w:pStyle w:val="24"/>
        <w:rPr>
          <w:bCs/>
          <w:sz w:val="24"/>
        </w:rPr>
      </w:pPr>
    </w:p>
    <w:p>
      <w:pPr>
        <w:pStyle w:val="24"/>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[AT127b][104][MOB]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NR_Mob_enh2-Core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is to discuss the following aspects:</w:t>
      </w:r>
    </w:p>
    <w:p>
      <w:pPr>
        <w:pStyle w:val="79"/>
        <w:rPr>
          <w:rFonts w:cs="Arial"/>
        </w:rPr>
      </w:pPr>
      <w:r>
        <w:rPr>
          <w:rFonts w:cs="Arial"/>
        </w:rPr>
        <w:t>[AT127b][104][MOB] (Nokia)</w:t>
      </w:r>
    </w:p>
    <w:p>
      <w:pPr>
        <w:pStyle w:val="80"/>
        <w:rPr>
          <w:rFonts w:cs="Arial"/>
        </w:rPr>
      </w:pPr>
      <w:r>
        <w:rPr>
          <w:rFonts w:cs="Arial"/>
        </w:rPr>
        <w:tab/>
      </w:r>
      <w:r>
        <w:rPr>
          <w:rFonts w:cs="Arial"/>
          <w:b/>
        </w:rPr>
        <w:t>Scope:</w:t>
      </w:r>
      <w:r>
        <w:rPr>
          <w:rFonts w:cs="Arial"/>
        </w:rPr>
        <w:t xml:space="preserve"> To discuss need of corrections on P3 in R2-2408945, R2-2408452, R2-2408632, and capture agreeable corrections in 38.300 miscellaneous CR.</w:t>
      </w:r>
    </w:p>
    <w:p>
      <w:pPr>
        <w:pStyle w:val="80"/>
        <w:rPr>
          <w:rFonts w:cs="Arial"/>
        </w:rPr>
      </w:pPr>
      <w:r>
        <w:rPr>
          <w:rFonts w:cs="Arial"/>
        </w:rPr>
        <w:tab/>
      </w:r>
      <w:r>
        <w:rPr>
          <w:rFonts w:cs="Arial"/>
          <w:b/>
        </w:rPr>
        <w:t>Intended outcome:</w:t>
      </w:r>
      <w:r>
        <w:rPr>
          <w:rFonts w:cs="Arial"/>
        </w:rPr>
        <w:t xml:space="preserve"> 38.300 CR in R2-2409355 to be in principle agreed. Discussion summary in R2-2409356 if needed. Email approval. </w:t>
      </w:r>
    </w:p>
    <w:p>
      <w:pPr>
        <w:ind w:left="1608"/>
        <w:rPr>
          <w:rFonts w:ascii="Arial" w:hAnsi="Arial" w:cs="Arial"/>
        </w:rPr>
      </w:pPr>
      <w:r>
        <w:rPr>
          <w:rFonts w:ascii="Arial" w:hAnsi="Arial" w:cs="Arial"/>
          <w:b/>
        </w:rPr>
        <w:t xml:space="preserve">Deadline: </w:t>
      </w:r>
      <w:r>
        <w:rPr>
          <w:rFonts w:ascii="Arial" w:hAnsi="Arial" w:cs="Arial"/>
        </w:rPr>
        <w:t xml:space="preserve">Thursday 10:00am. </w:t>
      </w:r>
    </w:p>
    <w:p>
      <w:pPr>
        <w:pStyle w:val="26"/>
      </w:pPr>
      <w:r>
        <w:rPr>
          <w:rFonts w:ascii="Times New Roman" w:hAnsi="Times New Roman" w:cs="Times New Roman"/>
          <w:sz w:val="20"/>
          <w:szCs w:val="20"/>
        </w:rPr>
        <w:t xml:space="preserve">The details are given in the following sections. </w:t>
      </w:r>
    </w:p>
    <w:p>
      <w:pPr>
        <w:pStyle w:val="2"/>
      </w:pPr>
      <w:r>
        <w:t>2</w:t>
      </w:r>
      <w:r>
        <w:tab/>
      </w:r>
      <w:r>
        <w:t>Discussion</w:t>
      </w:r>
    </w:p>
    <w:p>
      <w:pPr>
        <w:pStyle w:val="3"/>
      </w:pPr>
      <w:r>
        <w:t>2.1</w:t>
      </w:r>
      <w:r>
        <w:tab/>
      </w:r>
      <w:r>
        <w:t>Stage 2 changes in R2-2408945</w:t>
      </w:r>
    </w:p>
    <w:p>
      <w:pPr>
        <w:jc w:val="both"/>
      </w:pPr>
      <w:r>
        <w:t xml:space="preserve">In section 2.2 of </w:t>
      </w:r>
      <w:r>
        <w:fldChar w:fldCharType="begin"/>
      </w:r>
      <w:r>
        <w:instrText xml:space="preserve"> REF _Ref179818073 \r \h </w:instrText>
      </w:r>
      <w:r>
        <w:fldChar w:fldCharType="separate"/>
      </w:r>
      <w:r>
        <w:t>[1]</w:t>
      </w:r>
      <w:r>
        <w:fldChar w:fldCharType="end"/>
      </w:r>
      <w:r>
        <w:t xml:space="preserve"> it is discussed how TS 38.300 is compliant with the RAN4 requirements when it comes to L1-RSRP reporting to the NW prior to Early TA acquisition or TCI state activation for LTM. As noticed in </w:t>
      </w:r>
      <w:r>
        <w:fldChar w:fldCharType="begin"/>
      </w:r>
      <w:r>
        <w:instrText xml:space="preserve"> REF _Ref179818073 \r \h </w:instrText>
      </w:r>
      <w:r>
        <w:fldChar w:fldCharType="separate"/>
      </w:r>
      <w:r>
        <w:t>[1]</w:t>
      </w:r>
      <w:r>
        <w:fldChar w:fldCharType="end"/>
      </w:r>
      <w:r>
        <w:t>, Figure 9.2.3.5.2-1 and the corresponding description in TS 38.300 are not aligned with RAN4 requirements which state the following:</w:t>
      </w:r>
    </w:p>
    <w:p>
      <w:pPr>
        <w:pStyle w:val="74"/>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pPr>
        <w:pStyle w:val="74"/>
        <w:numPr>
          <w:ilvl w:val="0"/>
          <w:numId w:val="2"/>
        </w:numPr>
        <w:jc w:val="both"/>
      </w:pPr>
      <w:r>
        <w:rPr>
          <w:u w:val="single"/>
        </w:rPr>
        <w:t>PDCCH-ordered RACH</w:t>
      </w:r>
      <w:r>
        <w:t xml:space="preserve"> requirements in TS 38.133 apply only for the UE that has provided L1- or L3-RSRP report (for FR1) or L1-RSRP report (for FR2).</w:t>
      </w:r>
    </w:p>
    <w:p>
      <w:pPr>
        <w:jc w:val="both"/>
      </w:pPr>
      <w:r>
        <w:t xml:space="preserve">These two optional LTM components (i.e. TCI state activation and PDCCH-ordered RACH) are reflected in Figure 9.2.3.5.2-1 of 38.300, steps 4a and 4b, respectively. However, there is no L1 or L3 measurement reporting prior to steps 4a and 4b shown in Figure 9.2.3.5.2-1. Thus, the authors of </w:t>
      </w:r>
      <w:r>
        <w:fldChar w:fldCharType="begin"/>
      </w:r>
      <w:r>
        <w:instrText xml:space="preserve"> REF _Ref179818073 \r \h </w:instrText>
      </w:r>
      <w:r>
        <w:fldChar w:fldCharType="separate"/>
      </w:r>
      <w:r>
        <w:t>[1]</w:t>
      </w:r>
      <w:r>
        <w:fldChar w:fldCharType="end"/>
      </w:r>
      <w:r>
        <w:t xml:space="preserve"> suggest a correction to TS 38.300. The correction can be either a modification to the corresponding procedure or an update to Figure 9.2.3.5.2-1. </w:t>
      </w:r>
    </w:p>
    <w:p>
      <w:pPr>
        <w:jc w:val="both"/>
      </w:pPr>
      <w:r>
        <w:t xml:space="preserve">Companies are invited to share their view and express how the issue described in </w:t>
      </w:r>
      <w:r>
        <w:fldChar w:fldCharType="begin"/>
      </w:r>
      <w:r>
        <w:instrText xml:space="preserve"> REF _Ref179818073 \r \h </w:instrText>
      </w:r>
      <w:r>
        <w:fldChar w:fldCharType="separate"/>
      </w:r>
      <w:r>
        <w:t>[1]</w:t>
      </w:r>
      <w:r>
        <w:fldChar w:fldCharType="end"/>
      </w:r>
      <w:r>
        <w:t xml:space="preserve"> can be resolved.</w:t>
      </w:r>
    </w:p>
    <w:p>
      <w:pPr>
        <w:jc w:val="both"/>
        <w:rPr>
          <w:b/>
          <w:bCs/>
        </w:rPr>
      </w:pPr>
      <w:r>
        <w:rPr>
          <w:b/>
          <w:bCs/>
        </w:rPr>
        <w:t>Question 1: How to resolve the issue described in section 2.2 of R2-2408945 (i.e. the lack of L1 or L3 measurement reporting in Figure 9.2.3.5.2-1 before steps 4a and 4b). Please select one of the options:</w:t>
      </w:r>
    </w:p>
    <w:p>
      <w:pPr>
        <w:pStyle w:val="74"/>
        <w:numPr>
          <w:ilvl w:val="0"/>
          <w:numId w:val="3"/>
        </w:numPr>
        <w:jc w:val="both"/>
        <w:rPr>
          <w:b/>
          <w:bCs/>
        </w:rPr>
      </w:pPr>
      <w:r>
        <w:rPr>
          <w:b/>
          <w:bCs/>
        </w:rPr>
        <w:t>Update the procedure (e.g. as shown in R2-2408945)</w:t>
      </w:r>
    </w:p>
    <w:p>
      <w:pPr>
        <w:pStyle w:val="74"/>
        <w:numPr>
          <w:ilvl w:val="0"/>
          <w:numId w:val="3"/>
        </w:numPr>
        <w:jc w:val="both"/>
        <w:rPr>
          <w:b/>
          <w:bCs/>
        </w:rPr>
      </w:pPr>
      <w:r>
        <w:rPr>
          <w:b/>
          <w:bCs/>
        </w:rPr>
        <w:t>Update the Figure 9.2.3.5.2-1 and insert the optional reporting prior to steps 4a and 4b</w:t>
      </w:r>
    </w:p>
    <w:p>
      <w:pPr>
        <w:pStyle w:val="74"/>
        <w:numPr>
          <w:ilvl w:val="0"/>
          <w:numId w:val="3"/>
        </w:numPr>
        <w:jc w:val="both"/>
        <w:rPr>
          <w:b/>
          <w:bCs/>
        </w:rPr>
      </w:pPr>
      <w:r>
        <w:rPr>
          <w:b/>
          <w:bCs/>
        </w:rPr>
        <w:t>Other update – please describe</w:t>
      </w:r>
    </w:p>
    <w:p>
      <w:pPr>
        <w:pStyle w:val="74"/>
        <w:numPr>
          <w:ilvl w:val="0"/>
          <w:numId w:val="3"/>
        </w:numPr>
        <w:jc w:val="both"/>
        <w:rPr>
          <w:b/>
          <w:bCs/>
        </w:rPr>
      </w:pPr>
      <w:r>
        <w:rPr>
          <w:b/>
          <w:bCs/>
        </w:rPr>
        <w:t>No update is needed</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Option</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Huawei, HiSilicon</w:t>
            </w:r>
          </w:p>
        </w:tc>
        <w:tc>
          <w:tcPr>
            <w:tcW w:w="1843" w:type="dxa"/>
          </w:tcPr>
          <w:p>
            <w:pPr>
              <w:jc w:val="both"/>
              <w:rPr>
                <w:lang w:eastAsia="zh-CN"/>
              </w:rPr>
            </w:pPr>
            <w:r>
              <w:rPr>
                <w:lang w:eastAsia="zh-CN"/>
              </w:rPr>
              <w:t>a)</w:t>
            </w:r>
          </w:p>
        </w:tc>
        <w:tc>
          <w:tcPr>
            <w:tcW w:w="5808" w:type="dxa"/>
          </w:tcPr>
          <w:p>
            <w:pPr>
              <w:rPr>
                <w:lang w:eastAsia="zh-CN"/>
              </w:rPr>
            </w:pPr>
            <w:r>
              <w:rPr>
                <w:lang w:eastAsia="zh-CN"/>
              </w:rPr>
              <w:t>It is ok to refine the text for the reasons mentioned but it is also not mentioned that L1 measurements for LTM are configured in step 2, that they are optional, that they can only be configured for cells for which L3 measurements are also configured, and that the trigger for cell switch could be a L3 report. So we should we add all of that to be consistent?</w:t>
            </w:r>
          </w:p>
          <w:p>
            <w:pPr>
              <w:rPr>
                <w:lang w:eastAsia="zh-CN"/>
              </w:rPr>
            </w:pPr>
            <w:r>
              <w:rPr>
                <w:lang w:eastAsia="zh-CN"/>
              </w:rPr>
              <w:t>Besides, it looks a bit strange to add the two proposed stage 3 references while there is no reference for anything else (except in one place for no clear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M</w:t>
            </w:r>
            <w:r>
              <w:rPr>
                <w:lang w:eastAsia="zh-CN"/>
              </w:rPr>
              <w:t>ediaTek</w:t>
            </w:r>
          </w:p>
        </w:tc>
        <w:tc>
          <w:tcPr>
            <w:tcW w:w="1843" w:type="dxa"/>
          </w:tcPr>
          <w:p>
            <w:pPr>
              <w:jc w:val="both"/>
              <w:rPr>
                <w:lang w:eastAsia="zh-CN"/>
              </w:rPr>
            </w:pPr>
            <w:r>
              <w:rPr>
                <w:rFonts w:hint="eastAsia"/>
                <w:lang w:eastAsia="zh-CN"/>
              </w:rPr>
              <w:t>C</w:t>
            </w:r>
            <w:r>
              <w:rPr>
                <w:lang w:eastAsia="zh-CN"/>
              </w:rPr>
              <w:t xml:space="preserve"> or D</w:t>
            </w:r>
          </w:p>
        </w:tc>
        <w:tc>
          <w:tcPr>
            <w:tcW w:w="5808" w:type="dxa"/>
          </w:tcPr>
          <w:p>
            <w:pPr>
              <w:jc w:val="both"/>
              <w:rPr>
                <w:lang w:eastAsia="zh-CN"/>
              </w:rPr>
            </w:pPr>
            <w:r>
              <w:rPr>
                <w:lang w:eastAsia="zh-CN"/>
              </w:rPr>
              <w:t>D: No update is needed, as the procedure and capability are captured clearly in UE capability specs.</w:t>
            </w:r>
          </w:p>
          <w:p>
            <w:pPr>
              <w:jc w:val="both"/>
              <w:rPr>
                <w:lang w:eastAsia="zh-CN"/>
              </w:rPr>
            </w:pPr>
            <w:r>
              <w:rPr>
                <w:lang w:eastAsia="zh-CN"/>
              </w:rPr>
              <w:t xml:space="preserve">Or </w:t>
            </w:r>
          </w:p>
          <w:p>
            <w:pPr>
              <w:jc w:val="both"/>
            </w:pPr>
            <w:r>
              <w:rPr>
                <w:lang w:eastAsia="zh-CN"/>
              </w:rPr>
              <w:t xml:space="preserve">C: Add a note at the end of section 9.2.3.5.2 to clarify that </w:t>
            </w:r>
            <w:r>
              <w:rPr>
                <w:u w:val="single"/>
                <w:lang w:eastAsia="zh-CN"/>
              </w:rPr>
              <w:t>the UE can rely on L3 measurements for LTM candidate cells instead of L1 measurements and transmit an L3 measurement report to the gNB based on its capability</w:t>
            </w:r>
            <w:r>
              <w:rPr>
                <w:lang w:eastAsia="zh-CN"/>
              </w:rPr>
              <w:t>. No other correction is required in the stage-2 spec.</w:t>
            </w:r>
          </w:p>
          <w:p>
            <w:pPr>
              <w:jc w:val="both"/>
              <w:rPr>
                <w:lang w:eastAsia="zh-CN"/>
              </w:rPr>
            </w:pPr>
            <w:r>
              <w:rPr>
                <w:lang w:eastAsia="zh-CN"/>
              </w:rPr>
              <w:t>Reason: In previous discussion, the decoupling of L1 MR and LTM was based on the UE's capability by the consideration of implementation complexity. This should not be the original design principle of LTM. Since the UE capability specs capture these features clearly, it is unnecessary to emphasize all the details in the stage-2 specifications.</w:t>
            </w:r>
          </w:p>
          <w:p>
            <w:pPr>
              <w:jc w:val="both"/>
              <w:rPr>
                <w:lang w:eastAsia="zh-CN"/>
              </w:rPr>
            </w:pPr>
            <w:r>
              <w:rPr>
                <w:lang w:eastAsia="zh-CN"/>
              </w:rPr>
              <w:t>If companies have concerns, a note can be added at the bottom of the sections. It is unnecessary to change every detail as it would have impacts on other parts of the sections in LTM (not only the parts mentioned in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Ericsson</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a)</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 xml:space="preserve">Clarify is good but maybe we can implement the changes from </w:t>
            </w:r>
            <w:r>
              <w:t>R2-2408452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eastAsia="zh-CN"/>
              </w:rPr>
              <w:t>Lenovo</w:t>
            </w:r>
          </w:p>
        </w:tc>
        <w:tc>
          <w:tcPr>
            <w:tcW w:w="1843" w:type="dxa"/>
          </w:tcPr>
          <w:p>
            <w:pPr>
              <w:jc w:val="both"/>
              <w:rPr>
                <w:lang w:eastAsia="zh-CN"/>
              </w:rPr>
            </w:pPr>
            <w:r>
              <w:rPr>
                <w:rFonts w:hint="eastAsia"/>
                <w:lang w:eastAsia="zh-CN"/>
              </w:rPr>
              <w:t>d</w:t>
            </w:r>
          </w:p>
        </w:tc>
        <w:tc>
          <w:tcPr>
            <w:tcW w:w="5808" w:type="dxa"/>
          </w:tcPr>
          <w:p>
            <w:pPr>
              <w:jc w:val="both"/>
              <w:rPr>
                <w:i/>
                <w:iCs/>
                <w:lang w:eastAsia="zh-CN"/>
              </w:rPr>
            </w:pPr>
            <w:r>
              <w:rPr>
                <w:lang w:eastAsia="zh-CN"/>
              </w:rPr>
              <w:t>A</w:t>
            </w:r>
            <w:r>
              <w:rPr>
                <w:rFonts w:hint="eastAsia"/>
                <w:lang w:eastAsia="zh-CN"/>
              </w:rPr>
              <w:t>ccording to coversheet of [2] (</w:t>
            </w:r>
            <w:r>
              <w:t>R2-2408452</w:t>
            </w:r>
            <w:r>
              <w:rPr>
                <w:rFonts w:hint="eastAsia"/>
                <w:lang w:eastAsia="zh-CN"/>
              </w:rPr>
              <w:t xml:space="preserve">), </w:t>
            </w:r>
            <w:r>
              <w:rPr>
                <w:lang w:eastAsia="zh-CN"/>
              </w:rPr>
              <w:t>‘</w:t>
            </w:r>
            <w:r>
              <w:rPr>
                <w:i/>
                <w:iCs/>
              </w:rPr>
              <w:t>RAN2 has in RAN2#127 meeting agreed that the L1 measurement capability is not a prerequisite to support the LTM feature and thus the LTM cell switch procedure could be possible to be triggered also upon the reception of a L3 measurement report.</w:t>
            </w:r>
            <w:r>
              <w:rPr>
                <w:i/>
                <w:iCs/>
                <w:lang w:eastAsia="zh-CN"/>
              </w:rPr>
              <w:t>’</w:t>
            </w:r>
            <w:r>
              <w:rPr>
                <w:rFonts w:hint="eastAsia"/>
                <w:i/>
                <w:iCs/>
                <w:lang w:eastAsia="zh-CN"/>
              </w:rPr>
              <w:t xml:space="preserve"> </w:t>
            </w:r>
          </w:p>
          <w:p>
            <w:pPr>
              <w:jc w:val="both"/>
              <w:rPr>
                <w:lang w:val="en-US" w:eastAsia="zh-CN"/>
              </w:rPr>
            </w:pPr>
            <w:r>
              <w:rPr>
                <w:lang w:eastAsia="zh-CN"/>
              </w:rPr>
              <w:t>I</w:t>
            </w:r>
            <w:r>
              <w:rPr>
                <w:rFonts w:hint="eastAsia"/>
                <w:lang w:eastAsia="zh-CN"/>
              </w:rPr>
              <w:t xml:space="preserve">f the above is correct, L1 measurement report is optional. </w:t>
            </w:r>
            <w:r>
              <w:rPr>
                <w:lang w:eastAsia="zh-CN"/>
              </w:rPr>
              <w:t>I</w:t>
            </w:r>
            <w:r>
              <w:rPr>
                <w:rFonts w:hint="eastAsia"/>
                <w:lang w:eastAsia="zh-CN"/>
              </w:rPr>
              <w:t>t seems unnecessary to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ZTE</w:t>
            </w:r>
          </w:p>
        </w:tc>
        <w:tc>
          <w:tcPr>
            <w:tcW w:w="1843" w:type="dxa"/>
          </w:tcPr>
          <w:p>
            <w:pPr>
              <w:jc w:val="both"/>
              <w:rPr>
                <w:lang w:eastAsia="zh-CN"/>
              </w:rPr>
            </w:pPr>
            <w:r>
              <w:rPr>
                <w:lang w:eastAsia="zh-CN"/>
              </w:rPr>
              <w:t>c or d</w:t>
            </w:r>
          </w:p>
        </w:tc>
        <w:tc>
          <w:tcPr>
            <w:tcW w:w="5808" w:type="dxa"/>
          </w:tcPr>
          <w:p>
            <w:pPr>
              <w:jc w:val="both"/>
              <w:rPr>
                <w:rFonts w:hint="eastAsia"/>
                <w:lang w:val="en-US" w:eastAsia="zh-CN"/>
              </w:rPr>
            </w:pPr>
            <w:r>
              <w:rPr>
                <w:lang w:eastAsia="zh-CN"/>
              </w:rPr>
              <w:t xml:space="preserve">Tend to agree with MediaTek. It seems no </w:t>
            </w:r>
            <w:r>
              <w:rPr>
                <w:rFonts w:hint="eastAsia"/>
                <w:lang w:val="en-US" w:eastAsia="zh-CN"/>
              </w:rPr>
              <w:t xml:space="preserve">much </w:t>
            </w:r>
            <w:r>
              <w:rPr>
                <w:lang w:eastAsia="zh-CN"/>
              </w:rPr>
              <w:t>need to capture all details in the stage-2 spec considering that such requirements</w:t>
            </w:r>
            <w:r>
              <w:rPr>
                <w:rFonts w:hint="eastAsia"/>
                <w:lang w:val="en-US" w:eastAsia="zh-CN"/>
              </w:rPr>
              <w:t xml:space="preserve"> have been clearly specified in the UE capability spec. </w:t>
            </w:r>
          </w:p>
          <w:p>
            <w:pPr>
              <w:jc w:val="both"/>
              <w:rPr>
                <w:rFonts w:hint="default"/>
                <w:lang w:val="en-US" w:eastAsia="zh-CN"/>
              </w:rPr>
            </w:pPr>
            <w:r>
              <w:rPr>
                <w:rFonts w:hint="eastAsia"/>
                <w:lang w:val="en-US" w:eastAsia="zh-CN"/>
              </w:rPr>
              <w:t>If needed, a note can be added to clarify that TCI state activation and PDCCH-order RACH shall only be triggered for candidate cells for which the UE has reported L1 or L3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bl>
    <w:p>
      <w:pPr>
        <w:jc w:val="both"/>
        <w:rPr>
          <w:b/>
          <w:bCs/>
        </w:rPr>
      </w:pPr>
      <w:r>
        <w:br w:type="textWrapping"/>
      </w:r>
      <w:r>
        <w:rPr>
          <w:b/>
          <w:bCs/>
        </w:rPr>
        <w:t xml:space="preserve">Summary for Q1: </w:t>
      </w:r>
    </w:p>
    <w:p>
      <w:pPr>
        <w:pStyle w:val="3"/>
      </w:pPr>
      <w:r>
        <w:t xml:space="preserve">2.2 Stage 2 changes in R2-2408452 </w:t>
      </w:r>
    </w:p>
    <w:p>
      <w:pPr>
        <w:jc w:val="both"/>
      </w:pPr>
      <w:r>
        <w:t xml:space="preserve">The authors of </w:t>
      </w:r>
      <w:r>
        <w:fldChar w:fldCharType="begin"/>
      </w:r>
      <w:r>
        <w:instrText xml:space="preserve"> REF _Ref179837458 \r \h </w:instrText>
      </w:r>
      <w:r>
        <w:fldChar w:fldCharType="separate"/>
      </w:r>
      <w:r>
        <w:t>[2]</w:t>
      </w:r>
      <w:r>
        <w:fldChar w:fldCharType="end"/>
      </w:r>
      <w:r>
        <w:t xml:space="preserve"> propose modifications to two sections of TS 38.300. First of all it is suggested to modify </w:t>
      </w:r>
      <w:bookmarkStart w:id="0" w:name="_Hlk179837741"/>
      <w:r>
        <w:t>9.2.3.5.1 by introducing a sentence that explains all activated TCI states corresponding to LTM candidate cells are deactivated upon L3 handover execution</w:t>
      </w:r>
      <w:bookmarkEnd w:id="0"/>
      <w:r>
        <w:t>. \</w:t>
      </w:r>
    </w:p>
    <w:p>
      <w:pPr>
        <w:jc w:val="both"/>
      </w:pPr>
      <w:r>
        <w:t>Companies are invited to express their view on whether such change is correct and needed in this section of TS 38.300.</w:t>
      </w:r>
    </w:p>
    <w:p>
      <w:pPr>
        <w:jc w:val="both"/>
        <w:rPr>
          <w:b/>
          <w:bCs/>
        </w:rPr>
      </w:pPr>
      <w:r>
        <w:rPr>
          <w:b/>
          <w:bCs/>
        </w:rPr>
        <w:t>Question 2: Do you support to update 9.2.3.5.1 by introducing a sentence that explains all activated TCI states corresponding to LTM candidate cells are deactivated upon L3 handover execution (as suggested in R2-2408452). Please provide your answer in the table below with potential comments:</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Yes/No</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Huawei, HiSilicon</w:t>
            </w:r>
          </w:p>
        </w:tc>
        <w:tc>
          <w:tcPr>
            <w:tcW w:w="1843" w:type="dxa"/>
          </w:tcPr>
          <w:p>
            <w:pPr>
              <w:jc w:val="both"/>
              <w:rPr>
                <w:lang w:eastAsia="zh-CN"/>
              </w:rPr>
            </w:pPr>
            <w:r>
              <w:rPr>
                <w:lang w:eastAsia="zh-CN"/>
              </w:rPr>
              <w:t>No</w:t>
            </w:r>
          </w:p>
        </w:tc>
        <w:tc>
          <w:tcPr>
            <w:tcW w:w="5808" w:type="dxa"/>
          </w:tcPr>
          <w:p>
            <w:pPr>
              <w:rPr>
                <w:lang w:eastAsia="zh-CN"/>
              </w:rPr>
            </w:pPr>
            <w:r>
              <w:rPr>
                <w:lang w:eastAsia="zh-CN"/>
              </w:rPr>
              <w:t>The deactivation of legacy TCI states upon handover is not captured, so the proposal might create confusion that this is not true for legacy TCI states. In general, this kind of detail is not needed in stage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M</w:t>
            </w:r>
            <w:r>
              <w:rPr>
                <w:lang w:eastAsia="zh-CN"/>
              </w:rPr>
              <w:t>ediaTek</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This is aligned with</w:t>
            </w:r>
            <w:r>
              <w:t xml:space="preserve"> </w:t>
            </w:r>
            <w:r>
              <w:rPr>
                <w:lang w:eastAsia="zh-CN"/>
              </w:rPr>
              <w:t xml:space="preserve">MAC spec 38.321 clause 5.18.36: </w:t>
            </w:r>
            <w:r>
              <w:rPr>
                <w:lang w:eastAsia="zh-CN"/>
              </w:rPr>
              <w:br w:type="textWrapping"/>
            </w:r>
            <w:r>
              <w:rPr>
                <w:b/>
                <w:bCs/>
                <w:lang w:eastAsia="zh-CN"/>
              </w:rPr>
              <w:t>The configured candidate cell TCI states are initially deactivated upon (re-)configuration by upper layer and after reconfiguration with sync that is not triggered by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Ericsson</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Yes</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As MediaTek pointed out, this is the behaviour we already have in MAC and it would be good to align.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eastAsia="zh-CN"/>
              </w:rPr>
              <w:t>Lenovo</w:t>
            </w:r>
          </w:p>
        </w:tc>
        <w:tc>
          <w:tcPr>
            <w:tcW w:w="1843" w:type="dxa"/>
          </w:tcPr>
          <w:p>
            <w:pPr>
              <w:jc w:val="both"/>
              <w:rPr>
                <w:lang w:eastAsia="zh-CN"/>
              </w:rPr>
            </w:pPr>
            <w:r>
              <w:rPr>
                <w:rFonts w:hint="eastAsia"/>
                <w:lang w:eastAsia="zh-CN"/>
              </w:rPr>
              <w:t>Yes, but</w:t>
            </w:r>
          </w:p>
        </w:tc>
        <w:tc>
          <w:tcPr>
            <w:tcW w:w="5808" w:type="dxa"/>
          </w:tcPr>
          <w:p>
            <w:pPr>
              <w:jc w:val="both"/>
              <w:rPr>
                <w:lang w:eastAsia="zh-CN"/>
              </w:rPr>
            </w:pPr>
            <w:r>
              <w:rPr>
                <w:lang w:eastAsia="zh-CN"/>
              </w:rPr>
              <w:t>W</w:t>
            </w:r>
            <w:r>
              <w:rPr>
                <w:rFonts w:hint="eastAsia"/>
                <w:lang w:eastAsia="zh-CN"/>
              </w:rPr>
              <w:t>e need to clarify which case was agreed by RAN1.</w:t>
            </w:r>
          </w:p>
          <w:p>
            <w:pPr>
              <w:pStyle w:val="74"/>
              <w:numPr>
                <w:ilvl w:val="0"/>
                <w:numId w:val="4"/>
              </w:numPr>
              <w:jc w:val="both"/>
              <w:rPr>
                <w:lang w:eastAsia="zh-CN"/>
              </w:rPr>
            </w:pPr>
            <w:r>
              <w:rPr>
                <w:lang w:eastAsia="zh-CN"/>
              </w:rPr>
              <w:t>Ca</w:t>
            </w:r>
            <w:r>
              <w:rPr>
                <w:rFonts w:hint="eastAsia"/>
                <w:lang w:eastAsia="zh-CN"/>
              </w:rPr>
              <w:t>se#1: all activated TCI states for only LTM MCG candidate cell should be deactivated after L3 PCell handover.</w:t>
            </w:r>
          </w:p>
          <w:p>
            <w:pPr>
              <w:pStyle w:val="74"/>
              <w:numPr>
                <w:ilvl w:val="0"/>
                <w:numId w:val="4"/>
              </w:numPr>
              <w:jc w:val="both"/>
              <w:rPr>
                <w:lang w:eastAsia="zh-CN"/>
              </w:rPr>
            </w:pPr>
            <w:r>
              <w:rPr>
                <w:lang w:eastAsia="zh-CN"/>
              </w:rPr>
              <w:t>Ca</w:t>
            </w:r>
            <w:r>
              <w:rPr>
                <w:rFonts w:hint="eastAsia"/>
                <w:lang w:eastAsia="zh-CN"/>
              </w:rPr>
              <w:t>se#2: all activated TCI states for LTM MCG/SCG candidate cell should be deactivated after L3 PCell handover.</w:t>
            </w:r>
          </w:p>
          <w:p>
            <w:pPr>
              <w:pStyle w:val="74"/>
              <w:numPr>
                <w:ilvl w:val="0"/>
                <w:numId w:val="4"/>
              </w:numPr>
              <w:jc w:val="both"/>
              <w:rPr>
                <w:lang w:eastAsia="zh-CN"/>
              </w:rPr>
            </w:pPr>
            <w:r>
              <w:rPr>
                <w:lang w:eastAsia="zh-CN"/>
              </w:rPr>
              <w:t>Ca</w:t>
            </w:r>
            <w:r>
              <w:rPr>
                <w:rFonts w:hint="eastAsia"/>
                <w:lang w:eastAsia="zh-CN"/>
              </w:rPr>
              <w:t>se#3: all activated TCI states for only LTM SCG candidate cell should be deactivated after L3 PSCell handover.</w:t>
            </w:r>
          </w:p>
          <w:p>
            <w:pPr>
              <w:pStyle w:val="74"/>
              <w:numPr>
                <w:ilvl w:val="0"/>
                <w:numId w:val="4"/>
              </w:numPr>
              <w:jc w:val="both"/>
              <w:rPr>
                <w:lang w:eastAsia="zh-CN"/>
              </w:rPr>
            </w:pPr>
            <w:r>
              <w:rPr>
                <w:lang w:eastAsia="zh-CN"/>
              </w:rPr>
              <w:t>Ca</w:t>
            </w:r>
            <w:r>
              <w:rPr>
                <w:rFonts w:hint="eastAsia"/>
                <w:lang w:eastAsia="zh-CN"/>
              </w:rPr>
              <w:t>se#4: all activated TCI states for LTM MCG/SCG candidate cell should be deactivated after L3 PSCell handover.</w:t>
            </w:r>
          </w:p>
          <w:p>
            <w:pPr>
              <w:jc w:val="both"/>
              <w:rPr>
                <w:lang w:eastAsia="zh-CN"/>
              </w:rPr>
            </w:pPr>
          </w:p>
          <w:p>
            <w:pPr>
              <w:jc w:val="both"/>
              <w:rPr>
                <w:lang w:eastAsia="zh-CN"/>
              </w:rPr>
            </w:pPr>
            <w:r>
              <w:rPr>
                <w:lang w:eastAsia="zh-CN"/>
              </w:rPr>
              <w:t>T</w:t>
            </w:r>
            <w:r>
              <w:rPr>
                <w:rFonts w:hint="eastAsia"/>
                <w:lang w:eastAsia="zh-CN"/>
              </w:rPr>
              <w:t xml:space="preserve">here is a </w:t>
            </w:r>
            <w:r>
              <w:rPr>
                <w:lang w:eastAsia="zh-CN"/>
              </w:rPr>
              <w:t>following</w:t>
            </w:r>
            <w:r>
              <w:rPr>
                <w:rFonts w:hint="eastAsia"/>
                <w:lang w:eastAsia="zh-CN"/>
              </w:rPr>
              <w:t xml:space="preserve"> sentence in TS38.300. we can update the </w:t>
            </w:r>
            <w:r>
              <w:rPr>
                <w:lang w:eastAsia="zh-CN"/>
              </w:rPr>
              <w:t>following</w:t>
            </w:r>
            <w:r>
              <w:rPr>
                <w:rFonts w:hint="eastAsia"/>
                <w:lang w:eastAsia="zh-CN"/>
              </w:rPr>
              <w:t xml:space="preserve"> sentence to capture the L3 handover case.</w:t>
            </w:r>
          </w:p>
          <w:p>
            <w:pPr>
              <w:jc w:val="both"/>
              <w:rPr>
                <w:i/>
                <w:iCs/>
              </w:rPr>
            </w:pPr>
            <w:bookmarkStart w:id="1" w:name="_Toc178255905"/>
            <w:r>
              <w:rPr>
                <w:i/>
                <w:iCs/>
              </w:rPr>
              <w:t>9.2.3.5.1</w:t>
            </w:r>
            <w:r>
              <w:rPr>
                <w:i/>
                <w:iCs/>
              </w:rPr>
              <w:tab/>
            </w:r>
            <w:r>
              <w:rPr>
                <w:i/>
                <w:iCs/>
              </w:rPr>
              <w:t>General</w:t>
            </w:r>
            <w:bookmarkEnd w:id="1"/>
          </w:p>
          <w:p>
            <w:pPr>
              <w:jc w:val="both"/>
              <w:rPr>
                <w:lang w:val="en-US" w:eastAsia="zh-CN"/>
              </w:rPr>
            </w:pPr>
            <w:r>
              <w:rPr>
                <w:i/>
                <w:iCs/>
              </w:rPr>
              <w:t>All the activated TCI states except those received in the cell switch command are deactivated upon LTM cell switch execution</w:t>
            </w:r>
            <w:r>
              <w:rPr>
                <w:rFonts w:hint="eastAsia"/>
                <w:i/>
                <w:iCs/>
                <w:lang w:eastAsia="zh-CN"/>
              </w:rPr>
              <w:t xml:space="preserve"> </w:t>
            </w:r>
            <w:r>
              <w:rPr>
                <w:rFonts w:hint="eastAsia"/>
                <w:i/>
                <w:iCs/>
                <w:highlight w:val="yellow"/>
                <w:lang w:eastAsia="zh-CN"/>
              </w:rPr>
              <w:t>or L3 handover</w:t>
            </w:r>
            <w:r>
              <w:rPr>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rFonts w:hint="default"/>
                <w:lang w:val="en-US" w:eastAsia="zh-CN"/>
              </w:rPr>
            </w:pPr>
            <w:r>
              <w:rPr>
                <w:rFonts w:hint="eastAsia"/>
                <w:lang w:val="en-US" w:eastAsia="zh-CN"/>
              </w:rPr>
              <w:t>Yes</w:t>
            </w:r>
          </w:p>
        </w:tc>
        <w:tc>
          <w:tcPr>
            <w:tcW w:w="5808" w:type="dxa"/>
          </w:tcPr>
          <w:p>
            <w:pPr>
              <w:jc w:val="both"/>
              <w:rPr>
                <w:rFonts w:hint="default"/>
                <w:lang w:val="en-US" w:eastAsia="zh-CN"/>
              </w:rPr>
            </w:pPr>
            <w:r>
              <w:rPr>
                <w:rFonts w:hint="eastAsia"/>
                <w:lang w:val="en-US" w:eastAsia="zh-CN"/>
              </w:rPr>
              <w:t>It</w:t>
            </w:r>
            <w:r>
              <w:rPr>
                <w:rFonts w:hint="default"/>
                <w:lang w:val="en-US" w:eastAsia="zh-CN"/>
              </w:rPr>
              <w:t>’</w:t>
            </w:r>
            <w:r>
              <w:rPr>
                <w:rFonts w:hint="eastAsia"/>
                <w:lang w:val="en-US" w:eastAsia="zh-CN"/>
              </w:rPr>
              <w:t>s fine to align with the MAC spec. And it seems more suitable to capture this in the place suggested by Lenovo.</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bl>
    <w:p>
      <w:pPr>
        <w:jc w:val="both"/>
      </w:pPr>
    </w:p>
    <w:p>
      <w:pPr>
        <w:jc w:val="both"/>
        <w:rPr>
          <w:b/>
          <w:bCs/>
        </w:rPr>
      </w:pPr>
      <w:r>
        <w:rPr>
          <w:b/>
          <w:bCs/>
        </w:rPr>
        <w:t>Summary for Q2:</w:t>
      </w:r>
    </w:p>
    <w:p>
      <w:pPr>
        <w:jc w:val="both"/>
      </w:pPr>
      <w:r>
        <w:t xml:space="preserve">Also in </w:t>
      </w:r>
      <w:r>
        <w:fldChar w:fldCharType="begin"/>
      </w:r>
      <w:r>
        <w:instrText xml:space="preserve"> REF _Ref179837458 \r \h </w:instrText>
      </w:r>
      <w:r>
        <w:fldChar w:fldCharType="separate"/>
      </w:r>
      <w:r>
        <w:t>[2]</w:t>
      </w:r>
      <w:r>
        <w:fldChar w:fldCharType="end"/>
      </w:r>
      <w:r>
        <w:t xml:space="preserve"> it is suggested to update section 9.2.3.5.2 of TS 38.300 by introducing changes to Figure 9.2.3.5.2-1 and state the UE can report either L1 or L3 measurement report (step 5 in Figure </w:t>
      </w:r>
      <w:bookmarkStart w:id="2" w:name="_Hlk179838603"/>
      <w:r>
        <w:t>9.2.3.5.2-1</w:t>
      </w:r>
      <w:bookmarkEnd w:id="2"/>
      <w:r>
        <w:t xml:space="preserve">) Step 5 is also updated in the procedural text below the figure. In addition </w:t>
      </w:r>
      <w:r>
        <w:fldChar w:fldCharType="begin"/>
      </w:r>
      <w:r>
        <w:instrText xml:space="preserve"> REF _Ref179837458 \r \h </w:instrText>
      </w:r>
      <w:r>
        <w:fldChar w:fldCharType="separate"/>
      </w:r>
      <w:r>
        <w:t>[2]</w:t>
      </w:r>
      <w:r>
        <w:fldChar w:fldCharType="end"/>
      </w:r>
      <w:r>
        <w:t xml:space="preserve"> suggests to extend the sentence explaining that for subsequent LTM there is no need to reconfigure or add other LTM candidate configurations. </w:t>
      </w:r>
    </w:p>
    <w:p>
      <w:pPr>
        <w:jc w:val="both"/>
      </w:pPr>
      <w:r>
        <w:t xml:space="preserve">Please kindly comment which </w:t>
      </w:r>
      <w:bookmarkStart w:id="3" w:name="_Hlk179838558"/>
      <w:r>
        <w:t>of the changes suggested in R2-2408452 for section 9.2.3.5.2 are acceptable</w:t>
      </w:r>
      <w:bookmarkEnd w:id="3"/>
      <w:r>
        <w:t>:</w:t>
      </w:r>
    </w:p>
    <w:p>
      <w:pPr>
        <w:jc w:val="both"/>
        <w:rPr>
          <w:b/>
          <w:bCs/>
        </w:rPr>
      </w:pPr>
      <w:r>
        <w:rPr>
          <w:b/>
          <w:bCs/>
        </w:rPr>
        <w:t>Question 3: Which of the changes suggested in R2-2408452 for section 9.2.3.5.2 are acceptable:</w:t>
      </w:r>
    </w:p>
    <w:p>
      <w:pPr>
        <w:pStyle w:val="74"/>
        <w:numPr>
          <w:ilvl w:val="0"/>
          <w:numId w:val="5"/>
        </w:numPr>
        <w:jc w:val="both"/>
        <w:rPr>
          <w:b/>
          <w:bCs/>
        </w:rPr>
      </w:pPr>
      <w:r>
        <w:rPr>
          <w:b/>
          <w:bCs/>
        </w:rPr>
        <w:t>Update to Figure 9.2.3.5.2-1</w:t>
      </w:r>
    </w:p>
    <w:p>
      <w:pPr>
        <w:pStyle w:val="74"/>
        <w:numPr>
          <w:ilvl w:val="0"/>
          <w:numId w:val="5"/>
        </w:numPr>
        <w:jc w:val="both"/>
        <w:rPr>
          <w:b/>
          <w:bCs/>
        </w:rPr>
      </w:pPr>
      <w:r>
        <w:rPr>
          <w:b/>
          <w:bCs/>
        </w:rPr>
        <w:t>Update to the procedural text for step 5 under Figure 9.2.3.5.2-1</w:t>
      </w:r>
    </w:p>
    <w:p>
      <w:pPr>
        <w:pStyle w:val="74"/>
        <w:numPr>
          <w:ilvl w:val="0"/>
          <w:numId w:val="5"/>
        </w:numPr>
        <w:jc w:val="both"/>
        <w:rPr>
          <w:b/>
          <w:bCs/>
        </w:rPr>
      </w:pPr>
      <w:r>
        <w:rPr>
          <w:b/>
          <w:bCs/>
        </w:rPr>
        <w:t>Modification to the sentence on subsequent LTM</w:t>
      </w:r>
    </w:p>
    <w:p>
      <w:pPr>
        <w:pStyle w:val="74"/>
        <w:numPr>
          <w:ilvl w:val="0"/>
          <w:numId w:val="5"/>
        </w:numPr>
        <w:jc w:val="both"/>
        <w:rPr>
          <w:b/>
          <w:bCs/>
        </w:rPr>
      </w:pPr>
      <w:r>
        <w:rPr>
          <w:b/>
          <w:bCs/>
        </w:rPr>
        <w:t>None of the above</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Option(s)</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Huawei, HiSilicon</w:t>
            </w:r>
          </w:p>
        </w:tc>
        <w:tc>
          <w:tcPr>
            <w:tcW w:w="1843" w:type="dxa"/>
          </w:tcPr>
          <w:p>
            <w:pPr>
              <w:jc w:val="both"/>
              <w:rPr>
                <w:lang w:eastAsia="zh-CN"/>
              </w:rPr>
            </w:pPr>
          </w:p>
        </w:tc>
        <w:tc>
          <w:tcPr>
            <w:tcW w:w="5808" w:type="dxa"/>
          </w:tcPr>
          <w:p>
            <w:pPr>
              <w:jc w:val="both"/>
              <w:rPr>
                <w:lang w:eastAsia="zh-CN"/>
              </w:rPr>
            </w:pPr>
            <w:r>
              <w:rPr>
                <w:lang w:eastAsia="zh-CN"/>
              </w:rPr>
              <w:t>All the changes proposed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M</w:t>
            </w:r>
            <w:r>
              <w:rPr>
                <w:lang w:eastAsia="zh-CN"/>
              </w:rPr>
              <w:t>ediaTek</w:t>
            </w:r>
          </w:p>
        </w:tc>
        <w:tc>
          <w:tcPr>
            <w:tcW w:w="1843" w:type="dxa"/>
          </w:tcPr>
          <w:p>
            <w:pPr>
              <w:jc w:val="both"/>
              <w:rPr>
                <w:lang w:eastAsia="zh-CN"/>
              </w:rPr>
            </w:pPr>
            <w:r>
              <w:rPr>
                <w:lang w:eastAsia="zh-CN"/>
              </w:rPr>
              <w:t>See comment in Q1</w:t>
            </w:r>
          </w:p>
        </w:tc>
        <w:tc>
          <w:tcPr>
            <w:tcW w:w="5808" w:type="dxa"/>
          </w:tcPr>
          <w:p>
            <w:pPr>
              <w:jc w:val="both"/>
              <w:rPr>
                <w:lang w:eastAsia="zh-CN"/>
              </w:rPr>
            </w:pPr>
            <w:r>
              <w:rPr>
                <w:lang w:eastAsia="zh-CN"/>
              </w:rPr>
              <w:t>We can either simply add a note to clarify this at the end or leave the stage-2 specification unchanged. Merely changing the part mentioned in this CR is insufficient. (It requires a lot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Ericsson (Proponent)</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Yes</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For us it would be good to clarify such aspects in stage2. Probably a further clarification that maybe needs to be done is that the configuration of L1 or L3 measurements is not either/or but network should have the possibility to configure both L1 and L3 measurements, also because this is according to the RAN4 requirements in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eastAsia="zh-CN"/>
              </w:rPr>
              <w:t>Lenovo</w:t>
            </w:r>
          </w:p>
        </w:tc>
        <w:tc>
          <w:tcPr>
            <w:tcW w:w="1843" w:type="dxa"/>
          </w:tcPr>
          <w:p>
            <w:pPr>
              <w:jc w:val="both"/>
              <w:rPr>
                <w:lang w:eastAsia="zh-CN"/>
              </w:rPr>
            </w:pPr>
            <w:r>
              <w:rPr>
                <w:lang w:eastAsia="zh-CN"/>
              </w:rPr>
              <w:t>S</w:t>
            </w:r>
            <w:r>
              <w:rPr>
                <w:rFonts w:hint="eastAsia"/>
                <w:lang w:eastAsia="zh-CN"/>
              </w:rPr>
              <w:t>ee comments.</w:t>
            </w:r>
          </w:p>
        </w:tc>
        <w:tc>
          <w:tcPr>
            <w:tcW w:w="5808" w:type="dxa"/>
          </w:tcPr>
          <w:p>
            <w:pPr>
              <w:pStyle w:val="74"/>
              <w:numPr>
                <w:ilvl w:val="0"/>
                <w:numId w:val="6"/>
              </w:numPr>
              <w:jc w:val="both"/>
              <w:rPr>
                <w:lang w:eastAsia="zh-CN"/>
              </w:rPr>
            </w:pPr>
            <w:r>
              <w:rPr>
                <w:lang w:eastAsia="zh-CN"/>
              </w:rPr>
              <w:t>I</w:t>
            </w:r>
            <w:r>
              <w:rPr>
                <w:rFonts w:hint="eastAsia"/>
                <w:lang w:eastAsia="zh-CN"/>
              </w:rPr>
              <w:t xml:space="preserve">t seems unnecessary to update the measurement in figure since </w:t>
            </w:r>
            <w:r>
              <w:rPr>
                <w:lang w:eastAsia="zh-CN"/>
              </w:rPr>
              <w:t>measurement</w:t>
            </w:r>
            <w:r>
              <w:rPr>
                <w:rFonts w:hint="eastAsia"/>
                <w:lang w:eastAsia="zh-CN"/>
              </w:rPr>
              <w:t xml:space="preserve"> </w:t>
            </w:r>
            <w:r>
              <w:rPr>
                <w:lang w:eastAsia="zh-CN"/>
              </w:rPr>
              <w:t>report</w:t>
            </w:r>
            <w:r>
              <w:rPr>
                <w:rFonts w:hint="eastAsia"/>
                <w:lang w:eastAsia="zh-CN"/>
              </w:rPr>
              <w:t xml:space="preserve"> is included in step 1.</w:t>
            </w:r>
          </w:p>
          <w:p>
            <w:pPr>
              <w:pStyle w:val="74"/>
              <w:numPr>
                <w:ilvl w:val="0"/>
                <w:numId w:val="6"/>
              </w:numPr>
              <w:jc w:val="both"/>
              <w:rPr>
                <w:lang w:val="en-US" w:eastAsia="zh-CN"/>
              </w:rPr>
            </w:pPr>
            <w:r>
              <w:rPr>
                <w:lang w:eastAsia="zh-CN"/>
              </w:rPr>
              <w:t>F</w:t>
            </w:r>
            <w:r>
              <w:rPr>
                <w:rFonts w:hint="eastAsia"/>
                <w:lang w:eastAsia="zh-CN"/>
              </w:rPr>
              <w:t>ine with the change for subsequent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rFonts w:hint="default"/>
                <w:lang w:val="en-US" w:eastAsia="zh-CN"/>
              </w:rPr>
            </w:pPr>
            <w:r>
              <w:rPr>
                <w:rFonts w:hint="eastAsia"/>
                <w:lang w:val="en-US" w:eastAsia="zh-CN"/>
              </w:rPr>
              <w:t>Yes, but</w:t>
            </w:r>
          </w:p>
        </w:tc>
        <w:tc>
          <w:tcPr>
            <w:tcW w:w="5808" w:type="dxa"/>
          </w:tcPr>
          <w:p>
            <w:pPr>
              <w:jc w:val="both"/>
              <w:rPr>
                <w:rFonts w:hint="eastAsia"/>
                <w:lang w:val="en-US" w:eastAsia="zh-CN"/>
              </w:rPr>
            </w:pPr>
            <w:r>
              <w:rPr>
                <w:rFonts w:hint="eastAsia"/>
                <w:lang w:val="en-US" w:eastAsia="zh-CN"/>
              </w:rPr>
              <w:t>The proposed changes are fine to us.</w:t>
            </w:r>
          </w:p>
          <w:p>
            <w:pPr>
              <w:jc w:val="both"/>
              <w:rPr>
                <w:rFonts w:hint="eastAsia"/>
                <w:lang w:val="en-US" w:eastAsia="zh-CN"/>
              </w:rPr>
            </w:pPr>
            <w:r>
              <w:rPr>
                <w:rFonts w:hint="eastAsia"/>
                <w:lang w:val="en-US" w:eastAsia="zh-CN"/>
              </w:rPr>
              <w:t>Besides, some changes in other places may also be required to clarify that LTM can be triggered based on L1 or L3 measurements. For example, the following sentence:</w:t>
            </w:r>
          </w:p>
          <w:p>
            <w:pPr>
              <w:jc w:val="both"/>
              <w:rPr>
                <w:rFonts w:hint="default"/>
                <w:lang w:val="en-US" w:eastAsia="zh-CN"/>
              </w:rPr>
            </w:pPr>
            <w:r>
              <w:rPr>
                <w:rFonts w:hint="default" w:ascii="Times New Roman" w:hAnsi="Times New Roman" w:eastAsia="Times New Roman" w:cs="Times New Roman"/>
                <w:sz w:val="20"/>
                <w:szCs w:val="20"/>
                <w:lang w:val="en-US" w:eastAsia="zh-CN" w:bidi="ar"/>
              </w:rPr>
              <w:t xml:space="preserve">LTM is a procedure in which a gNB receives </w:t>
            </w:r>
            <w:r>
              <w:rPr>
                <w:rFonts w:hint="default" w:ascii="Times New Roman" w:hAnsi="Times New Roman" w:eastAsia="Times New Roman" w:cs="Times New Roman"/>
                <w:sz w:val="20"/>
                <w:szCs w:val="20"/>
                <w:highlight w:val="yellow"/>
                <w:lang w:val="en-US" w:eastAsia="zh-CN" w:bidi="ar"/>
              </w:rPr>
              <w:t>L1 measurement report(s) from a UE</w:t>
            </w:r>
            <w:r>
              <w:rPr>
                <w:rFonts w:hint="default" w:ascii="Times New Roman" w:hAnsi="Times New Roman" w:eastAsia="Times New Roman" w:cs="Times New Roman"/>
                <w:sz w:val="20"/>
                <w:szCs w:val="20"/>
                <w:lang w:val="en-US" w:eastAsia="zh-CN" w:bidi="ar"/>
              </w:rPr>
              <w:t>, and on their basis the gNB may change UE serving cell by a cell switch command signalled via 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bl>
    <w:p>
      <w:pPr>
        <w:jc w:val="both"/>
      </w:pPr>
    </w:p>
    <w:p>
      <w:pPr>
        <w:jc w:val="both"/>
        <w:rPr>
          <w:b/>
          <w:bCs/>
        </w:rPr>
      </w:pPr>
      <w:r>
        <w:rPr>
          <w:b/>
          <w:bCs/>
        </w:rPr>
        <w:t>Summary for Q3:</w:t>
      </w:r>
    </w:p>
    <w:p>
      <w:pPr>
        <w:jc w:val="both"/>
        <w:rPr>
          <w:b/>
          <w:bCs/>
        </w:rPr>
      </w:pPr>
    </w:p>
    <w:p>
      <w:pPr>
        <w:pStyle w:val="3"/>
      </w:pPr>
      <w:r>
        <w:t>2.3</w:t>
      </w:r>
      <w:r>
        <w:tab/>
      </w:r>
      <w:r>
        <w:t>Stage 2 changes in R2-2408632</w:t>
      </w:r>
    </w:p>
    <w:p>
      <w:pPr>
        <w:jc w:val="both"/>
      </w:pPr>
      <w:r>
        <w:t xml:space="preserve">The authors of </w:t>
      </w:r>
      <w:r>
        <w:fldChar w:fldCharType="begin"/>
      </w:r>
      <w:r>
        <w:instrText xml:space="preserve"> REF _Ref179838829 \r \h </w:instrText>
      </w:r>
      <w:r>
        <w:fldChar w:fldCharType="separate"/>
      </w:r>
      <w:r>
        <w:t>[3]</w:t>
      </w:r>
      <w:r>
        <w:fldChar w:fldCharType="end"/>
      </w:r>
      <w:r>
        <w:t xml:space="preserve"> discuss the coexistence of Conditional Handover (CHO) and LTM for SCG. It is claimed in </w:t>
      </w:r>
      <w:r>
        <w:fldChar w:fldCharType="begin"/>
      </w:r>
      <w:r>
        <w:instrText xml:space="preserve"> REF _Ref179838829 \r \h </w:instrText>
      </w:r>
      <w:r>
        <w:fldChar w:fldCharType="separate"/>
      </w:r>
      <w:r>
        <w:t>[3]</w:t>
      </w:r>
      <w:r>
        <w:fldChar w:fldCharType="end"/>
      </w:r>
      <w:r>
        <w:t xml:space="preserve"> that the evaluation of execution conditions for CHO should be suspended when LTM for SCG is triggered. </w:t>
      </w:r>
    </w:p>
    <w:p>
      <w:pPr>
        <w:jc w:val="both"/>
      </w:pPr>
      <w:r>
        <w:t>Companies are asked to clarify if that is the expected UE behaviour when both CHO and SCG LTM are configured.</w:t>
      </w:r>
    </w:p>
    <w:p>
      <w:pPr>
        <w:jc w:val="both"/>
        <w:rPr>
          <w:b/>
          <w:bCs/>
        </w:rPr>
      </w:pPr>
      <w:r>
        <w:rPr>
          <w:b/>
          <w:bCs/>
        </w:rPr>
        <w:t>Question 4: Do you agree with the change suggested in R2-2408632 that the UE is not required to evaluate the execution conditions of CHO when SCG LTM cell switch is triggered? Please provide the answer below with a potential explanation:</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Yes/No</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Huawei, HiSilicon</w:t>
            </w:r>
          </w:p>
        </w:tc>
        <w:tc>
          <w:tcPr>
            <w:tcW w:w="1843" w:type="dxa"/>
          </w:tcPr>
          <w:p>
            <w:pPr>
              <w:jc w:val="both"/>
              <w:rPr>
                <w:lang w:eastAsia="zh-CN"/>
              </w:rPr>
            </w:pPr>
            <w:r>
              <w:rPr>
                <w:lang w:eastAsia="zh-CN"/>
              </w:rPr>
              <w:t>No</w:t>
            </w:r>
          </w:p>
        </w:tc>
        <w:tc>
          <w:tcPr>
            <w:tcW w:w="5808" w:type="dxa"/>
          </w:tcPr>
          <w:p>
            <w:pPr>
              <w:rPr>
                <w:lang w:eastAsia="zh-CN"/>
              </w:rPr>
            </w:pPr>
            <w:r>
              <w:rPr>
                <w:lang w:eastAsia="zh-CN"/>
              </w:rPr>
              <w:t>We tend to disagree with the behaviour. In any case, this is something not testable, so there is no use to specify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M</w:t>
            </w:r>
            <w:r>
              <w:rPr>
                <w:lang w:eastAsia="zh-CN"/>
              </w:rPr>
              <w:t>ediaTek</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lang w:eastAsia="zh-CN"/>
              </w:rPr>
              <w:t>This seems a valid guidance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Ericsson</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No</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We prefer to not specify anything and leave this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eastAsia="zh-CN"/>
              </w:rPr>
              <w:t>Lenovo</w:t>
            </w:r>
          </w:p>
        </w:tc>
        <w:tc>
          <w:tcPr>
            <w:tcW w:w="1843" w:type="dxa"/>
          </w:tcPr>
          <w:p>
            <w:pPr>
              <w:jc w:val="both"/>
              <w:rPr>
                <w:lang w:eastAsia="zh-CN"/>
              </w:rPr>
            </w:pPr>
            <w:r>
              <w:rPr>
                <w:rFonts w:hint="eastAsia"/>
                <w:lang w:eastAsia="zh-CN"/>
              </w:rPr>
              <w:t>Yes</w:t>
            </w:r>
          </w:p>
        </w:tc>
        <w:tc>
          <w:tcPr>
            <w:tcW w:w="5808" w:type="dxa"/>
          </w:tcPr>
          <w:p>
            <w:pPr>
              <w:spacing w:after="120" w:afterLines="50"/>
              <w:rPr>
                <w:bCs/>
                <w:szCs w:val="21"/>
              </w:rPr>
            </w:pPr>
            <w:r>
              <w:rPr>
                <w:rFonts w:hint="eastAsia"/>
                <w:bCs/>
                <w:szCs w:val="21"/>
              </w:rPr>
              <w:t>There are two coexistence cases between SCG LTM and conditional configuration as follows. RAN2 only address the coexistence case#1.</w:t>
            </w:r>
          </w:p>
          <w:p>
            <w:pPr>
              <w:widowControl w:val="0"/>
              <w:numPr>
                <w:ilvl w:val="0"/>
                <w:numId w:val="7"/>
              </w:numPr>
              <w:spacing w:after="120" w:afterLines="50"/>
              <w:jc w:val="both"/>
              <w:rPr>
                <w:bCs/>
                <w:szCs w:val="21"/>
              </w:rPr>
            </w:pPr>
            <w:r>
              <w:rPr>
                <w:bCs/>
                <w:szCs w:val="21"/>
              </w:rPr>
              <w:t>C</w:t>
            </w:r>
            <w:r>
              <w:rPr>
                <w:rFonts w:hint="eastAsia"/>
                <w:bCs/>
                <w:szCs w:val="21"/>
              </w:rPr>
              <w:t>oexistence case#1 between SCG LTM and subsequent CPAC;</w:t>
            </w:r>
          </w:p>
          <w:p>
            <w:pPr>
              <w:widowControl w:val="0"/>
              <w:numPr>
                <w:ilvl w:val="0"/>
                <w:numId w:val="7"/>
              </w:numPr>
              <w:spacing w:after="120" w:afterLines="50"/>
              <w:jc w:val="both"/>
              <w:rPr>
                <w:bCs/>
                <w:szCs w:val="21"/>
              </w:rPr>
            </w:pPr>
            <w:r>
              <w:rPr>
                <w:bCs/>
                <w:szCs w:val="21"/>
              </w:rPr>
              <w:t>C</w:t>
            </w:r>
            <w:r>
              <w:rPr>
                <w:rFonts w:hint="eastAsia"/>
                <w:bCs/>
                <w:szCs w:val="21"/>
              </w:rPr>
              <w:t>oexistence case#2 between SCG LTM and CHO.</w:t>
            </w:r>
          </w:p>
          <w:p>
            <w:pPr>
              <w:jc w:val="both"/>
              <w:rPr>
                <w:lang w:val="en-US" w:eastAsia="zh-CN"/>
              </w:rPr>
            </w:pPr>
            <w:r>
              <w:rPr>
                <w:rFonts w:hint="eastAsia"/>
                <w:lang w:eastAsia="zh-CN"/>
              </w:rPr>
              <w:t xml:space="preserve">According to the current </w:t>
            </w:r>
            <w:r>
              <w:rPr>
                <w:lang w:eastAsia="zh-CN"/>
              </w:rPr>
              <w:t>specification</w:t>
            </w:r>
            <w:r>
              <w:rPr>
                <w:rFonts w:hint="eastAsia"/>
                <w:lang w:eastAsia="zh-CN"/>
              </w:rPr>
              <w:t xml:space="preserve"> for case#1, a</w:t>
            </w:r>
            <w:r>
              <w:rPr>
                <w:lang w:eastAsia="zh-CN"/>
              </w:rPr>
              <w:t xml:space="preserve">fter </w:t>
            </w:r>
            <w:r>
              <w:rPr>
                <w:rFonts w:hint="eastAsia"/>
                <w:lang w:eastAsia="zh-CN"/>
              </w:rPr>
              <w:t>SCG LTM</w:t>
            </w:r>
            <w:r>
              <w:rPr>
                <w:lang w:eastAsia="zh-CN"/>
              </w:rPr>
              <w:t xml:space="preserve"> </w:t>
            </w:r>
            <w:r>
              <w:rPr>
                <w:rFonts w:hint="eastAsia"/>
                <w:lang w:eastAsia="zh-CN"/>
              </w:rPr>
              <w:t>is triggered</w:t>
            </w:r>
            <w:r>
              <w:rPr>
                <w:lang w:eastAsia="zh-CN"/>
              </w:rPr>
              <w:t>, the UE</w:t>
            </w:r>
            <w:r>
              <w:rPr>
                <w:rFonts w:hint="eastAsia"/>
                <w:lang w:eastAsia="zh-CN"/>
              </w:rPr>
              <w:t xml:space="preserve"> will keep </w:t>
            </w:r>
            <w:r>
              <w:rPr>
                <w:lang w:eastAsia="zh-CN"/>
              </w:rPr>
              <w:t>subsequent CPAC</w:t>
            </w:r>
            <w:r>
              <w:rPr>
                <w:rFonts w:hint="eastAsia"/>
                <w:lang w:eastAsia="zh-CN"/>
              </w:rPr>
              <w:t xml:space="preserve"> and stop </w:t>
            </w:r>
            <w:r>
              <w:rPr>
                <w:lang w:eastAsia="zh-CN"/>
              </w:rPr>
              <w:t>evaluating</w:t>
            </w:r>
            <w:r>
              <w:rPr>
                <w:rFonts w:hint="eastAsia"/>
                <w:lang w:eastAsia="zh-CN"/>
              </w:rPr>
              <w:t xml:space="preserve"> the </w:t>
            </w:r>
            <w:r>
              <w:rPr>
                <w:lang w:eastAsia="zh-CN"/>
              </w:rPr>
              <w:t>execution conditions of subsequent CPAC</w:t>
            </w:r>
            <w:r>
              <w:rPr>
                <w:rFonts w:hint="eastAsia"/>
                <w:lang w:eastAsia="zh-CN"/>
              </w:rPr>
              <w:t xml:space="preserve">. UE restarts evaluating the </w:t>
            </w:r>
            <w:r>
              <w:rPr>
                <w:lang w:eastAsia="zh-CN"/>
              </w:rPr>
              <w:t>execution conditions of subsequent CPAC</w:t>
            </w:r>
            <w:r>
              <w:rPr>
                <w:rFonts w:hint="eastAsia"/>
                <w:lang w:eastAsia="zh-CN"/>
              </w:rPr>
              <w:t xml:space="preserve"> after SCG LTM</w:t>
            </w:r>
            <w:r>
              <w:rPr>
                <w:lang w:eastAsia="zh-CN"/>
              </w:rPr>
              <w:t xml:space="preserve"> </w:t>
            </w:r>
            <w:r>
              <w:rPr>
                <w:rFonts w:hint="eastAsia"/>
                <w:lang w:eastAsia="zh-CN"/>
              </w:rPr>
              <w:t xml:space="preserve">is completed. UE can have the similar </w:t>
            </w:r>
            <w:r>
              <w:rPr>
                <w:lang w:eastAsia="zh-CN"/>
              </w:rPr>
              <w:t>behaviour</w:t>
            </w:r>
            <w:r>
              <w:rPr>
                <w:rFonts w:hint="eastAsia"/>
                <w:lang w:eastAsia="zh-CN"/>
              </w:rPr>
              <w:t xml:space="preserve"> for the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rFonts w:hint="default"/>
                <w:lang w:val="en-US" w:eastAsia="zh-CN"/>
              </w:rPr>
            </w:pPr>
            <w:r>
              <w:rPr>
                <w:rFonts w:hint="eastAsia"/>
                <w:lang w:val="en-US" w:eastAsia="zh-CN"/>
              </w:rPr>
              <w:t>No</w:t>
            </w:r>
          </w:p>
        </w:tc>
        <w:tc>
          <w:tcPr>
            <w:tcW w:w="5808" w:type="dxa"/>
          </w:tcPr>
          <w:p>
            <w:pPr>
              <w:jc w:val="both"/>
              <w:rPr>
                <w:rFonts w:hint="default"/>
                <w:lang w:val="en-US" w:eastAsia="zh-CN"/>
              </w:rPr>
            </w:pPr>
            <w:r>
              <w:rPr>
                <w:rFonts w:hint="eastAsia"/>
                <w:lang w:eastAsia="zh-CN"/>
              </w:rPr>
              <w:t xml:space="preserve">According to the current spec, the UE </w:t>
            </w:r>
            <w:r>
              <w:rPr>
                <w:rFonts w:hint="eastAsia"/>
                <w:lang w:val="en-US" w:eastAsia="zh-CN"/>
              </w:rPr>
              <w:t>is not required to</w:t>
            </w:r>
            <w:r>
              <w:rPr>
                <w:rFonts w:hint="eastAsia"/>
                <w:lang w:eastAsia="zh-CN"/>
              </w:rPr>
              <w:t xml:space="preserve"> stop CHO evaluation upon legacy PSCell change. The same principle can be followed by SCG LTM.</w:t>
            </w:r>
            <w:r>
              <w:rPr>
                <w:rFonts w:hint="eastAsia"/>
                <w:lang w:val="en-US" w:eastAsia="zh-CN"/>
              </w:rPr>
              <w:t xml:space="preserve"> There is no need to specify the UE behaviour and 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bl>
    <w:p>
      <w:pPr>
        <w:jc w:val="both"/>
        <w:rPr>
          <w:b/>
          <w:bCs/>
        </w:rPr>
      </w:pPr>
    </w:p>
    <w:p>
      <w:pPr>
        <w:jc w:val="both"/>
        <w:rPr>
          <w:b/>
          <w:bCs/>
        </w:rPr>
      </w:pPr>
      <w:r>
        <w:rPr>
          <w:b/>
          <w:bCs/>
        </w:rPr>
        <w:t xml:space="preserve">Summary for Q4: </w:t>
      </w:r>
    </w:p>
    <w:p>
      <w:pPr>
        <w:jc w:val="both"/>
        <w:rPr>
          <w:b/>
          <w:bCs/>
        </w:rPr>
      </w:pPr>
    </w:p>
    <w:p>
      <w:pPr>
        <w:pStyle w:val="2"/>
      </w:pPr>
      <w:r>
        <w:t>3</w:t>
      </w:r>
      <w:r>
        <w:tab/>
      </w:r>
      <w:r>
        <w:t>Conclusion</w:t>
      </w:r>
    </w:p>
    <w:p>
      <w:r>
        <w:t>In this document the following proposals have been made:</w:t>
      </w:r>
    </w:p>
    <w:p>
      <w:pPr>
        <w:jc w:val="both"/>
        <w:rPr>
          <w:b/>
          <w:bCs/>
        </w:rPr>
      </w:pPr>
    </w:p>
    <w:p>
      <w:pPr>
        <w:pStyle w:val="2"/>
      </w:pPr>
      <w:r>
        <w:t>References</w:t>
      </w:r>
    </w:p>
    <w:p>
      <w:pPr>
        <w:pStyle w:val="74"/>
        <w:numPr>
          <w:ilvl w:val="0"/>
          <w:numId w:val="8"/>
        </w:numPr>
      </w:pPr>
      <w:bookmarkStart w:id="4" w:name="_Ref135830717"/>
      <w:bookmarkStart w:id="5" w:name="_Ref179818073"/>
      <w:r>
        <w:t>R2-2408945</w:t>
      </w:r>
      <w:bookmarkEnd w:id="4"/>
      <w:r>
        <w:tab/>
      </w:r>
      <w:r>
        <w:rPr>
          <w:i/>
          <w:iCs/>
        </w:rPr>
        <w:t>Miscellaneous Rel-18 LTM Aspects and Corrections</w:t>
      </w:r>
      <w:r>
        <w:tab/>
      </w:r>
      <w:r>
        <w:tab/>
      </w:r>
      <w:r>
        <w:t>3GPP TSG-RAN WG2 Meeting #127bis Hefei, China, 14th – 18th of October 2024</w:t>
      </w:r>
      <w:bookmarkEnd w:id="5"/>
    </w:p>
    <w:p>
      <w:pPr>
        <w:pStyle w:val="74"/>
        <w:numPr>
          <w:ilvl w:val="0"/>
          <w:numId w:val="8"/>
        </w:numPr>
        <w:spacing w:line="259" w:lineRule="auto"/>
        <w:jc w:val="both"/>
      </w:pPr>
      <w:bookmarkStart w:id="6" w:name="_Ref179837458"/>
      <w:r>
        <w:t>R2-2408452</w:t>
      </w:r>
      <w:r>
        <w:tab/>
      </w:r>
      <w:r>
        <w:rPr>
          <w:i/>
          <w:iCs/>
        </w:rPr>
        <w:t>Misc state 2 corrections for LTM mobility</w:t>
      </w:r>
      <w:r>
        <w:tab/>
      </w:r>
      <w:r>
        <w:tab/>
      </w:r>
      <w:r>
        <w:t>3GPP TSG-RAN WG2 Meeting #127bis Hefei, China, 14th – 18th of October 2024</w:t>
      </w:r>
      <w:bookmarkEnd w:id="6"/>
    </w:p>
    <w:p>
      <w:pPr>
        <w:pStyle w:val="74"/>
        <w:numPr>
          <w:ilvl w:val="0"/>
          <w:numId w:val="8"/>
        </w:numPr>
        <w:spacing w:line="259" w:lineRule="auto"/>
        <w:jc w:val="both"/>
      </w:pPr>
      <w:bookmarkStart w:id="7" w:name="_Ref179838829"/>
      <w:r>
        <w:t>R2-2408632</w:t>
      </w:r>
      <w:r>
        <w:tab/>
      </w:r>
      <w:r>
        <w:rPr>
          <w:i/>
          <w:iCs/>
        </w:rPr>
        <w:t>TP for Stage 2 coexistence case</w:t>
      </w:r>
      <w:r>
        <w:tab/>
      </w:r>
      <w:r>
        <w:tab/>
      </w:r>
      <w:r>
        <w:t>3GPP TSG-RAN WG2 Meeting #127bis Hefei, China, 14th – 18th of October 2024</w:t>
      </w:r>
      <w:bookmarkEnd w:id="7"/>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auto"/>
    <w:pitch w:val="variable"/>
    <w:sig w:usb0="B00002AF" w:usb1="69D77CFB" w:usb2="00000030" w:usb3="00000000" w:csb0="0008009F" w:csb1="00000000"/>
  </w:font>
  <w:font w:name="Cambria Math">
    <w:panose1 w:val="02040503050406030204"/>
    <w:charset w:val="00"/>
    <w:family w:val="auto"/>
    <w:pitch w:val="variable"/>
    <w:sig w:usb0="E00006FF" w:usb1="420024FF" w:usb2="02000000" w:usb3="00000000" w:csb0="2000019F" w:csb1="00000000"/>
  </w:font>
  <w:font w:name="@Batang">
    <w:altName w:val="Segoe Print"/>
    <w:panose1 w:val="02030600000101010101"/>
    <w:charset w:val="00"/>
    <w:family w:val="auto"/>
    <w:pitch w:val="variable"/>
    <w:sig w:usb0="B00002AF" w:usb1="69D77CFB"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1625"/>
    <w:multiLevelType w:val="multilevel"/>
    <w:tmpl w:val="109D162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D816F98"/>
    <w:multiLevelType w:val="multilevel"/>
    <w:tmpl w:val="2D816F98"/>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3DA46F17"/>
    <w:multiLevelType w:val="multilevel"/>
    <w:tmpl w:val="3DA46F17"/>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3E8D5AEE"/>
    <w:multiLevelType w:val="multilevel"/>
    <w:tmpl w:val="3E8D5AEE"/>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4">
    <w:nsid w:val="4A990357"/>
    <w:multiLevelType w:val="multilevel"/>
    <w:tmpl w:val="4A990357"/>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505C2B0F"/>
    <w:multiLevelType w:val="multilevel"/>
    <w:tmpl w:val="505C2B0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7614685"/>
    <w:multiLevelType w:val="multilevel"/>
    <w:tmpl w:val="676146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characterSpacingControl w:val="doNotCompress"/>
  <w:footnotePr>
    <w:numRestart w:val="eachSect"/>
  </w:footnotePr>
  <w:compat>
    <w:doNotExpandShiftReturn/>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C36"/>
    <w:rsid w:val="00006C10"/>
    <w:rsid w:val="0000782D"/>
    <w:rsid w:val="00016557"/>
    <w:rsid w:val="00023C40"/>
    <w:rsid w:val="00024AE5"/>
    <w:rsid w:val="00033397"/>
    <w:rsid w:val="00040095"/>
    <w:rsid w:val="000420A1"/>
    <w:rsid w:val="000506E0"/>
    <w:rsid w:val="00051A79"/>
    <w:rsid w:val="000548C1"/>
    <w:rsid w:val="00065268"/>
    <w:rsid w:val="00073C9C"/>
    <w:rsid w:val="00076412"/>
    <w:rsid w:val="00080512"/>
    <w:rsid w:val="00090468"/>
    <w:rsid w:val="00094568"/>
    <w:rsid w:val="000A7CE0"/>
    <w:rsid w:val="000B7BCF"/>
    <w:rsid w:val="000C522B"/>
    <w:rsid w:val="000C59AC"/>
    <w:rsid w:val="000D58AB"/>
    <w:rsid w:val="000E496B"/>
    <w:rsid w:val="00112F1A"/>
    <w:rsid w:val="00142DF9"/>
    <w:rsid w:val="00145075"/>
    <w:rsid w:val="00166580"/>
    <w:rsid w:val="00166A0C"/>
    <w:rsid w:val="001741A0"/>
    <w:rsid w:val="00175FA0"/>
    <w:rsid w:val="00193A7A"/>
    <w:rsid w:val="00194CD0"/>
    <w:rsid w:val="001B49C9"/>
    <w:rsid w:val="001C23F4"/>
    <w:rsid w:val="001C4F79"/>
    <w:rsid w:val="001C7FBC"/>
    <w:rsid w:val="001E1344"/>
    <w:rsid w:val="001E14DD"/>
    <w:rsid w:val="001F168B"/>
    <w:rsid w:val="001F7831"/>
    <w:rsid w:val="0020086D"/>
    <w:rsid w:val="00204045"/>
    <w:rsid w:val="0020712B"/>
    <w:rsid w:val="0021196E"/>
    <w:rsid w:val="002168EB"/>
    <w:rsid w:val="00216E33"/>
    <w:rsid w:val="0022606D"/>
    <w:rsid w:val="00231728"/>
    <w:rsid w:val="00244A05"/>
    <w:rsid w:val="00250404"/>
    <w:rsid w:val="00252145"/>
    <w:rsid w:val="00256B74"/>
    <w:rsid w:val="00257BD2"/>
    <w:rsid w:val="002610D8"/>
    <w:rsid w:val="00267EFE"/>
    <w:rsid w:val="002747EC"/>
    <w:rsid w:val="00283FCA"/>
    <w:rsid w:val="002855BF"/>
    <w:rsid w:val="00291A43"/>
    <w:rsid w:val="002A1D34"/>
    <w:rsid w:val="002A3549"/>
    <w:rsid w:val="002A7225"/>
    <w:rsid w:val="002B2988"/>
    <w:rsid w:val="002C1300"/>
    <w:rsid w:val="002F0D22"/>
    <w:rsid w:val="002F53F4"/>
    <w:rsid w:val="00307BBC"/>
    <w:rsid w:val="00311B17"/>
    <w:rsid w:val="003172DC"/>
    <w:rsid w:val="00321057"/>
    <w:rsid w:val="00325AE3"/>
    <w:rsid w:val="00326069"/>
    <w:rsid w:val="00326564"/>
    <w:rsid w:val="00350AB7"/>
    <w:rsid w:val="0035462D"/>
    <w:rsid w:val="00363273"/>
    <w:rsid w:val="0036459E"/>
    <w:rsid w:val="00364B41"/>
    <w:rsid w:val="00372B0F"/>
    <w:rsid w:val="0037394F"/>
    <w:rsid w:val="00383096"/>
    <w:rsid w:val="00386ACE"/>
    <w:rsid w:val="0039346C"/>
    <w:rsid w:val="0039601B"/>
    <w:rsid w:val="003A0FB0"/>
    <w:rsid w:val="003A12D9"/>
    <w:rsid w:val="003A41EF"/>
    <w:rsid w:val="003B0D4D"/>
    <w:rsid w:val="003B40AD"/>
    <w:rsid w:val="003C4E37"/>
    <w:rsid w:val="003C646C"/>
    <w:rsid w:val="003D0051"/>
    <w:rsid w:val="003D0FD0"/>
    <w:rsid w:val="003D5CB6"/>
    <w:rsid w:val="003E16BE"/>
    <w:rsid w:val="003F4E28"/>
    <w:rsid w:val="004006E8"/>
    <w:rsid w:val="00401855"/>
    <w:rsid w:val="00404E65"/>
    <w:rsid w:val="0040552E"/>
    <w:rsid w:val="00411AC9"/>
    <w:rsid w:val="004222C3"/>
    <w:rsid w:val="00442E7B"/>
    <w:rsid w:val="00446B17"/>
    <w:rsid w:val="00446C3A"/>
    <w:rsid w:val="00452C07"/>
    <w:rsid w:val="00465587"/>
    <w:rsid w:val="00466285"/>
    <w:rsid w:val="00477455"/>
    <w:rsid w:val="00494121"/>
    <w:rsid w:val="004A0D2A"/>
    <w:rsid w:val="004A1F7B"/>
    <w:rsid w:val="004B5537"/>
    <w:rsid w:val="004C44D2"/>
    <w:rsid w:val="004C510A"/>
    <w:rsid w:val="004D3578"/>
    <w:rsid w:val="004D380D"/>
    <w:rsid w:val="004E213A"/>
    <w:rsid w:val="004E709D"/>
    <w:rsid w:val="004F3C56"/>
    <w:rsid w:val="004F4540"/>
    <w:rsid w:val="004F73A7"/>
    <w:rsid w:val="00503171"/>
    <w:rsid w:val="00506C28"/>
    <w:rsid w:val="00534DA0"/>
    <w:rsid w:val="00536299"/>
    <w:rsid w:val="00537809"/>
    <w:rsid w:val="00537D42"/>
    <w:rsid w:val="00543E6C"/>
    <w:rsid w:val="00565087"/>
    <w:rsid w:val="0056573F"/>
    <w:rsid w:val="00571279"/>
    <w:rsid w:val="0057750C"/>
    <w:rsid w:val="00580683"/>
    <w:rsid w:val="005A13AB"/>
    <w:rsid w:val="005A49C6"/>
    <w:rsid w:val="005A62DC"/>
    <w:rsid w:val="005A7247"/>
    <w:rsid w:val="005B2C8E"/>
    <w:rsid w:val="005B3481"/>
    <w:rsid w:val="005B4D55"/>
    <w:rsid w:val="005C1857"/>
    <w:rsid w:val="005C766E"/>
    <w:rsid w:val="005C7CD5"/>
    <w:rsid w:val="005D0F9E"/>
    <w:rsid w:val="005E4297"/>
    <w:rsid w:val="00603BA9"/>
    <w:rsid w:val="00611566"/>
    <w:rsid w:val="00613050"/>
    <w:rsid w:val="00626151"/>
    <w:rsid w:val="006351C2"/>
    <w:rsid w:val="00646D99"/>
    <w:rsid w:val="00656910"/>
    <w:rsid w:val="006574C0"/>
    <w:rsid w:val="00664F67"/>
    <w:rsid w:val="00680039"/>
    <w:rsid w:val="00695A65"/>
    <w:rsid w:val="00696821"/>
    <w:rsid w:val="006C66D8"/>
    <w:rsid w:val="006D1E24"/>
    <w:rsid w:val="006D35DE"/>
    <w:rsid w:val="006D57A6"/>
    <w:rsid w:val="006E1057"/>
    <w:rsid w:val="006E1417"/>
    <w:rsid w:val="006E6E5E"/>
    <w:rsid w:val="006F6A2C"/>
    <w:rsid w:val="00703CD5"/>
    <w:rsid w:val="007069DC"/>
    <w:rsid w:val="00710201"/>
    <w:rsid w:val="0072073A"/>
    <w:rsid w:val="00723AAC"/>
    <w:rsid w:val="007342B5"/>
    <w:rsid w:val="0073494C"/>
    <w:rsid w:val="00734A5B"/>
    <w:rsid w:val="007352FF"/>
    <w:rsid w:val="00744E76"/>
    <w:rsid w:val="00757D40"/>
    <w:rsid w:val="007662B5"/>
    <w:rsid w:val="00781F0F"/>
    <w:rsid w:val="007857B3"/>
    <w:rsid w:val="0078727C"/>
    <w:rsid w:val="0079049D"/>
    <w:rsid w:val="00793DC5"/>
    <w:rsid w:val="00796823"/>
    <w:rsid w:val="007A2E55"/>
    <w:rsid w:val="007B1700"/>
    <w:rsid w:val="007B18D8"/>
    <w:rsid w:val="007C095F"/>
    <w:rsid w:val="007C2585"/>
    <w:rsid w:val="007C27C2"/>
    <w:rsid w:val="007C2DD0"/>
    <w:rsid w:val="007E18E1"/>
    <w:rsid w:val="007F2E08"/>
    <w:rsid w:val="00801C6B"/>
    <w:rsid w:val="008024FA"/>
    <w:rsid w:val="008028A4"/>
    <w:rsid w:val="00813245"/>
    <w:rsid w:val="00813B0F"/>
    <w:rsid w:val="008224D6"/>
    <w:rsid w:val="00827062"/>
    <w:rsid w:val="00831AD6"/>
    <w:rsid w:val="00840DE0"/>
    <w:rsid w:val="00840E0D"/>
    <w:rsid w:val="00847CD0"/>
    <w:rsid w:val="008607A8"/>
    <w:rsid w:val="0086354A"/>
    <w:rsid w:val="008768CA"/>
    <w:rsid w:val="00877EF9"/>
    <w:rsid w:val="00880559"/>
    <w:rsid w:val="00890ADF"/>
    <w:rsid w:val="0089387E"/>
    <w:rsid w:val="008A6032"/>
    <w:rsid w:val="008B3859"/>
    <w:rsid w:val="008B5306"/>
    <w:rsid w:val="008B54E8"/>
    <w:rsid w:val="008C2E2A"/>
    <w:rsid w:val="008C3057"/>
    <w:rsid w:val="008C4D2C"/>
    <w:rsid w:val="008D2E4D"/>
    <w:rsid w:val="008F396F"/>
    <w:rsid w:val="008F3DCD"/>
    <w:rsid w:val="0090271F"/>
    <w:rsid w:val="00902DB9"/>
    <w:rsid w:val="0090466A"/>
    <w:rsid w:val="00905DF9"/>
    <w:rsid w:val="00905E5A"/>
    <w:rsid w:val="00910D5C"/>
    <w:rsid w:val="00923655"/>
    <w:rsid w:val="009339CB"/>
    <w:rsid w:val="0093441C"/>
    <w:rsid w:val="00936071"/>
    <w:rsid w:val="009376CD"/>
    <w:rsid w:val="00940212"/>
    <w:rsid w:val="00942EC2"/>
    <w:rsid w:val="00947207"/>
    <w:rsid w:val="00961B32"/>
    <w:rsid w:val="00962509"/>
    <w:rsid w:val="00970DB3"/>
    <w:rsid w:val="0097242B"/>
    <w:rsid w:val="00974BB0"/>
    <w:rsid w:val="00975BCD"/>
    <w:rsid w:val="00980C6D"/>
    <w:rsid w:val="009818A2"/>
    <w:rsid w:val="009831AA"/>
    <w:rsid w:val="009928A9"/>
    <w:rsid w:val="009A0AF3"/>
    <w:rsid w:val="009B07CD"/>
    <w:rsid w:val="009B331F"/>
    <w:rsid w:val="009C19E9"/>
    <w:rsid w:val="009C28BD"/>
    <w:rsid w:val="009D74A6"/>
    <w:rsid w:val="009E0E87"/>
    <w:rsid w:val="00A0652A"/>
    <w:rsid w:val="00A10F02"/>
    <w:rsid w:val="00A17176"/>
    <w:rsid w:val="00A204CA"/>
    <w:rsid w:val="00A209D6"/>
    <w:rsid w:val="00A22738"/>
    <w:rsid w:val="00A30E86"/>
    <w:rsid w:val="00A36F5F"/>
    <w:rsid w:val="00A430EC"/>
    <w:rsid w:val="00A50AB5"/>
    <w:rsid w:val="00A53724"/>
    <w:rsid w:val="00A540D5"/>
    <w:rsid w:val="00A54B2B"/>
    <w:rsid w:val="00A601A9"/>
    <w:rsid w:val="00A66429"/>
    <w:rsid w:val="00A703B6"/>
    <w:rsid w:val="00A77A23"/>
    <w:rsid w:val="00A82346"/>
    <w:rsid w:val="00A96606"/>
    <w:rsid w:val="00A9671C"/>
    <w:rsid w:val="00AA1553"/>
    <w:rsid w:val="00AF1547"/>
    <w:rsid w:val="00AF4374"/>
    <w:rsid w:val="00B05380"/>
    <w:rsid w:val="00B05962"/>
    <w:rsid w:val="00B15449"/>
    <w:rsid w:val="00B159A7"/>
    <w:rsid w:val="00B16C2F"/>
    <w:rsid w:val="00B27303"/>
    <w:rsid w:val="00B46B80"/>
    <w:rsid w:val="00B47FD1"/>
    <w:rsid w:val="00B516BB"/>
    <w:rsid w:val="00B610DF"/>
    <w:rsid w:val="00B7538C"/>
    <w:rsid w:val="00B8350A"/>
    <w:rsid w:val="00B84DB2"/>
    <w:rsid w:val="00B93FAD"/>
    <w:rsid w:val="00B93FB9"/>
    <w:rsid w:val="00B972BD"/>
    <w:rsid w:val="00BA7D9F"/>
    <w:rsid w:val="00BC145F"/>
    <w:rsid w:val="00BC3555"/>
    <w:rsid w:val="00BC5FE2"/>
    <w:rsid w:val="00BD717B"/>
    <w:rsid w:val="00BE7A94"/>
    <w:rsid w:val="00BF6341"/>
    <w:rsid w:val="00C0161B"/>
    <w:rsid w:val="00C046A4"/>
    <w:rsid w:val="00C1035B"/>
    <w:rsid w:val="00C12B51"/>
    <w:rsid w:val="00C2432D"/>
    <w:rsid w:val="00C24650"/>
    <w:rsid w:val="00C25465"/>
    <w:rsid w:val="00C32BEB"/>
    <w:rsid w:val="00C33079"/>
    <w:rsid w:val="00C55A12"/>
    <w:rsid w:val="00C63D0A"/>
    <w:rsid w:val="00C6553E"/>
    <w:rsid w:val="00C71893"/>
    <w:rsid w:val="00C7743E"/>
    <w:rsid w:val="00C83A13"/>
    <w:rsid w:val="00C86F10"/>
    <w:rsid w:val="00C9068C"/>
    <w:rsid w:val="00C92967"/>
    <w:rsid w:val="00CA0618"/>
    <w:rsid w:val="00CA2BB9"/>
    <w:rsid w:val="00CA3D0C"/>
    <w:rsid w:val="00CA626C"/>
    <w:rsid w:val="00CA654B"/>
    <w:rsid w:val="00CB544B"/>
    <w:rsid w:val="00CB6A94"/>
    <w:rsid w:val="00CB72B8"/>
    <w:rsid w:val="00CC25DD"/>
    <w:rsid w:val="00CC574F"/>
    <w:rsid w:val="00CD0BA8"/>
    <w:rsid w:val="00CD4C7B"/>
    <w:rsid w:val="00CD58FE"/>
    <w:rsid w:val="00CF22EB"/>
    <w:rsid w:val="00CF272D"/>
    <w:rsid w:val="00D072AC"/>
    <w:rsid w:val="00D1570F"/>
    <w:rsid w:val="00D27E73"/>
    <w:rsid w:val="00D33BE3"/>
    <w:rsid w:val="00D3792D"/>
    <w:rsid w:val="00D54820"/>
    <w:rsid w:val="00D55E47"/>
    <w:rsid w:val="00D61661"/>
    <w:rsid w:val="00D62E19"/>
    <w:rsid w:val="00D67CD1"/>
    <w:rsid w:val="00D7057B"/>
    <w:rsid w:val="00D738D6"/>
    <w:rsid w:val="00D74F01"/>
    <w:rsid w:val="00D80795"/>
    <w:rsid w:val="00D82E62"/>
    <w:rsid w:val="00D854BE"/>
    <w:rsid w:val="00D87E00"/>
    <w:rsid w:val="00D902A9"/>
    <w:rsid w:val="00D9134D"/>
    <w:rsid w:val="00D93628"/>
    <w:rsid w:val="00D95A36"/>
    <w:rsid w:val="00D96D11"/>
    <w:rsid w:val="00DA7A03"/>
    <w:rsid w:val="00DB0DB8"/>
    <w:rsid w:val="00DB1818"/>
    <w:rsid w:val="00DC309B"/>
    <w:rsid w:val="00DC4DA2"/>
    <w:rsid w:val="00DC5261"/>
    <w:rsid w:val="00DE25D2"/>
    <w:rsid w:val="00DE5CAE"/>
    <w:rsid w:val="00DF7C20"/>
    <w:rsid w:val="00E038FB"/>
    <w:rsid w:val="00E46C08"/>
    <w:rsid w:val="00E471CF"/>
    <w:rsid w:val="00E51F64"/>
    <w:rsid w:val="00E62835"/>
    <w:rsid w:val="00E6480E"/>
    <w:rsid w:val="00E76C5F"/>
    <w:rsid w:val="00E77645"/>
    <w:rsid w:val="00E826F0"/>
    <w:rsid w:val="00E83697"/>
    <w:rsid w:val="00E859B6"/>
    <w:rsid w:val="00E912E2"/>
    <w:rsid w:val="00E95056"/>
    <w:rsid w:val="00E97647"/>
    <w:rsid w:val="00EA6191"/>
    <w:rsid w:val="00EA66C9"/>
    <w:rsid w:val="00EB5D32"/>
    <w:rsid w:val="00EC33E7"/>
    <w:rsid w:val="00EC4A25"/>
    <w:rsid w:val="00ED4201"/>
    <w:rsid w:val="00ED76EC"/>
    <w:rsid w:val="00EF2F09"/>
    <w:rsid w:val="00EF612C"/>
    <w:rsid w:val="00F025A2"/>
    <w:rsid w:val="00F036E9"/>
    <w:rsid w:val="00F07388"/>
    <w:rsid w:val="00F2026E"/>
    <w:rsid w:val="00F21AA6"/>
    <w:rsid w:val="00F2210A"/>
    <w:rsid w:val="00F22E46"/>
    <w:rsid w:val="00F31372"/>
    <w:rsid w:val="00F37743"/>
    <w:rsid w:val="00F47832"/>
    <w:rsid w:val="00F525EE"/>
    <w:rsid w:val="00F54A3D"/>
    <w:rsid w:val="00F54CB0"/>
    <w:rsid w:val="00F55C41"/>
    <w:rsid w:val="00F579CD"/>
    <w:rsid w:val="00F653B8"/>
    <w:rsid w:val="00F67A94"/>
    <w:rsid w:val="00F71B89"/>
    <w:rsid w:val="00F7353C"/>
    <w:rsid w:val="00F7513B"/>
    <w:rsid w:val="00F76F8F"/>
    <w:rsid w:val="00F84B35"/>
    <w:rsid w:val="00F87257"/>
    <w:rsid w:val="00F941DF"/>
    <w:rsid w:val="00FA1266"/>
    <w:rsid w:val="00FB36FA"/>
    <w:rsid w:val="00FC1192"/>
    <w:rsid w:val="00FC314D"/>
    <w:rsid w:val="00FE106D"/>
    <w:rsid w:val="00FE251B"/>
    <w:rsid w:val="00FE2736"/>
    <w:rsid w:val="00FE6081"/>
    <w:rsid w:val="00FF69DD"/>
    <w:rsid w:val="22D23D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uiPriority w:val="0"/>
    <w:pPr>
      <w:spacing w:after="0"/>
    </w:pPr>
    <w:rPr>
      <w:sz w:val="24"/>
      <w:szCs w:val="24"/>
    </w:rPr>
  </w:style>
  <w:style w:type="paragraph" w:styleId="20">
    <w:name w:val="annotation text"/>
    <w:basedOn w:val="1"/>
    <w:link w:val="76"/>
    <w:uiPriority w:val="0"/>
  </w:style>
  <w:style w:type="paragraph" w:styleId="21">
    <w:name w:val="toc 8"/>
    <w:basedOn w:val="18"/>
    <w:next w:val="1"/>
    <w:semiHidden/>
    <w:uiPriority w:val="0"/>
    <w:pPr>
      <w:spacing w:before="180"/>
      <w:ind w:left="2693" w:hanging="2693"/>
    </w:pPr>
    <w:rPr>
      <w:b/>
    </w:rPr>
  </w:style>
  <w:style w:type="paragraph" w:styleId="22">
    <w:name w:val="Balloon Text"/>
    <w:basedOn w:val="1"/>
    <w:link w:val="72"/>
    <w:uiPriority w:val="0"/>
    <w:pPr>
      <w:spacing w:after="0"/>
    </w:pPr>
    <w:rPr>
      <w:rFonts w:ascii="Helvetica" w:hAnsi="Helvetica"/>
      <w:sz w:val="18"/>
      <w:szCs w:val="18"/>
    </w:rPr>
  </w:style>
  <w:style w:type="paragraph" w:styleId="23">
    <w:name w:val="footer"/>
    <w:basedOn w:val="24"/>
    <w:uiPriority w:val="0"/>
    <w:pPr>
      <w:jc w:val="center"/>
    </w:pPr>
    <w:rPr>
      <w:i/>
    </w:rPr>
  </w:style>
  <w:style w:type="paragraph" w:styleId="24">
    <w:name w:val="header"/>
    <w:link w:val="69"/>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uiPriority w:val="0"/>
    <w:pPr>
      <w:ind w:left="1418" w:hanging="1418"/>
    </w:pPr>
  </w:style>
  <w:style w:type="paragraph" w:styleId="26">
    <w:name w:val="Normal (Web)"/>
    <w:basedOn w:val="1"/>
    <w:unhideWhenUsed/>
    <w:uiPriority w:val="99"/>
    <w:pPr>
      <w:spacing w:before="100" w:beforeAutospacing="1" w:after="100" w:afterAutospacing="1"/>
    </w:pPr>
    <w:rPr>
      <w:rFonts w:ascii="Calibri" w:hAnsi="Calibri" w:cs="Calibri" w:eastAsiaTheme="minorHAnsi"/>
      <w:sz w:val="22"/>
      <w:szCs w:val="22"/>
      <w:lang w:val="en-US"/>
    </w:rPr>
  </w:style>
  <w:style w:type="paragraph" w:styleId="27">
    <w:name w:val="annotation subject"/>
    <w:basedOn w:val="20"/>
    <w:next w:val="20"/>
    <w:link w:val="77"/>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Hyperlink"/>
    <w:uiPriority w:val="0"/>
    <w:rPr>
      <w:color w:val="0000FF"/>
      <w:u w:val="single"/>
    </w:rPr>
  </w:style>
  <w:style w:type="character" w:styleId="33">
    <w:name w:val="annotation reference"/>
    <w:basedOn w:val="30"/>
    <w:uiPriority w:val="0"/>
    <w:rPr>
      <w:sz w:val="16"/>
      <w:szCs w:val="16"/>
    </w:rPr>
  </w:style>
  <w:style w:type="paragraph" w:customStyle="1" w:styleId="34">
    <w:name w:val="EQ"/>
    <w:basedOn w:val="1"/>
    <w:next w:val="1"/>
    <w:uiPriority w:val="0"/>
    <w:pPr>
      <w:keepLines/>
      <w:tabs>
        <w:tab w:val="center" w:pos="4536"/>
        <w:tab w:val="right" w:pos="9072"/>
      </w:tabs>
    </w:pPr>
  </w:style>
  <w:style w:type="character" w:customStyle="1" w:styleId="35">
    <w:name w:val="ZGSM"/>
    <w:uiPriority w:val="0"/>
  </w:style>
  <w:style w:type="paragraph" w:customStyle="1" w:styleId="36">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uiPriority w:val="0"/>
    <w:pPr>
      <w:outlineLvl w:val="9"/>
    </w:pPr>
  </w:style>
  <w:style w:type="paragraph" w:customStyle="1" w:styleId="38">
    <w:name w:val="NF"/>
    <w:basedOn w:val="39"/>
    <w:uiPriority w:val="0"/>
    <w:pPr>
      <w:keepNext/>
      <w:spacing w:after="0"/>
    </w:pPr>
    <w:rPr>
      <w:rFonts w:ascii="Arial" w:hAnsi="Arial"/>
      <w:sz w:val="18"/>
    </w:rPr>
  </w:style>
  <w:style w:type="paragraph" w:customStyle="1" w:styleId="39">
    <w:name w:val="NO"/>
    <w:basedOn w:val="1"/>
    <w:uiPriority w:val="0"/>
    <w:pPr>
      <w:keepLines/>
      <w:ind w:left="1135" w:hanging="851"/>
    </w:pPr>
  </w:style>
  <w:style w:type="paragraph" w:customStyle="1" w:styleId="40">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uiPriority w:val="0"/>
    <w:pPr>
      <w:jc w:val="right"/>
    </w:pPr>
  </w:style>
  <w:style w:type="paragraph" w:customStyle="1" w:styleId="42">
    <w:name w:val="TAL"/>
    <w:basedOn w:val="1"/>
    <w:uiPriority w:val="0"/>
    <w:pPr>
      <w:keepNext/>
      <w:keepLines/>
      <w:spacing w:after="0"/>
    </w:pPr>
    <w:rPr>
      <w:rFonts w:ascii="Arial" w:hAnsi="Arial"/>
      <w:sz w:val="18"/>
    </w:rPr>
  </w:style>
  <w:style w:type="paragraph" w:customStyle="1" w:styleId="43">
    <w:name w:val="TAH"/>
    <w:basedOn w:val="44"/>
    <w:uiPriority w:val="0"/>
    <w:rPr>
      <w:b/>
    </w:rPr>
  </w:style>
  <w:style w:type="paragraph" w:customStyle="1" w:styleId="44">
    <w:name w:val="TAC"/>
    <w:basedOn w:val="42"/>
    <w:uiPriority w:val="0"/>
    <w:pPr>
      <w:jc w:val="center"/>
    </w:pPr>
  </w:style>
  <w:style w:type="paragraph" w:customStyle="1" w:styleId="45">
    <w:name w:val="LD"/>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uiPriority w:val="0"/>
    <w:pPr>
      <w:spacing w:after="0"/>
    </w:pPr>
  </w:style>
  <w:style w:type="paragraph" w:customStyle="1" w:styleId="48">
    <w:name w:val="NW"/>
    <w:basedOn w:val="39"/>
    <w:uiPriority w:val="0"/>
    <w:pPr>
      <w:spacing w:after="0"/>
    </w:pPr>
  </w:style>
  <w:style w:type="paragraph" w:customStyle="1" w:styleId="49">
    <w:name w:val="EW"/>
    <w:basedOn w:val="46"/>
    <w:uiPriority w:val="0"/>
    <w:pPr>
      <w:spacing w:after="0"/>
    </w:pPr>
  </w:style>
  <w:style w:type="paragraph" w:customStyle="1" w:styleId="50">
    <w:name w:val="B1"/>
    <w:basedOn w:val="1"/>
    <w:uiPriority w:val="0"/>
    <w:pPr>
      <w:ind w:left="568" w:hanging="284"/>
    </w:pPr>
  </w:style>
  <w:style w:type="paragraph" w:customStyle="1" w:styleId="51">
    <w:name w:val="Editor's Note"/>
    <w:basedOn w:val="39"/>
    <w:uiPriority w:val="0"/>
    <w:rPr>
      <w:color w:val="FF0000"/>
    </w:rPr>
  </w:style>
  <w:style w:type="paragraph" w:customStyle="1" w:styleId="52">
    <w:name w:val="TH"/>
    <w:basedOn w:val="1"/>
    <w:uiPriority w:val="0"/>
    <w:pPr>
      <w:keepNext/>
      <w:keepLines/>
      <w:spacing w:before="60"/>
      <w:jc w:val="center"/>
    </w:pPr>
    <w:rPr>
      <w:rFonts w:ascii="Arial" w:hAnsi="Arial"/>
      <w:b/>
    </w:rPr>
  </w:style>
  <w:style w:type="paragraph" w:customStyle="1" w:styleId="53">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uiPriority w:val="0"/>
    <w:pPr>
      <w:ind w:left="851" w:hanging="851"/>
    </w:pPr>
  </w:style>
  <w:style w:type="paragraph" w:customStyle="1" w:styleId="5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uiPriority w:val="0"/>
    <w:pPr>
      <w:keepNext w:val="0"/>
      <w:spacing w:before="0" w:after="240"/>
    </w:pPr>
  </w:style>
  <w:style w:type="paragraph" w:customStyle="1" w:styleId="60">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uiPriority w:val="0"/>
    <w:pPr>
      <w:ind w:left="851" w:hanging="284"/>
    </w:pPr>
  </w:style>
  <w:style w:type="paragraph" w:customStyle="1" w:styleId="62">
    <w:name w:val="B3"/>
    <w:basedOn w:val="1"/>
    <w:uiPriority w:val="0"/>
    <w:pPr>
      <w:ind w:left="1135" w:hanging="284"/>
    </w:pPr>
  </w:style>
  <w:style w:type="paragraph" w:customStyle="1" w:styleId="63">
    <w:name w:val="B4"/>
    <w:basedOn w:val="1"/>
    <w:uiPriority w:val="0"/>
    <w:pPr>
      <w:ind w:left="1418" w:hanging="284"/>
    </w:pPr>
  </w:style>
  <w:style w:type="paragraph" w:customStyle="1" w:styleId="64">
    <w:name w:val="B5"/>
    <w:basedOn w:val="1"/>
    <w:uiPriority w:val="0"/>
    <w:pPr>
      <w:ind w:left="1702" w:hanging="284"/>
    </w:pPr>
  </w:style>
  <w:style w:type="paragraph" w:customStyle="1" w:styleId="65">
    <w:name w:val="ZTD"/>
    <w:basedOn w:val="54"/>
    <w:uiPriority w:val="0"/>
    <w:pPr>
      <w:framePr w:hRule="auto" w:y="852"/>
    </w:pPr>
    <w:rPr>
      <w:i w:val="0"/>
      <w:sz w:val="40"/>
    </w:rPr>
  </w:style>
  <w:style w:type="paragraph" w:customStyle="1" w:styleId="66">
    <w:name w:val="ZV"/>
    <w:basedOn w:val="56"/>
    <w:uiPriority w:val="0"/>
    <w:pPr>
      <w:framePr w:y="16161"/>
    </w:pPr>
  </w:style>
  <w:style w:type="paragraph" w:customStyle="1" w:styleId="67">
    <w:name w:val="TAJ"/>
    <w:basedOn w:val="52"/>
    <w:uiPriority w:val="0"/>
  </w:style>
  <w:style w:type="paragraph" w:customStyle="1" w:styleId="68">
    <w:name w:val="Guidance"/>
    <w:basedOn w:val="1"/>
    <w:uiPriority w:val="0"/>
    <w:rPr>
      <w:i/>
      <w:color w:val="0000FF"/>
    </w:rPr>
  </w:style>
  <w:style w:type="character" w:customStyle="1" w:styleId="69">
    <w:name w:val="Header Char"/>
    <w:link w:val="24"/>
    <w:uiPriority w:val="0"/>
    <w:rPr>
      <w:rFonts w:ascii="Arial" w:hAnsi="Arial"/>
      <w:b/>
      <w:sz w:val="18"/>
      <w:lang w:val="en-GB" w:eastAsia="ja-JP" w:bidi="ar-SA"/>
    </w:rPr>
  </w:style>
  <w:style w:type="paragraph" w:customStyle="1" w:styleId="70">
    <w:name w:val="CR Cover Page"/>
    <w:uiPriority w:val="0"/>
    <w:pPr>
      <w:spacing w:after="120"/>
    </w:pPr>
    <w:rPr>
      <w:rFonts w:ascii="Arial" w:hAnsi="Arial" w:eastAsia="MS Mincho" w:cs="Times New Roman"/>
      <w:lang w:val="en-GB" w:eastAsia="en-US" w:bidi="ar-SA"/>
    </w:rPr>
  </w:style>
  <w:style w:type="character" w:customStyle="1" w:styleId="71">
    <w:name w:val="Document Map Char"/>
    <w:basedOn w:val="30"/>
    <w:link w:val="19"/>
    <w:uiPriority w:val="0"/>
    <w:rPr>
      <w:sz w:val="24"/>
      <w:szCs w:val="24"/>
      <w:lang w:eastAsia="en-US"/>
    </w:rPr>
  </w:style>
  <w:style w:type="character" w:customStyle="1" w:styleId="72">
    <w:name w:val="Balloon Text Char"/>
    <w:basedOn w:val="30"/>
    <w:link w:val="22"/>
    <w:uiPriority w:val="0"/>
    <w:rPr>
      <w:rFonts w:ascii="Helvetica" w:hAnsi="Helvetica"/>
      <w:sz w:val="18"/>
      <w:szCs w:val="18"/>
      <w:lang w:eastAsia="en-US"/>
    </w:rPr>
  </w:style>
  <w:style w:type="character" w:customStyle="1" w:styleId="73">
    <w:name w:val="Unresolved Mention"/>
    <w:basedOn w:val="30"/>
    <w:uiPriority w:val="0"/>
    <w:rPr>
      <w:color w:val="605E5C"/>
      <w:shd w:val="clear" w:color="auto" w:fill="E1DFDD"/>
    </w:rPr>
  </w:style>
  <w:style w:type="paragraph" w:styleId="74">
    <w:name w:val="List Paragraph"/>
    <w:basedOn w:val="1"/>
    <w:link w:val="75"/>
    <w:qFormat/>
    <w:uiPriority w:val="34"/>
    <w:pPr>
      <w:ind w:left="720"/>
      <w:contextualSpacing/>
    </w:pPr>
  </w:style>
  <w:style w:type="character" w:customStyle="1" w:styleId="75">
    <w:name w:val="List Paragraph Char"/>
    <w:link w:val="74"/>
    <w:qFormat/>
    <w:locked/>
    <w:uiPriority w:val="34"/>
    <w:rPr>
      <w:lang w:eastAsia="en-US"/>
    </w:rPr>
  </w:style>
  <w:style w:type="character" w:customStyle="1" w:styleId="76">
    <w:name w:val="Comment Text Char"/>
    <w:basedOn w:val="30"/>
    <w:link w:val="20"/>
    <w:uiPriority w:val="0"/>
    <w:rPr>
      <w:lang w:eastAsia="en-US"/>
    </w:rPr>
  </w:style>
  <w:style w:type="character" w:customStyle="1" w:styleId="77">
    <w:name w:val="Comment Subject Char"/>
    <w:basedOn w:val="76"/>
    <w:link w:val="27"/>
    <w:uiPriority w:val="0"/>
    <w:rPr>
      <w:b/>
      <w:bCs/>
      <w:lang w:eastAsia="en-US"/>
    </w:rPr>
  </w:style>
  <w:style w:type="paragraph" w:customStyle="1" w:styleId="78">
    <w:name w:val="Revision"/>
    <w:hidden/>
    <w:semiHidden/>
    <w:uiPriority w:val="99"/>
    <w:rPr>
      <w:rFonts w:ascii="Times New Roman" w:hAnsi="Times New Roman" w:eastAsia="宋体" w:cs="Times New Roman"/>
      <w:lang w:val="en-GB" w:eastAsia="en-US" w:bidi="ar-SA"/>
    </w:r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rPr>
  </w:style>
  <w:style w:type="table" w:customStyle="1" w:styleId="82">
    <w:name w:val="Table Normal"/>
    <w:basedOn w:val="28"/>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val="sv" w:eastAsia="sv"/>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FBF972-2E14-4B5B-84CC-79DB1440ACA8}">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B5AED20C-EACC-4B26-A1A5-77385D2DCFBA}">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82A9E171-399D-4767-AB5E-FFDE0C66C49E}">
  <ds:schemaRefs/>
</ds:datastoreItem>
</file>

<file path=customXml/itemProps7.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5</Pages>
  <Words>1603</Words>
  <Characters>9140</Characters>
  <Lines>76</Lines>
  <Paragraphs>21</Paragraphs>
  <TotalTime>44</TotalTime>
  <ScaleCrop>false</ScaleCrop>
  <LinksUpToDate>false</LinksUpToDate>
  <CharactersWithSpaces>10722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2024-10-15T07:46:00Z</dcterms:created>
  <dc:creator>Benoist</dc:creator>
  <cp:lastModifiedBy>ZTE</cp:lastModifiedBy>
  <dcterms:modified xsi:type="dcterms:W3CDTF">2024-10-15T11:36:35Z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7e6db5c8-78a4-4cde-8a15-6006a3f4a2c2</vt:lpwstr>
  </property>
  <property fmtid="{D5CDD505-2E9C-101B-9397-08002B2CF9AE}" pid="4" name="KSOProductBuildVer">
    <vt:lpwstr>2052-11.8.2.9022</vt:lpwstr>
  </property>
</Properties>
</file>