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5ED9" w14:textId="77777777" w:rsidR="00123797" w:rsidRDefault="00255DA2">
      <w:pPr>
        <w:tabs>
          <w:tab w:val="left" w:pos="1701"/>
          <w:tab w:val="right" w:pos="9639"/>
        </w:tabs>
        <w:spacing w:before="120"/>
        <w:rPr>
          <w:rFonts w:cs="Times New Roman"/>
          <w:b/>
          <w:lang w:val="de-DE"/>
        </w:rPr>
      </w:pPr>
      <w:r>
        <w:rPr>
          <w:rFonts w:eastAsia="MS Mincho" w:cs="Times New Roman"/>
          <w:b/>
          <w:lang w:val="de-DE"/>
        </w:rPr>
        <w:t>3GPP TSG-RAN WG2 Meeting #12</w:t>
      </w:r>
      <w:r>
        <w:rPr>
          <w:rFonts w:cs="Times New Roman" w:hint="eastAsia"/>
          <w:b/>
          <w:lang w:val="de-DE"/>
        </w:rPr>
        <w:t>7</w:t>
      </w:r>
      <w:r>
        <w:rPr>
          <w:rFonts w:eastAsia="MS Mincho" w:cs="Times New Roman"/>
          <w:b/>
          <w:lang w:val="de-DE"/>
        </w:rPr>
        <w:tab/>
        <w:t>R2-24</w:t>
      </w:r>
      <w:r>
        <w:rPr>
          <w:rFonts w:cs="Times New Roman" w:hint="eastAsia"/>
          <w:b/>
          <w:lang w:val="de-DE"/>
        </w:rPr>
        <w:t>xxxxx</w:t>
      </w:r>
    </w:p>
    <w:p w14:paraId="1DDEA7AB" w14:textId="77777777" w:rsidR="00123797" w:rsidRDefault="00255DA2">
      <w:pPr>
        <w:tabs>
          <w:tab w:val="left" w:pos="1701"/>
          <w:tab w:val="right" w:pos="9923"/>
        </w:tabs>
        <w:spacing w:before="120"/>
        <w:rPr>
          <w:rFonts w:cs="Times New Roman"/>
          <w:b/>
          <w:lang w:val="de-DE"/>
        </w:rPr>
      </w:pPr>
      <w:r>
        <w:rPr>
          <w:rFonts w:cs="Times New Roman"/>
          <w:b/>
          <w:lang w:val="de-DE"/>
        </w:rPr>
        <w:t>Maastricht, Netherlands, Aug 19</w:t>
      </w:r>
      <w:r>
        <w:rPr>
          <w:rFonts w:cs="Times New Roman"/>
          <w:b/>
          <w:vertAlign w:val="superscript"/>
          <w:lang w:val="de-DE"/>
        </w:rPr>
        <w:t>th</w:t>
      </w:r>
      <w:r>
        <w:rPr>
          <w:rFonts w:cs="Times New Roman"/>
          <w:b/>
          <w:lang w:val="de-DE"/>
        </w:rPr>
        <w:t xml:space="preserve"> – 23</w:t>
      </w:r>
      <w:r>
        <w:rPr>
          <w:rFonts w:cs="Times New Roman"/>
          <w:b/>
          <w:vertAlign w:val="superscript"/>
          <w:lang w:val="de-DE"/>
        </w:rPr>
        <w:t>rd</w:t>
      </w:r>
      <w:r>
        <w:rPr>
          <w:rFonts w:cs="Times New Roman"/>
          <w:b/>
          <w:lang w:val="de-DE"/>
        </w:rPr>
        <w:t>, 2024</w:t>
      </w:r>
    </w:p>
    <w:p w14:paraId="01D306C5" w14:textId="77777777" w:rsidR="00123797" w:rsidRDefault="00123797">
      <w:pPr>
        <w:pStyle w:val="Header"/>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Header"/>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14:paraId="4F93E420"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Heading1"/>
        <w:ind w:left="706" w:hangingChars="196" w:hanging="706"/>
      </w:pPr>
      <w:bookmarkStart w:id="0" w:name="_Ref35586532"/>
      <w:r>
        <w:t>Introduction</w:t>
      </w:r>
      <w:bookmarkEnd w:id="0"/>
    </w:p>
    <w:p w14:paraId="56213445" w14:textId="77777777" w:rsidR="00123797" w:rsidRDefault="00255DA2">
      <w:pPr>
        <w:tabs>
          <w:tab w:val="left" w:pos="7350"/>
        </w:tabs>
        <w:spacing w:line="288" w:lineRule="auto"/>
        <w:rPr>
          <w:rFonts w:ascii="Times New Roman" w:eastAsia="SimSun" w:hAnsi="Times New Roman" w:cs="Times New Roman"/>
          <w:szCs w:val="24"/>
        </w:rPr>
      </w:pPr>
      <w:bookmarkStart w:id="1" w:name="OLE_LINK2"/>
      <w:bookmarkStart w:id="2" w:name="OLE_LINK1"/>
      <w:r>
        <w:rPr>
          <w:rFonts w:ascii="Times New Roman" w:eastAsia="SimSun"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r>
        <w:rPr>
          <w:rStyle w:val="ui-provider"/>
        </w:rPr>
        <w:t>LTE_TN_NR_NTN_mob</w:t>
      </w:r>
      <w:r>
        <w:rPr>
          <w:lang w:eastAsia="zh-CN"/>
        </w:rPr>
        <w:t>] RRC CR (CATT)</w:t>
      </w:r>
    </w:p>
    <w:p w14:paraId="56F1EEC2" w14:textId="77777777" w:rsidR="00123797" w:rsidRDefault="00255DA2">
      <w:pPr>
        <w:pStyle w:val="EmailDiscussion2"/>
        <w:rPr>
          <w:lang w:val="en-US" w:eastAsia="zh-CN"/>
        </w:rPr>
      </w:pPr>
      <w:r>
        <w:rPr>
          <w:lang w:val="en-US" w:eastAsia="zh-CN"/>
        </w:rPr>
        <w:tab/>
        <w:t>Scope: Update the RRC  CR for</w:t>
      </w:r>
      <w:r>
        <w:t xml:space="preserve"> E-UTRAN to NR NTN mobility based on meeting agreements</w:t>
      </w:r>
    </w:p>
    <w:p w14:paraId="1A616684" w14:textId="77777777" w:rsidR="00123797" w:rsidRDefault="00255DA2">
      <w:pPr>
        <w:pStyle w:val="EmailDiscussion2"/>
      </w:pPr>
      <w:r>
        <w:tab/>
        <w:t>Intended outcome: Endorsable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SimSun" w:hAnsi="Times New Roman" w:cs="Times New Roman"/>
          <w:szCs w:val="24"/>
        </w:rPr>
      </w:pPr>
    </w:p>
    <w:bookmarkEnd w:id="1"/>
    <w:bookmarkEnd w:id="2"/>
    <w:p w14:paraId="5633467E" w14:textId="77777777" w:rsidR="00123797" w:rsidRDefault="00255DA2">
      <w:pPr>
        <w:pStyle w:val="Heading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r>
        <w:rPr>
          <w:rFonts w:ascii="Times New Roman" w:hAnsi="Times New Roman" w:cs="Times New Roman"/>
        </w:rPr>
        <w:t>signalling</w:t>
      </w:r>
      <w:r>
        <w:rPr>
          <w:rFonts w:ascii="Times New Roman" w:hAnsi="Times New Roman" w:cs="Times New Roman" w:hint="eastAsia"/>
        </w:rPr>
        <w:t xml:space="preserve"> Option 2 (introduce new NR NTN Sat. list in SIB33), but also to introduce a signalling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IoT NTN satellite in the existing Sat. list:</w:t>
      </w:r>
    </w:p>
    <w:tbl>
      <w:tblPr>
        <w:tblStyle w:val="TableGrid"/>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lastRenderedPageBreak/>
        <w:t>Question 1</w:t>
      </w:r>
      <w:r>
        <w:t xml:space="preserve">: Which signalling alternative in the draft CR is preferred to save the ephemeris data duplication, if a satellite can supports </w:t>
      </w:r>
      <w:r>
        <w:rPr>
          <w:rFonts w:hint="eastAsia"/>
        </w:rPr>
        <w:t>b</w:t>
      </w:r>
      <w:r>
        <w:t>oth IoT NTN and NR NTN cells</w:t>
      </w:r>
      <w:r>
        <w:rPr>
          <w:rFonts w:hint="eastAsia"/>
        </w:rPr>
        <w:t>?</w:t>
      </w:r>
      <w:r>
        <w:t xml:space="preserve"> </w:t>
      </w:r>
    </w:p>
    <w:p w14:paraId="0056712F"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175CD">
      <w:pPr>
        <w:pStyle w:val="ListParagraph"/>
        <w:numPr>
          <w:ilvl w:val="0"/>
          <w:numId w:val="18"/>
        </w:numPr>
        <w:spacing w:line="288" w:lineRule="auto"/>
        <w:ind w:left="440" w:hangingChars="200" w:hanging="44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TableGrid"/>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It seems to be 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signalling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We prefer to keep ephemeris as mandatorily present within neighbour satellite information IE. In case of duplicated ephemeris with other satellite, a pointer of satellite ID is signalled instead of ephemeris, as alt-A.</w:t>
            </w:r>
          </w:p>
        </w:tc>
      </w:tr>
      <w:tr w:rsidR="00470C0B" w:rsidRPr="00921353" w14:paraId="5754A4A0" w14:textId="77777777" w:rsidTr="00255DA2">
        <w:tc>
          <w:tcPr>
            <w:tcW w:w="1236" w:type="dxa"/>
          </w:tcPr>
          <w:p w14:paraId="7BD829B1" w14:textId="68B5FAE1" w:rsidR="00470C0B" w:rsidRDefault="00470C0B" w:rsidP="00255DA2">
            <w:pPr>
              <w:spacing w:after="60" w:line="288" w:lineRule="auto"/>
              <w:rPr>
                <w:rFonts w:eastAsia="Malgun Gothic" w:hint="eastAsia"/>
                <w:lang w:val="en-US" w:eastAsia="ko-KR"/>
              </w:rPr>
            </w:pPr>
            <w:r>
              <w:rPr>
                <w:rFonts w:eastAsia="Malgun Gothic"/>
                <w:lang w:val="en-US" w:eastAsia="ko-KR"/>
              </w:rPr>
              <w:t>Samsung</w:t>
            </w:r>
          </w:p>
        </w:tc>
        <w:tc>
          <w:tcPr>
            <w:tcW w:w="2358" w:type="dxa"/>
          </w:tcPr>
          <w:p w14:paraId="2EC471F3" w14:textId="3C2B378E" w:rsidR="00470C0B" w:rsidRDefault="00470C0B" w:rsidP="00255DA2">
            <w:pPr>
              <w:spacing w:after="60" w:line="288" w:lineRule="auto"/>
              <w:rPr>
                <w:rFonts w:eastAsia="Malgun Gothic" w:hint="eastAsia"/>
                <w:lang w:val="en-US" w:eastAsia="ko-KR"/>
              </w:rPr>
            </w:pPr>
            <w:r>
              <w:rPr>
                <w:rFonts w:eastAsia="Malgun Gothic"/>
                <w:lang w:val="en-US" w:eastAsia="ko-KR"/>
              </w:rPr>
              <w:t>Alt A</w:t>
            </w:r>
          </w:p>
        </w:tc>
        <w:tc>
          <w:tcPr>
            <w:tcW w:w="6035" w:type="dxa"/>
          </w:tcPr>
          <w:p w14:paraId="41543A7D" w14:textId="15A5E9C6" w:rsidR="00470C0B" w:rsidRDefault="00470C0B" w:rsidP="00255DA2">
            <w:pPr>
              <w:spacing w:after="60" w:line="288" w:lineRule="auto"/>
              <w:rPr>
                <w:rFonts w:eastAsia="Malgun Gothic" w:hint="eastAsia"/>
                <w:lang w:val="en-US" w:eastAsia="ko-KR"/>
              </w:rPr>
            </w:pPr>
            <w:r>
              <w:rPr>
                <w:rFonts w:eastAsia="Malgun Gothic"/>
                <w:lang w:val="en-US" w:eastAsia="ko-KR"/>
              </w:rPr>
              <w:t xml:space="preserve">Alternative A is much cleaner. </w:t>
            </w:r>
            <w:bookmarkStart w:id="3" w:name="_GoBack"/>
            <w:bookmarkEnd w:id="3"/>
          </w:p>
        </w:tc>
      </w:tr>
    </w:tbl>
    <w:p w14:paraId="3F38AA70" w14:textId="77777777" w:rsidR="00123797" w:rsidRDefault="00123797">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TableGrid"/>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[Rapp_v09] Thanks, already updated in the draft CR.</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pPr>
    </w:p>
    <w:p w14:paraId="22E0D9F6" w14:textId="77777777" w:rsidR="00123797" w:rsidRDefault="00255DA2">
      <w:pPr>
        <w:pStyle w:val="Heading1"/>
        <w:spacing w:before="120"/>
        <w:ind w:left="706" w:hangingChars="196" w:hanging="706"/>
        <w:rPr>
          <w:lang w:eastAsia="zh-CN"/>
        </w:rPr>
      </w:pPr>
      <w:r>
        <w:rPr>
          <w:lang w:eastAsia="zh-CN"/>
        </w:rPr>
        <w:t>Conclusion</w:t>
      </w:r>
    </w:p>
    <w:p w14:paraId="2716676B" w14:textId="77777777" w:rsidR="00123797" w:rsidRDefault="00123797">
      <w:pPr>
        <w:rPr>
          <w:color w:val="C00000"/>
        </w:rPr>
      </w:pPr>
    </w:p>
    <w:p w14:paraId="218A3E6D" w14:textId="77777777" w:rsidR="00123797" w:rsidRDefault="00255DA2">
      <w:pPr>
        <w:spacing w:line="288" w:lineRule="auto"/>
        <w:ind w:left="2"/>
        <w:rPr>
          <w:color w:val="C00000"/>
        </w:rPr>
      </w:pPr>
      <w:r>
        <w:rPr>
          <w:rFonts w:eastAsia="SimSun"/>
          <w:color w:val="C00000"/>
          <w:szCs w:val="24"/>
        </w:rPr>
        <w:t>[TBD…</w:t>
      </w:r>
    </w:p>
    <w:p w14:paraId="4F89AB2C" w14:textId="77777777" w:rsidR="00123797" w:rsidRDefault="00255DA2">
      <w:pPr>
        <w:pStyle w:val="Heading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SimSun" w:hAnsi="Times New Roman" w:cs="Times New Roman"/>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C5D9" w14:textId="77777777" w:rsidR="00166908" w:rsidRDefault="00166908">
      <w:r>
        <w:separator/>
      </w:r>
    </w:p>
  </w:endnote>
  <w:endnote w:type="continuationSeparator" w:id="0">
    <w:p w14:paraId="168B4C02" w14:textId="77777777" w:rsidR="00166908" w:rsidRDefault="0016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967D" w14:textId="393A1FC4" w:rsidR="00123797" w:rsidRDefault="00255D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4E6A">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4E6A">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E1D5" w14:textId="77777777" w:rsidR="00166908" w:rsidRDefault="00166908">
      <w:r>
        <w:separator/>
      </w:r>
    </w:p>
  </w:footnote>
  <w:footnote w:type="continuationSeparator" w:id="0">
    <w:p w14:paraId="0BBAC4F8" w14:textId="77777777" w:rsidR="00166908" w:rsidRDefault="0016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DB8A" w14:textId="77777777" w:rsidR="00123797" w:rsidRDefault="00255D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7"/>
  </w:num>
  <w:num w:numId="2">
    <w:abstractNumId w:val="15"/>
  </w:num>
  <w:num w:numId="3">
    <w:abstractNumId w:val="8"/>
  </w:num>
  <w:num w:numId="4">
    <w:abstractNumId w:val="2"/>
  </w:num>
  <w:num w:numId="5">
    <w:abstractNumId w:val="5"/>
  </w:num>
  <w:num w:numId="6">
    <w:abstractNumId w:val="4"/>
  </w:num>
  <w:num w:numId="7">
    <w:abstractNumId w:val="13"/>
  </w:num>
  <w:num w:numId="8">
    <w:abstractNumId w:val="0"/>
  </w:num>
  <w:num w:numId="9">
    <w:abstractNumId w:val="17"/>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6908"/>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0B"/>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BBD"/>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E6A"/>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8E590"/>
  <w15:docId w15:val="{A661C9AB-0FB8-4BD5-887A-0178BFB6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0B"/>
    <w:pPr>
      <w:spacing w:after="160" w:line="259" w:lineRule="auto"/>
    </w:pPr>
    <w:rPr>
      <w:rFonts w:asciiTheme="minorHAnsi" w:hAnsiTheme="minorHAnsi" w:cstheme="minorBidi"/>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470C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0C0B"/>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Normal"/>
    <w:qFormat/>
    <w:rPr>
      <w:rFonts w:ascii="Times New Roman" w:eastAsia="SimSun"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Normal"/>
    <w:qFormat/>
    <w:pPr>
      <w:keepNext/>
      <w:keepLines/>
      <w:spacing w:before="60"/>
      <w:jc w:val="center"/>
    </w:pPr>
    <w:rPr>
      <w:rFonts w:eastAsia="Times New Roman" w:cs="Times New Roman"/>
      <w:b/>
      <w:lang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Normal"/>
    <w:qFormat/>
    <w:pPr>
      <w:numPr>
        <w:numId w:val="16"/>
      </w:numPr>
      <w:spacing w:before="120" w:after="120"/>
    </w:pPr>
    <w:rPr>
      <w:rFonts w:eastAsia="Times New Roman" w:cs="Times New Roman"/>
      <w:b/>
      <w:color w:val="0000FF"/>
      <w:u w:val="single"/>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Normal"/>
    <w:qFormat/>
    <w:pPr>
      <w:numPr>
        <w:numId w:val="17"/>
      </w:numPr>
    </w:pPr>
    <w:rPr>
      <w:rFonts w:ascii="Times New Roman" w:eastAsia="SimSun"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Normal"/>
    <w:qFormat/>
    <w:pPr>
      <w:jc w:val="center"/>
    </w:pPr>
    <w:rPr>
      <w:rFonts w:ascii="Times New Roman" w:eastAsia="Times New Roman" w:hAnsi="Times New Roman" w:cs="Times New Roman"/>
      <w:color w:val="FF0000"/>
    </w:rPr>
  </w:style>
  <w:style w:type="paragraph" w:customStyle="1" w:styleId="NormalArial">
    <w:name w:val="Normal + Arial"/>
    <w:basedOn w:val="Normal"/>
    <w:qFormat/>
    <w:pPr>
      <w:keepNext/>
      <w:keepLines/>
      <w:ind w:leftChars="300" w:left="600"/>
    </w:pPr>
    <w:rPr>
      <w:rFonts w:eastAsia="Times New Roman"/>
      <w:sz w:val="18"/>
      <w:szCs w:val="18"/>
    </w:rPr>
  </w:style>
  <w:style w:type="paragraph" w:customStyle="1" w:styleId="a">
    <w:name w:val="插图题注"/>
    <w:basedOn w:val="Normal"/>
    <w:qFormat/>
    <w:rPr>
      <w:rFonts w:ascii="Times New Roman" w:eastAsia="SimSun" w:hAnsi="Times New Roman" w:cs="Times New Roman"/>
    </w:rPr>
  </w:style>
  <w:style w:type="paragraph" w:customStyle="1" w:styleId="a0">
    <w:name w:val="表格题注"/>
    <w:basedOn w:val="Normal"/>
    <w:qFormat/>
    <w:rPr>
      <w:rFonts w:ascii="Times New Roman" w:eastAsia="SimSun"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Normal"/>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0">
    <w:name w:val="网格型1"/>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rFonts w:asciiTheme="minorHAnsi" w:hAnsiTheme="minorHAnsi" w:cstheme="minorBidi"/>
      <w:b/>
      <w:kern w:val="2"/>
      <w:sz w:val="21"/>
      <w:szCs w:val="22"/>
      <w:lang w:val="en-US"/>
    </w:rPr>
  </w:style>
  <w:style w:type="paragraph" w:customStyle="1" w:styleId="Doc-title">
    <w:name w:val="Doc-title"/>
    <w:basedOn w:val="Normal"/>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Jonas Sedin</cp:lastModifiedBy>
  <cp:revision>2</cp:revision>
  <cp:lastPrinted>2008-01-31T08:09:00Z</cp:lastPrinted>
  <dcterms:created xsi:type="dcterms:W3CDTF">2024-08-22T13:39:00Z</dcterms:created>
  <dcterms:modified xsi:type="dcterms:W3CDTF">2024-08-22T13:39:00Z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