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 xml:space="preserve">for </w:t>
      </w:r>
      <w:proofErr w:type="spellStart"/>
      <w:r>
        <w:rPr>
          <w:rFonts w:ascii="Arial" w:hAnsi="Arial" w:cs="Arial"/>
          <w:sz w:val="16"/>
          <w:szCs w:val="16"/>
        </w:rPr>
        <w:t>RedCap</w:t>
      </w:r>
      <w:proofErr w:type="spellEnd"/>
      <w:r w:rsidR="00CE1DEF">
        <w:rPr>
          <w:rFonts w:ascii="Arial" w:hAnsi="Arial" w:cs="Arial"/>
          <w:sz w:val="16"/>
          <w:szCs w:val="16"/>
        </w:rPr>
        <w:t xml:space="preserve">, </w:t>
      </w:r>
      <w:proofErr w:type="spellStart"/>
      <w:r>
        <w:rPr>
          <w:rFonts w:ascii="Arial" w:hAnsi="Arial" w:cs="Arial"/>
          <w:sz w:val="16"/>
          <w:szCs w:val="16"/>
        </w:rPr>
        <w:t>eRedCap</w:t>
      </w:r>
      <w:proofErr w:type="spellEnd"/>
      <w:r w:rsidR="00CE1DEF">
        <w:rPr>
          <w:rFonts w:ascii="Arial" w:hAnsi="Arial" w:cs="Arial"/>
          <w:sz w:val="16"/>
          <w:szCs w:val="16"/>
        </w:rPr>
        <w:t xml:space="preserve"> and 2RX XR UEs. Based on the online discussion and guidance from the chair on 2 set of CRs ( one set with magic sentence in 38.331, and another for R18 </w:t>
      </w:r>
      <w:proofErr w:type="spellStart"/>
      <w:r w:rsidR="00CE1DEF">
        <w:rPr>
          <w:rFonts w:ascii="Arial" w:hAnsi="Arial" w:cs="Arial"/>
          <w:sz w:val="16"/>
          <w:szCs w:val="16"/>
        </w:rPr>
        <w:t>eRedCap</w:t>
      </w:r>
      <w:proofErr w:type="spellEnd"/>
      <w:r w:rsidR="00CE1DEF">
        <w:rPr>
          <w:rFonts w:ascii="Arial" w:hAnsi="Arial" w:cs="Arial"/>
          <w:sz w:val="16"/>
          <w:szCs w:val="16"/>
        </w:rPr>
        <w:t xml:space="preserve">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000000"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5DEB0BBB" w14:textId="77777777" w:rsidR="00CE1DEF" w:rsidRPr="00816F53" w:rsidRDefault="00CE1DEF" w:rsidP="00CE1DEF">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1D2DE020" w14:textId="77777777" w:rsidR="00CE1DEF" w:rsidRPr="00816F53" w:rsidRDefault="00CE1DEF" w:rsidP="00CE1DEF">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5EACE91E" w14:textId="77777777" w:rsidR="00CE1DEF" w:rsidRDefault="00CE1DEF" w:rsidP="00CE1DEF">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r>
      <w:proofErr w:type="spellStart"/>
      <w:r>
        <w:t>TMobile</w:t>
      </w:r>
      <w:proofErr w:type="spellEnd"/>
      <w:r>
        <w:t xml:space="preserv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w:t>
      </w:r>
      <w:proofErr w:type="spellStart"/>
      <w:r>
        <w:t>behavior</w:t>
      </w:r>
      <w:proofErr w:type="spellEnd"/>
      <w:r>
        <w:t xml:space="preserve">.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 xml:space="preserve">Vodafone and </w:t>
      </w:r>
      <w:proofErr w:type="spellStart"/>
      <w:r>
        <w:t>Fraunhaufer</w:t>
      </w:r>
      <w:proofErr w:type="spellEnd"/>
      <w:r>
        <w:t xml:space="preserve"> thinks that it would be a fundamental change.   Qualcomm thinks that this use case is not strong </w:t>
      </w:r>
      <w:proofErr w:type="spellStart"/>
      <w:r>
        <w:t>engouht</w:t>
      </w:r>
      <w:proofErr w:type="spellEnd"/>
      <w:r>
        <w: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 xml:space="preserve">Working assumption:  NES (i.e. </w:t>
      </w:r>
      <w:proofErr w:type="spellStart"/>
      <w:r>
        <w:t>ingoring</w:t>
      </w:r>
      <w:proofErr w:type="spellEnd"/>
      <w:r>
        <w:t xml:space="preserve">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w:t>
      </w:r>
      <w:proofErr w:type="spellStart"/>
      <w:r>
        <w:t>RedCap</w:t>
      </w:r>
      <w:proofErr w:type="spellEnd"/>
      <w:r>
        <w:t xml:space="preserve">, </w:t>
      </w:r>
      <w:proofErr w:type="spellStart"/>
      <w:r>
        <w:t>eRedCap</w:t>
      </w:r>
      <w:proofErr w:type="spellEnd"/>
      <w:r>
        <w:t xml:space="preserve">,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w:t>
      </w:r>
      <w:proofErr w:type="spellStart"/>
      <w:r>
        <w:rPr>
          <w:rFonts w:ascii="Arial" w:hAnsi="Arial" w:cs="Arial"/>
          <w:sz w:val="16"/>
          <w:szCs w:val="16"/>
        </w:rPr>
        <w:t>RedCap</w:t>
      </w:r>
      <w:proofErr w:type="spellEnd"/>
      <w:r>
        <w:rPr>
          <w:rFonts w:ascii="Arial" w:hAnsi="Arial" w:cs="Arial"/>
          <w:sz w:val="16"/>
          <w:szCs w:val="16"/>
        </w:rPr>
        <w:t xml:space="preserve"> UEs to use this CR, while [3] introduced R18 specific changes that allow </w:t>
      </w:r>
      <w:proofErr w:type="spellStart"/>
      <w:r>
        <w:rPr>
          <w:rFonts w:ascii="Arial" w:hAnsi="Arial" w:cs="Arial"/>
          <w:sz w:val="16"/>
          <w:szCs w:val="16"/>
        </w:rPr>
        <w:t>eRedCap</w:t>
      </w:r>
      <w:proofErr w:type="spellEnd"/>
      <w:r>
        <w:rPr>
          <w:rFonts w:ascii="Arial" w:hAnsi="Arial" w:cs="Arial"/>
          <w:sz w:val="16"/>
          <w:szCs w:val="16"/>
        </w:rPr>
        <w:t xml:space="preserve">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 xml:space="preserve">The coversheets attempt to reflect this as well. In [1], the moderator was not quite sure how to describe the coversheet and field descriptions, so that R17 UEs can take the CR without mentioning </w:t>
      </w:r>
      <w:proofErr w:type="spellStart"/>
      <w:r>
        <w:rPr>
          <w:rFonts w:ascii="Arial" w:hAnsi="Arial" w:cs="Arial"/>
          <w:sz w:val="16"/>
          <w:szCs w:val="16"/>
        </w:rPr>
        <w:t>eRedCap</w:t>
      </w:r>
      <w:proofErr w:type="spellEnd"/>
      <w:r>
        <w:rPr>
          <w:rFonts w:ascii="Arial" w:hAnsi="Arial" w:cs="Arial"/>
          <w:sz w:val="16"/>
          <w:szCs w:val="16"/>
        </w:rPr>
        <w:t xml:space="preserve">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22DBAF00" w14:textId="2373B315"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proofErr w:type="spellStart"/>
            <w:r w:rsidRPr="001560F0">
              <w:t>barringExemptRx</w:t>
            </w:r>
            <w:proofErr w:type="spellEnd"/>
            <w:r w:rsidRPr="001560F0">
              <w:t>-Branch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7871B37A" w14:textId="5875D15E" w:rsidR="005270EE" w:rsidRDefault="005270EE" w:rsidP="005270EE">
            <w:pPr>
              <w:spacing w:after="0"/>
            </w:pPr>
            <w:r>
              <w:rPr>
                <w:szCs w:val="22"/>
              </w:rPr>
              <w:t>I think this should not be limited just to “IMS emergency bearer” but also for CSFB case. We should allow the UE to initiate EM Call establishment – no matter if the EM call will be served using IMS bearer or CSFB in the end.</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proofErr w:type="spellStart"/>
            <w:r w:rsidRPr="001D3D61">
              <w:rPr>
                <w:i/>
                <w:iCs/>
              </w:rPr>
              <w:t>barringExemptR</w:t>
            </w:r>
            <w:r>
              <w:rPr>
                <w:i/>
                <w:iCs/>
              </w:rPr>
              <w:t>X</w:t>
            </w:r>
            <w:proofErr w:type="spellEnd"/>
            <w:r>
              <w:rPr>
                <w:i/>
                <w:iCs/>
              </w:rPr>
              <w:t>-Branch</w:t>
            </w:r>
            <w:r>
              <w:t xml:space="preserve"> is set to “true”” to be changed to “</w:t>
            </w:r>
            <w:proofErr w:type="spellStart"/>
            <w:r w:rsidRPr="001D3D61">
              <w:rPr>
                <w:i/>
                <w:iCs/>
              </w:rPr>
              <w:t>barringExemptR</w:t>
            </w:r>
            <w:r>
              <w:rPr>
                <w:i/>
                <w:iCs/>
              </w:rPr>
              <w:t>X</w:t>
            </w:r>
            <w:proofErr w:type="spellEnd"/>
            <w:r>
              <w:rPr>
                <w:i/>
                <w:iCs/>
              </w:rPr>
              <w:t>-Branch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proofErr w:type="spellStart"/>
            <w:r w:rsidRPr="001D3D61">
              <w:rPr>
                <w:i/>
                <w:iCs/>
              </w:rPr>
              <w:t>barringExemptR</w:t>
            </w:r>
            <w:r>
              <w:rPr>
                <w:i/>
                <w:iCs/>
              </w:rPr>
              <w:t>X</w:t>
            </w:r>
            <w:proofErr w:type="spellEnd"/>
            <w:r>
              <w:rPr>
                <w:i/>
                <w:iCs/>
              </w:rPr>
              <w:t>-Branch</w:t>
            </w:r>
            <w:r>
              <w:t>” assuming if this could be useful in future to other features. Otherwise, the naming can become a notional hurdle.</w:t>
            </w:r>
          </w:p>
        </w:tc>
      </w:tr>
      <w:tr w:rsidR="00793EFC" w14:paraId="615C27A9" w14:textId="77777777" w:rsidTr="00B81324">
        <w:tc>
          <w:tcPr>
            <w:tcW w:w="7139" w:type="dxa"/>
          </w:tcPr>
          <w:p w14:paraId="4630DA3A" w14:textId="3959338D" w:rsidR="000046C8" w:rsidRDefault="000046C8" w:rsidP="000046C8">
            <w:pPr>
              <w:spacing w:after="0"/>
            </w:pPr>
            <w:r>
              <w:t>BT</w:t>
            </w:r>
            <w:r>
              <w:tab/>
            </w:r>
          </w:p>
          <w:p w14:paraId="5823FD86" w14:textId="6E8944B2" w:rsidR="00793EFC" w:rsidRDefault="00793EFC" w:rsidP="000046C8">
            <w:pPr>
              <w:spacing w:after="0"/>
            </w:pPr>
          </w:p>
        </w:tc>
        <w:tc>
          <w:tcPr>
            <w:tcW w:w="7139" w:type="dxa"/>
          </w:tcPr>
          <w:p w14:paraId="5799A41C" w14:textId="77777777" w:rsidR="00541223" w:rsidRDefault="00304827" w:rsidP="000046C8">
            <w:pPr>
              <w:spacing w:after="0"/>
            </w:pPr>
            <w:r>
              <w:t>Same option as Lenovo on naming.</w:t>
            </w:r>
          </w:p>
          <w:p w14:paraId="0C3D67ED" w14:textId="77777777" w:rsidR="00541223" w:rsidRDefault="00541223" w:rsidP="000046C8">
            <w:pPr>
              <w:spacing w:after="0"/>
            </w:pPr>
          </w:p>
          <w:p w14:paraId="6F3CDE49" w14:textId="3C39B0B8" w:rsidR="000046C8" w:rsidRDefault="000046C8" w:rsidP="000046C8">
            <w:pPr>
              <w:spacing w:after="0"/>
            </w:pPr>
            <w:r>
              <w:t>We have concerns with this barringExemptRX-Branch-r18 naming in 331. Currently, excluding NES is a working assumption.</w:t>
            </w:r>
          </w:p>
          <w:p w14:paraId="77C1D02C" w14:textId="3805C623" w:rsidR="00793EFC" w:rsidRDefault="000046C8" w:rsidP="000046C8">
            <w:pPr>
              <w:spacing w:after="0"/>
            </w:pPr>
            <w:r>
              <w:t>For a better understanding, we prefer a self-explanatory name. We propose allowedEmergencyCallException-r18.</w:t>
            </w:r>
          </w:p>
        </w:tc>
      </w:tr>
      <w:tr w:rsidR="00197680" w14:paraId="5951EA39" w14:textId="77777777" w:rsidTr="00B81324">
        <w:tc>
          <w:tcPr>
            <w:tcW w:w="7139" w:type="dxa"/>
          </w:tcPr>
          <w:p w14:paraId="1C2D6344" w14:textId="09D16481" w:rsidR="00197680" w:rsidRDefault="00197680" w:rsidP="000046C8">
            <w:pPr>
              <w:spacing w:after="0"/>
            </w:pPr>
            <w:r>
              <w:t xml:space="preserve">BT </w:t>
            </w:r>
            <w:r w:rsidR="002D194A">
              <w:t>- 304</w:t>
            </w:r>
          </w:p>
        </w:tc>
        <w:tc>
          <w:tcPr>
            <w:tcW w:w="7139" w:type="dxa"/>
          </w:tcPr>
          <w:p w14:paraId="53D56AC6" w14:textId="77777777" w:rsidR="0040478D" w:rsidRDefault="002D194A" w:rsidP="000046C8">
            <w:pPr>
              <w:spacing w:after="0"/>
            </w:pPr>
            <w:r>
              <w:t>Agree with Lenovo</w:t>
            </w:r>
            <w:r w:rsidR="0040478D">
              <w:t>.</w:t>
            </w:r>
          </w:p>
          <w:p w14:paraId="1445EAEB" w14:textId="1277A7C2" w:rsidR="00197680" w:rsidRDefault="0040478D" w:rsidP="000046C8">
            <w:pPr>
              <w:spacing w:after="0"/>
            </w:pPr>
            <w:r>
              <w:t>We want to make clear that the absence o</w:t>
            </w:r>
            <w:r w:rsidR="00D04767">
              <w:t>f the</w:t>
            </w:r>
            <w:r>
              <w:t xml:space="preserve"> new bit</w:t>
            </w:r>
            <w:r w:rsidR="004A1176">
              <w:t xml:space="preserve"> to</w:t>
            </w:r>
            <w:r>
              <w:t xml:space="preserve"> allow emergency calls means </w:t>
            </w:r>
            <w:r w:rsidR="004A1176">
              <w:t xml:space="preserve">that the UE should </w:t>
            </w:r>
            <w:r w:rsidR="00F50C85">
              <w:t>follow legacy behaviour.</w:t>
            </w:r>
            <w:r w:rsidR="002D194A">
              <w:t xml:space="preserve"> </w:t>
            </w:r>
          </w:p>
        </w:tc>
      </w:tr>
      <w:tr w:rsidR="009B6E5F" w14:paraId="240B22C5" w14:textId="77777777" w:rsidTr="00B81324">
        <w:tc>
          <w:tcPr>
            <w:tcW w:w="7139" w:type="dxa"/>
          </w:tcPr>
          <w:p w14:paraId="6013E367" w14:textId="22734A7F" w:rsidR="009B6E5F" w:rsidRDefault="009B6E5F" w:rsidP="000046C8">
            <w:pPr>
              <w:spacing w:after="0"/>
              <w:rPr>
                <w:rFonts w:hint="eastAsia"/>
                <w:lang w:eastAsia="ja-JP"/>
              </w:rPr>
            </w:pPr>
            <w:r>
              <w:rPr>
                <w:rFonts w:hint="eastAsia"/>
                <w:lang w:eastAsia="ja-JP"/>
              </w:rPr>
              <w:t>QC</w:t>
            </w:r>
          </w:p>
        </w:tc>
        <w:tc>
          <w:tcPr>
            <w:tcW w:w="7139" w:type="dxa"/>
          </w:tcPr>
          <w:p w14:paraId="74938541" w14:textId="77777777" w:rsidR="009B6E5F" w:rsidRDefault="009B6E5F" w:rsidP="000046C8">
            <w:pPr>
              <w:spacing w:after="0"/>
              <w:rPr>
                <w:lang w:eastAsia="ja-JP"/>
              </w:rPr>
            </w:pPr>
            <w:r>
              <w:rPr>
                <w:rFonts w:hint="eastAsia"/>
                <w:lang w:eastAsia="ja-JP"/>
              </w:rPr>
              <w:t>Can the rapporteur clarify what happened to BT</w:t>
            </w:r>
            <w:r>
              <w:rPr>
                <w:lang w:eastAsia="ja-JP"/>
              </w:rPr>
              <w:t>’</w:t>
            </w:r>
            <w:r>
              <w:rPr>
                <w:rFonts w:hint="eastAsia"/>
                <w:lang w:eastAsia="ja-JP"/>
              </w:rPr>
              <w:t xml:space="preserve">s request to address the case where the network only supports 2Rx operation of </w:t>
            </w:r>
            <w:proofErr w:type="spellStart"/>
            <w:r>
              <w:rPr>
                <w:rFonts w:hint="eastAsia"/>
                <w:lang w:eastAsia="ja-JP"/>
              </w:rPr>
              <w:t>RedCap</w:t>
            </w:r>
            <w:proofErr w:type="spellEnd"/>
            <w:r>
              <w:rPr>
                <w:rFonts w:hint="eastAsia"/>
                <w:lang w:eastAsia="ja-JP"/>
              </w:rPr>
              <w:t>?</w:t>
            </w:r>
          </w:p>
          <w:p w14:paraId="7BE93778" w14:textId="77777777" w:rsidR="009B6E5F" w:rsidRDefault="009B6E5F" w:rsidP="000046C8">
            <w:pPr>
              <w:spacing w:after="0"/>
              <w:rPr>
                <w:lang w:eastAsia="ja-JP"/>
              </w:rPr>
            </w:pPr>
          </w:p>
          <w:p w14:paraId="15D35B25" w14:textId="2649A299" w:rsidR="009B6E5F" w:rsidRDefault="009B6E5F" w:rsidP="000046C8">
            <w:pPr>
              <w:spacing w:after="0"/>
              <w:rPr>
                <w:rFonts w:hint="eastAsia"/>
                <w:lang w:eastAsia="ja-JP"/>
              </w:rPr>
            </w:pPr>
            <w:r>
              <w:rPr>
                <w:rFonts w:hint="eastAsia"/>
                <w:lang w:eastAsia="ja-JP"/>
              </w:rPr>
              <w:lastRenderedPageBreak/>
              <w:t xml:space="preserve">In this case, the barring </w:t>
            </w:r>
            <w:r w:rsidRPr="009B6E5F">
              <w:rPr>
                <w:lang w:eastAsia="ja-JP"/>
              </w:rPr>
              <w:t>cellBarredRedCap1Rx-r17</w:t>
            </w:r>
            <w:r>
              <w:rPr>
                <w:rFonts w:hint="eastAsia"/>
                <w:lang w:eastAsia="ja-JP"/>
              </w:rPr>
              <w:t xml:space="preserve"> is set to barred for normal services and emergency calls, and </w:t>
            </w:r>
            <w:r w:rsidRPr="00FF4867" w:rsidDel="00F42815">
              <w:t>cellBarredRedCap</w:t>
            </w:r>
            <w:r>
              <w:rPr>
                <w:rFonts w:hint="eastAsia"/>
                <w:lang w:eastAsia="ja-JP"/>
              </w:rPr>
              <w:t>2</w:t>
            </w:r>
            <w:r w:rsidRPr="00FF4867" w:rsidDel="00F42815">
              <w:t>Rx-r17</w:t>
            </w:r>
            <w:r>
              <w:rPr>
                <w:rFonts w:hint="eastAsia"/>
                <w:lang w:eastAsia="ja-JP"/>
              </w:rPr>
              <w:t xml:space="preserve"> is set to barred for normal service only.</w:t>
            </w:r>
          </w:p>
          <w:p w14:paraId="3A22CB27" w14:textId="77777777" w:rsidR="009B6E5F" w:rsidRDefault="009B6E5F" w:rsidP="000046C8">
            <w:pPr>
              <w:spacing w:after="0"/>
              <w:rPr>
                <w:lang w:eastAsia="ja-JP"/>
              </w:rPr>
            </w:pPr>
          </w:p>
          <w:p w14:paraId="63D87008" w14:textId="77777777" w:rsidR="009B6E5F" w:rsidRPr="00FF4867" w:rsidDel="00F42815" w:rsidRDefault="009B6E5F" w:rsidP="009B6E5F">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014ECD15" w14:textId="77777777" w:rsidR="009B6E5F" w:rsidRPr="00FF4867" w:rsidDel="00F42815" w:rsidRDefault="009B6E5F" w:rsidP="009B6E5F">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471E60DE" w14:textId="77777777" w:rsidR="009B6E5F" w:rsidRPr="00FF4867" w:rsidDel="00F42815" w:rsidRDefault="009B6E5F" w:rsidP="009B6E5F">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7376EE00" w14:textId="470A317F" w:rsidR="009B6E5F" w:rsidRPr="00FF4867" w:rsidDel="00F42815" w:rsidRDefault="009B6E5F" w:rsidP="009B6E5F">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7A7B285E" w14:textId="77777777" w:rsidR="009B6E5F" w:rsidRDefault="009B6E5F" w:rsidP="000046C8">
            <w:pPr>
              <w:spacing w:after="0"/>
              <w:rPr>
                <w:lang w:eastAsia="ja-JP"/>
              </w:rPr>
            </w:pPr>
          </w:p>
          <w:p w14:paraId="30D30CEE" w14:textId="77777777" w:rsidR="009B6E5F" w:rsidRDefault="009B6E5F" w:rsidP="000046C8">
            <w:pPr>
              <w:spacing w:after="0"/>
              <w:rPr>
                <w:lang w:eastAsia="ja-JP"/>
              </w:rPr>
            </w:pPr>
            <w:r>
              <w:rPr>
                <w:rFonts w:hint="eastAsia"/>
                <w:lang w:eastAsia="ja-JP"/>
              </w:rPr>
              <w:t xml:space="preserve">How can the solution on the table allow emergency call only for 2Rx </w:t>
            </w:r>
            <w:proofErr w:type="spellStart"/>
            <w:r>
              <w:rPr>
                <w:rFonts w:hint="eastAsia"/>
                <w:lang w:eastAsia="ja-JP"/>
              </w:rPr>
              <w:t>RedCap</w:t>
            </w:r>
            <w:proofErr w:type="spellEnd"/>
            <w:r>
              <w:rPr>
                <w:rFonts w:hint="eastAsia"/>
                <w:lang w:eastAsia="ja-JP"/>
              </w:rPr>
              <w:t xml:space="preserve"> UEs?</w:t>
            </w:r>
          </w:p>
          <w:p w14:paraId="7607CB32" w14:textId="7AF80631" w:rsidR="009B6E5F" w:rsidRDefault="009B6E5F" w:rsidP="000046C8">
            <w:pPr>
              <w:spacing w:after="0"/>
              <w:rPr>
                <w:rFonts w:hint="eastAsia"/>
                <w:lang w:eastAsia="ja-JP"/>
              </w:rPr>
            </w:pP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 xml:space="preserve">304    ( 38.304 CR which can be used by R17 </w:t>
      </w:r>
      <w:proofErr w:type="spellStart"/>
      <w:r>
        <w:t>RedCap</w:t>
      </w:r>
      <w:proofErr w:type="spellEnd"/>
      <w:r>
        <w:t xml:space="preserve">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BD66FD">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B318" w14:textId="77777777" w:rsidR="00064D4C" w:rsidRDefault="00064D4C">
      <w:r>
        <w:separator/>
      </w:r>
    </w:p>
  </w:endnote>
  <w:endnote w:type="continuationSeparator" w:id="0">
    <w:p w14:paraId="238208F2" w14:textId="77777777" w:rsidR="00064D4C" w:rsidRDefault="00064D4C">
      <w:r>
        <w:continuationSeparator/>
      </w:r>
    </w:p>
  </w:endnote>
  <w:endnote w:type="continuationNotice" w:id="1">
    <w:p w14:paraId="19BDCEEF" w14:textId="77777777" w:rsidR="00064D4C" w:rsidRDefault="00064D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26A9" w14:textId="77777777" w:rsidR="00064D4C" w:rsidRDefault="00064D4C">
      <w:r>
        <w:separator/>
      </w:r>
    </w:p>
  </w:footnote>
  <w:footnote w:type="continuationSeparator" w:id="0">
    <w:p w14:paraId="78D6007A" w14:textId="77777777" w:rsidR="00064D4C" w:rsidRDefault="00064D4C">
      <w:r>
        <w:continuationSeparator/>
      </w:r>
    </w:p>
  </w:footnote>
  <w:footnote w:type="continuationNotice" w:id="1">
    <w:p w14:paraId="79959E97" w14:textId="77777777" w:rsidR="00064D4C" w:rsidRDefault="00064D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3"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6"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5794471">
    <w:abstractNumId w:val="34"/>
  </w:num>
  <w:num w:numId="2" w16cid:durableId="1004866684">
    <w:abstractNumId w:val="35"/>
  </w:num>
  <w:num w:numId="3" w16cid:durableId="430466873">
    <w:abstractNumId w:val="38"/>
  </w:num>
  <w:num w:numId="4" w16cid:durableId="2056074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959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559852">
    <w:abstractNumId w:val="22"/>
  </w:num>
  <w:num w:numId="7" w16cid:durableId="470247585">
    <w:abstractNumId w:val="39"/>
  </w:num>
  <w:num w:numId="8" w16cid:durableId="1442729051">
    <w:abstractNumId w:val="30"/>
  </w:num>
  <w:num w:numId="9" w16cid:durableId="436608047">
    <w:abstractNumId w:val="11"/>
  </w:num>
  <w:num w:numId="10" w16cid:durableId="1957253559">
    <w:abstractNumId w:val="20"/>
  </w:num>
  <w:num w:numId="11" w16cid:durableId="100030733">
    <w:abstractNumId w:val="9"/>
  </w:num>
  <w:num w:numId="12" w16cid:durableId="179439404">
    <w:abstractNumId w:val="34"/>
  </w:num>
  <w:num w:numId="13" w16cid:durableId="1029724725">
    <w:abstractNumId w:val="33"/>
  </w:num>
  <w:num w:numId="14" w16cid:durableId="1516073630">
    <w:abstractNumId w:val="10"/>
  </w:num>
  <w:num w:numId="15" w16cid:durableId="873882042">
    <w:abstractNumId w:val="3"/>
  </w:num>
  <w:num w:numId="16" w16cid:durableId="1095638940">
    <w:abstractNumId w:val="5"/>
  </w:num>
  <w:num w:numId="17" w16cid:durableId="232858086">
    <w:abstractNumId w:val="24"/>
  </w:num>
  <w:num w:numId="18" w16cid:durableId="177934664">
    <w:abstractNumId w:val="19"/>
  </w:num>
  <w:num w:numId="19" w16cid:durableId="1859734325">
    <w:abstractNumId w:val="27"/>
  </w:num>
  <w:num w:numId="20" w16cid:durableId="307128064">
    <w:abstractNumId w:val="4"/>
  </w:num>
  <w:num w:numId="21" w16cid:durableId="975531970">
    <w:abstractNumId w:val="29"/>
  </w:num>
  <w:num w:numId="22" w16cid:durableId="1555628169">
    <w:abstractNumId w:val="17"/>
  </w:num>
  <w:num w:numId="23" w16cid:durableId="559830166">
    <w:abstractNumId w:val="8"/>
  </w:num>
  <w:num w:numId="24" w16cid:durableId="244413526">
    <w:abstractNumId w:val="16"/>
  </w:num>
  <w:num w:numId="25" w16cid:durableId="331448227">
    <w:abstractNumId w:val="13"/>
  </w:num>
  <w:num w:numId="26" w16cid:durableId="501890751">
    <w:abstractNumId w:val="40"/>
  </w:num>
  <w:num w:numId="27" w16cid:durableId="228880895">
    <w:abstractNumId w:val="42"/>
  </w:num>
  <w:num w:numId="28" w16cid:durableId="424227030">
    <w:abstractNumId w:val="21"/>
  </w:num>
  <w:num w:numId="29" w16cid:durableId="1786849372">
    <w:abstractNumId w:val="31"/>
  </w:num>
  <w:num w:numId="30" w16cid:durableId="2026324877">
    <w:abstractNumId w:val="32"/>
  </w:num>
  <w:num w:numId="31" w16cid:durableId="1008170280">
    <w:abstractNumId w:val="28"/>
  </w:num>
  <w:num w:numId="32" w16cid:durableId="550926648">
    <w:abstractNumId w:val="44"/>
  </w:num>
  <w:num w:numId="33" w16cid:durableId="1109590086">
    <w:abstractNumId w:val="1"/>
  </w:num>
  <w:num w:numId="34" w16cid:durableId="529536675">
    <w:abstractNumId w:val="15"/>
  </w:num>
  <w:num w:numId="35" w16cid:durableId="2111003361">
    <w:abstractNumId w:val="36"/>
  </w:num>
  <w:num w:numId="36" w16cid:durableId="1734500332">
    <w:abstractNumId w:val="6"/>
  </w:num>
  <w:num w:numId="37" w16cid:durableId="1990943120">
    <w:abstractNumId w:val="2"/>
  </w:num>
  <w:num w:numId="38" w16cid:durableId="1508448112">
    <w:abstractNumId w:val="25"/>
  </w:num>
  <w:num w:numId="39" w16cid:durableId="688944922">
    <w:abstractNumId w:val="0"/>
  </w:num>
  <w:num w:numId="40" w16cid:durableId="1684430870">
    <w:abstractNumId w:val="23"/>
  </w:num>
  <w:num w:numId="41" w16cid:durableId="102380244">
    <w:abstractNumId w:val="12"/>
  </w:num>
  <w:num w:numId="42" w16cid:durableId="1604336890">
    <w:abstractNumId w:val="41"/>
  </w:num>
  <w:num w:numId="43" w16cid:durableId="66996364">
    <w:abstractNumId w:val="37"/>
  </w:num>
  <w:num w:numId="44" w16cid:durableId="16081633">
    <w:abstractNumId w:val="7"/>
  </w:num>
  <w:num w:numId="45" w16cid:durableId="2013026014">
    <w:abstractNumId w:val="14"/>
  </w:num>
  <w:num w:numId="46" w16cid:durableId="214126900">
    <w:abstractNumId w:val="26"/>
  </w:num>
  <w:num w:numId="47" w16cid:durableId="1041321801">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6C8"/>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4D4C"/>
    <w:rsid w:val="00065268"/>
    <w:rsid w:val="00073C9C"/>
    <w:rsid w:val="00076412"/>
    <w:rsid w:val="00077F19"/>
    <w:rsid w:val="00080512"/>
    <w:rsid w:val="000806AB"/>
    <w:rsid w:val="000828D0"/>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41A0"/>
    <w:rsid w:val="00175FA0"/>
    <w:rsid w:val="00180FB0"/>
    <w:rsid w:val="00184302"/>
    <w:rsid w:val="00184662"/>
    <w:rsid w:val="0018565E"/>
    <w:rsid w:val="00186B39"/>
    <w:rsid w:val="00190879"/>
    <w:rsid w:val="00194CD0"/>
    <w:rsid w:val="0019768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161A8"/>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194A"/>
    <w:rsid w:val="002D244B"/>
    <w:rsid w:val="002D75C3"/>
    <w:rsid w:val="002F0D22"/>
    <w:rsid w:val="002F6A0A"/>
    <w:rsid w:val="002F71E1"/>
    <w:rsid w:val="002F736C"/>
    <w:rsid w:val="00304827"/>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478D"/>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DA1"/>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176"/>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6C28"/>
    <w:rsid w:val="005159F2"/>
    <w:rsid w:val="00515B4B"/>
    <w:rsid w:val="005173ED"/>
    <w:rsid w:val="00525944"/>
    <w:rsid w:val="005270EE"/>
    <w:rsid w:val="00527278"/>
    <w:rsid w:val="00530354"/>
    <w:rsid w:val="00530B19"/>
    <w:rsid w:val="00534DA0"/>
    <w:rsid w:val="005400D6"/>
    <w:rsid w:val="00540F1A"/>
    <w:rsid w:val="00541223"/>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3EFC"/>
    <w:rsid w:val="007947A4"/>
    <w:rsid w:val="0079620E"/>
    <w:rsid w:val="00796823"/>
    <w:rsid w:val="007A1B53"/>
    <w:rsid w:val="007A2E55"/>
    <w:rsid w:val="007A47DF"/>
    <w:rsid w:val="007A5E9E"/>
    <w:rsid w:val="007A79C7"/>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B6E5F"/>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4767"/>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0C85"/>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0FF5396"/>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7C435D"/>
    <w:rPr>
      <w:rFonts w:ascii="Arial" w:eastAsia="ＭＳ 明朝"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ＭＳ 明朝" w:hAnsi="Arial"/>
      <w:b/>
      <w:szCs w:val="24"/>
      <w:lang w:eastAsia="en-GB"/>
    </w:rPr>
  </w:style>
  <w:style w:type="character" w:customStyle="1" w:styleId="EmailDiscussionChar">
    <w:name w:val="EmailDiscussion Char"/>
    <w:link w:val="EmailDiscussion"/>
    <w:qFormat/>
    <w:rsid w:val="007C435D"/>
    <w:rPr>
      <w:rFonts w:ascii="Arial" w:eastAsia="ＭＳ 明朝" w:hAnsi="Arial"/>
      <w:b/>
      <w:szCs w:val="24"/>
    </w:rPr>
  </w:style>
  <w:style w:type="paragraph" w:customStyle="1" w:styleId="EmailDiscussion2">
    <w:name w:val="EmailDiscussion2"/>
    <w:basedOn w:val="Doc-text2"/>
    <w:qFormat/>
    <w:rsid w:val="007C435D"/>
    <w:pPr>
      <w:overflowPunct/>
      <w:autoSpaceDE/>
      <w:autoSpaceDN/>
      <w:adjustRightInd/>
    </w:pPr>
    <w:rPr>
      <w:rFonts w:eastAsia="ＭＳ 明朝" w:cs="Times New Roman"/>
      <w:szCs w:val="24"/>
      <w:lang w:eastAsia="en-GB"/>
    </w:rPr>
  </w:style>
  <w:style w:type="character" w:customStyle="1" w:styleId="PLChar">
    <w:name w:val="PL Char"/>
    <w:link w:val="PL"/>
    <w:qFormat/>
    <w:rsid w:val="009B6E5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DE96E9C3-D8B5-44A3-8DBC-94A82CCC91A6}">
  <ds:schemaRefs>
    <ds:schemaRef ds:uri="http://schemas.openxmlformats.org/officeDocument/2006/bibliography"/>
  </ds:schemaRefs>
</ds:datastoreItem>
</file>

<file path=customXml/itemProps4.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1304</Words>
  <Characters>7437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8724</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QC(MK)</cp:lastModifiedBy>
  <cp:revision>3</cp:revision>
  <dcterms:created xsi:type="dcterms:W3CDTF">2024-05-21T07:22:00Z</dcterms:created>
  <dcterms:modified xsi:type="dcterms:W3CDTF">2024-05-21T07:32:00Z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y fmtid="{D5CDD505-2E9C-101B-9397-08002B2CF9AE}" pid="12" name="MSIP_Label_55818d02-8d25-4bb9-b27c-e4db64670887_Enabled">
    <vt:lpwstr>true</vt:lpwstr>
  </property>
  <property fmtid="{D5CDD505-2E9C-101B-9397-08002B2CF9AE}" pid="13" name="MSIP_Label_55818d02-8d25-4bb9-b27c-e4db64670887_SetDate">
    <vt:lpwstr>2024-05-21T03:27:41Z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78c6b596-6c3a-4bea-a7f9-de1466098ea4</vt:lpwstr>
  </property>
  <property fmtid="{D5CDD505-2E9C-101B-9397-08002B2CF9AE}" pid="18" name="MSIP_Label_55818d02-8d25-4bb9-b27c-e4db64670887_ContentBits">
    <vt:lpwstr>0</vt:lpwstr>
  </property>
</Properties>
</file>