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302" w:rsidRDefault="008C2302" w:rsidP="008C2302">
      <w:pPr>
        <w:pStyle w:val="ad"/>
        <w:tabs>
          <w:tab w:val="right" w:pos="9645"/>
        </w:tabs>
        <w:spacing w:before="0" w:beforeAutospacing="0" w:after="0" w:afterAutospacing="0"/>
        <w:jc w:val="both"/>
        <w:rPr>
          <w:rFonts w:eastAsia="宋体"/>
          <w:b/>
          <w:szCs w:val="22"/>
          <w:lang w:eastAsia="zh-CN" w:bidi="ar"/>
        </w:rPr>
      </w:pPr>
      <w:r>
        <w:rPr>
          <w:rFonts w:eastAsia="宋体"/>
          <w:b/>
          <w:szCs w:val="22"/>
          <w:lang w:eastAsia="zh-CN" w:bidi="ar"/>
        </w:rPr>
        <w:t>3GPP TSG</w:t>
      </w:r>
      <w:r w:rsidR="001F0D5D">
        <w:rPr>
          <w:rFonts w:eastAsia="宋体"/>
          <w:b/>
          <w:szCs w:val="22"/>
          <w:lang w:eastAsia="zh-CN" w:bidi="ar"/>
        </w:rPr>
        <w:t>-RAN WG2 Meeting #128</w:t>
      </w:r>
      <w:r w:rsidR="000B20E4">
        <w:rPr>
          <w:rFonts w:eastAsia="宋体"/>
          <w:b/>
          <w:szCs w:val="22"/>
          <w:lang w:eastAsia="zh-CN" w:bidi="ar"/>
        </w:rPr>
        <w:tab/>
        <w:t>R2-2410771</w:t>
      </w:r>
    </w:p>
    <w:p w:rsidR="00521C86" w:rsidRDefault="001F0D5D">
      <w:pPr>
        <w:overflowPunct w:val="0"/>
        <w:autoSpaceDE w:val="0"/>
        <w:autoSpaceDN w:val="0"/>
        <w:adjustRightInd w:val="0"/>
        <w:snapToGrid w:val="0"/>
        <w:spacing w:beforeLines="50" w:before="120"/>
        <w:textAlignment w:val="baseline"/>
        <w:rPr>
          <w:rFonts w:eastAsia="宋体"/>
          <w:b/>
          <w:szCs w:val="22"/>
          <w:lang w:bidi="ar"/>
        </w:rPr>
      </w:pPr>
      <w:r w:rsidRPr="001F0D5D">
        <w:rPr>
          <w:rFonts w:eastAsia="宋体"/>
          <w:b/>
          <w:szCs w:val="22"/>
          <w:lang w:bidi="ar"/>
        </w:rPr>
        <w:t>Orlando, USA, Nov18th–22nd, 2024</w:t>
      </w:r>
    </w:p>
    <w:p w:rsidR="001F0D5D" w:rsidRPr="001F0D5D" w:rsidRDefault="001F0D5D">
      <w:pPr>
        <w:overflowPunct w:val="0"/>
        <w:autoSpaceDE w:val="0"/>
        <w:autoSpaceDN w:val="0"/>
        <w:adjustRightInd w:val="0"/>
        <w:snapToGrid w:val="0"/>
        <w:spacing w:beforeLines="50" w:before="120"/>
        <w:textAlignment w:val="baseline"/>
        <w:rPr>
          <w:rFonts w:eastAsia="宋体"/>
          <w:b/>
          <w:szCs w:val="22"/>
          <w:lang w:bidi="ar"/>
        </w:rPr>
      </w:pPr>
    </w:p>
    <w:p w:rsidR="00521C86" w:rsidRDefault="00466246">
      <w:pPr>
        <w:overflowPunct w:val="0"/>
        <w:autoSpaceDE w:val="0"/>
        <w:autoSpaceDN w:val="0"/>
        <w:adjustRightInd w:val="0"/>
        <w:snapToGrid w:val="0"/>
        <w:spacing w:beforeLines="50" w:before="120"/>
        <w:textAlignment w:val="baseline"/>
        <w:rPr>
          <w:rFonts w:ascii="Arial" w:eastAsia="宋体" w:hAnsi="Arial" w:cs="Arial"/>
          <w:b/>
          <w:szCs w:val="22"/>
          <w:lang w:bidi="ar"/>
        </w:rPr>
      </w:pPr>
      <w:r>
        <w:rPr>
          <w:rFonts w:ascii="Arial" w:eastAsia="宋体" w:hAnsi="Arial" w:cs="Arial"/>
          <w:b/>
          <w:szCs w:val="22"/>
          <w:lang w:bidi="ar"/>
        </w:rPr>
        <w:t xml:space="preserve">Source:       </w:t>
      </w:r>
      <w:r w:rsidR="00065F9F">
        <w:rPr>
          <w:rFonts w:ascii="Arial" w:eastAsia="宋体" w:hAnsi="Arial" w:cs="Arial"/>
          <w:b/>
          <w:szCs w:val="22"/>
          <w:lang w:bidi="ar"/>
        </w:rPr>
        <w:t xml:space="preserve"> </w:t>
      </w:r>
      <w:r>
        <w:rPr>
          <w:rFonts w:ascii="Arial" w:eastAsia="宋体" w:hAnsi="Arial" w:cs="Arial"/>
          <w:b/>
          <w:szCs w:val="22"/>
          <w:lang w:bidi="ar"/>
        </w:rPr>
        <w:t>ZTE Corporation</w:t>
      </w:r>
    </w:p>
    <w:p w:rsidR="00521C86" w:rsidRDefault="00466246" w:rsidP="00065F9F">
      <w:pPr>
        <w:ind w:left="1928" w:hangingChars="800" w:hanging="1928"/>
        <w:rPr>
          <w:rFonts w:ascii="Arial" w:eastAsia="宋体" w:hAnsi="Arial" w:cs="Arial"/>
          <w:b/>
          <w:szCs w:val="22"/>
          <w:lang w:bidi="ar"/>
        </w:rPr>
      </w:pPr>
      <w:r>
        <w:rPr>
          <w:rFonts w:ascii="Arial" w:eastAsia="宋体" w:hAnsi="Arial" w:cs="Arial"/>
          <w:b/>
          <w:szCs w:val="22"/>
          <w:lang w:bidi="ar"/>
        </w:rPr>
        <w:t xml:space="preserve">Title:          </w:t>
      </w:r>
      <w:r w:rsidR="000B20E4">
        <w:rPr>
          <w:rFonts w:ascii="Arial" w:eastAsia="宋体" w:hAnsi="Arial" w:cs="Arial"/>
          <w:b/>
          <w:szCs w:val="22"/>
          <w:lang w:bidi="ar"/>
        </w:rPr>
        <w:t xml:space="preserve"> </w:t>
      </w:r>
      <w:r w:rsidR="000B20E4" w:rsidRPr="000B20E4">
        <w:rPr>
          <w:rFonts w:ascii="Arial" w:eastAsia="宋体" w:hAnsi="Arial" w:cs="Arial"/>
          <w:b/>
          <w:szCs w:val="22"/>
          <w:lang w:bidi="ar"/>
        </w:rPr>
        <w:t>Consideration on the UEIBM for R19 MIMO</w:t>
      </w:r>
    </w:p>
    <w:p w:rsidR="00521C86" w:rsidRDefault="00466246">
      <w:pPr>
        <w:overflowPunct w:val="0"/>
        <w:autoSpaceDE w:val="0"/>
        <w:autoSpaceDN w:val="0"/>
        <w:adjustRightInd w:val="0"/>
        <w:snapToGrid w:val="0"/>
        <w:spacing w:beforeLines="50" w:before="120"/>
        <w:textAlignment w:val="baseline"/>
        <w:rPr>
          <w:rFonts w:ascii="Arial" w:eastAsia="宋体" w:hAnsi="Arial" w:cs="Arial"/>
          <w:b/>
          <w:szCs w:val="22"/>
          <w:lang w:bidi="ar"/>
        </w:rPr>
      </w:pPr>
      <w:r>
        <w:rPr>
          <w:rFonts w:ascii="Arial" w:eastAsia="宋体" w:hAnsi="Arial" w:cs="Arial"/>
          <w:b/>
          <w:szCs w:val="22"/>
          <w:lang w:bidi="ar"/>
        </w:rPr>
        <w:t>Agenda item:</w:t>
      </w:r>
      <w:bookmarkStart w:id="0" w:name="Source"/>
      <w:bookmarkEnd w:id="0"/>
      <w:r w:rsidR="00857EC3">
        <w:rPr>
          <w:rFonts w:ascii="Arial" w:eastAsia="宋体" w:hAnsi="Arial" w:cs="Arial"/>
          <w:b/>
          <w:szCs w:val="22"/>
          <w:lang w:bidi="ar"/>
        </w:rPr>
        <w:t xml:space="preserve">   8.12.2</w:t>
      </w:r>
    </w:p>
    <w:p w:rsidR="00521C86" w:rsidRDefault="00466246">
      <w:pPr>
        <w:overflowPunct w:val="0"/>
        <w:autoSpaceDE w:val="0"/>
        <w:autoSpaceDN w:val="0"/>
        <w:adjustRightInd w:val="0"/>
        <w:snapToGrid w:val="0"/>
        <w:spacing w:beforeLines="50" w:before="120"/>
        <w:textAlignment w:val="baseline"/>
        <w:rPr>
          <w:rFonts w:ascii="Arial" w:eastAsia="宋体" w:hAnsi="Arial" w:cs="Arial"/>
          <w:b/>
          <w:szCs w:val="22"/>
          <w:lang w:bidi="ar"/>
        </w:rPr>
      </w:pPr>
      <w:r>
        <w:rPr>
          <w:rFonts w:ascii="Arial" w:eastAsia="宋体" w:hAnsi="Arial" w:cs="Arial"/>
          <w:b/>
          <w:szCs w:val="22"/>
          <w:lang w:bidi="ar"/>
        </w:rPr>
        <w:t>Document for:</w:t>
      </w:r>
      <w:bookmarkStart w:id="1" w:name="DocumentFor"/>
      <w:bookmarkEnd w:id="1"/>
      <w:r w:rsidR="0041633E">
        <w:rPr>
          <w:rFonts w:ascii="Arial" w:eastAsia="宋体" w:hAnsi="Arial" w:cs="Arial"/>
          <w:b/>
          <w:szCs w:val="22"/>
          <w:lang w:bidi="ar"/>
        </w:rPr>
        <w:t xml:space="preserve">  </w:t>
      </w:r>
      <w:r>
        <w:rPr>
          <w:rFonts w:ascii="Arial" w:eastAsia="宋体" w:hAnsi="Arial" w:cs="Arial"/>
          <w:b/>
          <w:szCs w:val="22"/>
          <w:lang w:bidi="ar"/>
        </w:rPr>
        <w:t>Discussion and Decision</w:t>
      </w:r>
    </w:p>
    <w:p w:rsidR="00521C86" w:rsidRDefault="00466246">
      <w:pPr>
        <w:pStyle w:val="1"/>
        <w:numPr>
          <w:ilvl w:val="0"/>
          <w:numId w:val="2"/>
        </w:numPr>
        <w:overflowPunct w:val="0"/>
        <w:autoSpaceDE w:val="0"/>
        <w:autoSpaceDN w:val="0"/>
        <w:adjustRightInd w:val="0"/>
        <w:spacing w:beforeLines="50" w:before="120" w:line="240" w:lineRule="auto"/>
        <w:textAlignment w:val="baseline"/>
        <w:rPr>
          <w:rFonts w:cs="Arial"/>
          <w:sz w:val="32"/>
          <w:szCs w:val="36"/>
        </w:rPr>
      </w:pPr>
      <w:r>
        <w:rPr>
          <w:rFonts w:cs="Arial"/>
          <w:sz w:val="32"/>
          <w:szCs w:val="36"/>
        </w:rPr>
        <w:t>Introductio</w:t>
      </w:r>
      <w:r>
        <w:rPr>
          <w:rFonts w:cs="Arial" w:hint="eastAsia"/>
          <w:sz w:val="32"/>
          <w:szCs w:val="36"/>
        </w:rPr>
        <w:t>n</w:t>
      </w:r>
    </w:p>
    <w:p w:rsidR="001F0D5D" w:rsidRDefault="001F0D5D" w:rsidP="000B20E4">
      <w:pPr>
        <w:jc w:val="both"/>
        <w:rPr>
          <w:rFonts w:eastAsiaTheme="minorEastAsia"/>
          <w:sz w:val="21"/>
          <w:szCs w:val="21"/>
        </w:rPr>
      </w:pPr>
      <w:r>
        <w:rPr>
          <w:rFonts w:eastAsiaTheme="minorEastAsia"/>
          <w:sz w:val="21"/>
          <w:szCs w:val="21"/>
        </w:rPr>
        <w:t>I</w:t>
      </w:r>
      <w:r>
        <w:rPr>
          <w:rFonts w:eastAsiaTheme="minorEastAsia" w:hint="eastAsia"/>
          <w:sz w:val="21"/>
          <w:szCs w:val="21"/>
        </w:rPr>
        <w:t>n</w:t>
      </w:r>
      <w:r>
        <w:rPr>
          <w:rFonts w:eastAsiaTheme="minorEastAsia"/>
          <w:sz w:val="21"/>
          <w:szCs w:val="21"/>
        </w:rPr>
        <w:t xml:space="preserve"> the last meeting, </w:t>
      </w:r>
      <w:r w:rsidR="00D53D2E">
        <w:rPr>
          <w:rFonts w:eastAsiaTheme="minorEastAsia"/>
          <w:sz w:val="21"/>
          <w:szCs w:val="21"/>
        </w:rPr>
        <w:t xml:space="preserve">the UEIBM topic was touched, but the </w:t>
      </w:r>
      <w:r w:rsidR="003469F4">
        <w:rPr>
          <w:rFonts w:eastAsiaTheme="minorEastAsia"/>
          <w:sz w:val="21"/>
          <w:szCs w:val="21"/>
        </w:rPr>
        <w:t>companies’</w:t>
      </w:r>
      <w:r w:rsidR="00D53D2E">
        <w:rPr>
          <w:rFonts w:eastAsiaTheme="minorEastAsia"/>
          <w:sz w:val="21"/>
          <w:szCs w:val="21"/>
        </w:rPr>
        <w:t xml:space="preserve"> views are divergent, in this chapter we share our views on this </w:t>
      </w:r>
      <w:r w:rsidR="000B20E4">
        <w:rPr>
          <w:rFonts w:eastAsiaTheme="minorEastAsia"/>
          <w:sz w:val="21"/>
          <w:szCs w:val="21"/>
        </w:rPr>
        <w:t>topic</w:t>
      </w:r>
      <w:r w:rsidR="00D53D2E">
        <w:rPr>
          <w:rFonts w:eastAsiaTheme="minorEastAsia"/>
          <w:sz w:val="21"/>
          <w:szCs w:val="21"/>
        </w:rPr>
        <w:t xml:space="preserve"> based on the latest RAN1 and RAN2 progress.</w:t>
      </w:r>
    </w:p>
    <w:p w:rsidR="00521C86" w:rsidRDefault="00466246">
      <w:pPr>
        <w:pStyle w:val="1"/>
        <w:numPr>
          <w:ilvl w:val="0"/>
          <w:numId w:val="2"/>
        </w:numPr>
        <w:overflowPunct w:val="0"/>
        <w:autoSpaceDE w:val="0"/>
        <w:autoSpaceDN w:val="0"/>
        <w:adjustRightInd w:val="0"/>
        <w:spacing w:beforeLines="50" w:before="120" w:line="240" w:lineRule="auto"/>
        <w:textAlignment w:val="baseline"/>
        <w:rPr>
          <w:rFonts w:cs="Arial"/>
          <w:sz w:val="32"/>
          <w:szCs w:val="36"/>
        </w:rPr>
      </w:pPr>
      <w:r>
        <w:rPr>
          <w:rFonts w:cs="Arial" w:hint="eastAsia"/>
          <w:sz w:val="32"/>
          <w:szCs w:val="36"/>
        </w:rPr>
        <w:t>D</w:t>
      </w:r>
      <w:r>
        <w:rPr>
          <w:rFonts w:cs="Arial"/>
          <w:sz w:val="32"/>
          <w:szCs w:val="36"/>
        </w:rPr>
        <w:t>iscussion</w:t>
      </w:r>
    </w:p>
    <w:p w:rsidR="00857EC3" w:rsidRDefault="0087081E" w:rsidP="000B20E4">
      <w:pPr>
        <w:jc w:val="both"/>
        <w:rPr>
          <w:rFonts w:eastAsiaTheme="minorEastAsia"/>
          <w:sz w:val="21"/>
          <w:szCs w:val="21"/>
        </w:rPr>
      </w:pPr>
      <w:r w:rsidRPr="0087081E">
        <w:rPr>
          <w:rFonts w:eastAsiaTheme="minorEastAsia"/>
          <w:sz w:val="21"/>
          <w:szCs w:val="21"/>
        </w:rPr>
        <w:t xml:space="preserve">In </w:t>
      </w:r>
      <w:r w:rsidR="00E74E04">
        <w:rPr>
          <w:rFonts w:eastAsiaTheme="minorEastAsia"/>
          <w:sz w:val="21"/>
          <w:szCs w:val="21"/>
        </w:rPr>
        <w:t xml:space="preserve">this chapter, </w:t>
      </w:r>
      <w:r w:rsidR="00857EC3">
        <w:rPr>
          <w:rFonts w:eastAsiaTheme="minorEastAsia"/>
          <w:sz w:val="21"/>
          <w:szCs w:val="21"/>
        </w:rPr>
        <w:t>we first disc</w:t>
      </w:r>
      <w:r w:rsidR="002622DB">
        <w:rPr>
          <w:rFonts w:eastAsiaTheme="minorEastAsia"/>
          <w:sz w:val="21"/>
          <w:szCs w:val="21"/>
        </w:rPr>
        <w:t xml:space="preserve">uss </w:t>
      </w:r>
      <w:r w:rsidR="000B20E4">
        <w:rPr>
          <w:rFonts w:eastAsiaTheme="minorEastAsia"/>
          <w:sz w:val="21"/>
          <w:szCs w:val="21"/>
        </w:rPr>
        <w:t>the U</w:t>
      </w:r>
      <w:r w:rsidR="00B94166">
        <w:rPr>
          <w:rFonts w:eastAsiaTheme="minorEastAsia"/>
          <w:sz w:val="21"/>
          <w:szCs w:val="21"/>
        </w:rPr>
        <w:t>E</w:t>
      </w:r>
      <w:r w:rsidR="000B20E4">
        <w:rPr>
          <w:rFonts w:eastAsiaTheme="minorEastAsia"/>
          <w:sz w:val="21"/>
          <w:szCs w:val="21"/>
        </w:rPr>
        <w:t>IBM impact on MAC layer, then give our preliminary thinking on the RRC parameters structure, at last we share our understanding on how to handle LTM and UEIBM.</w:t>
      </w:r>
    </w:p>
    <w:p w:rsidR="003469F4" w:rsidRDefault="003469F4" w:rsidP="003469F4">
      <w:pPr>
        <w:pStyle w:val="2"/>
        <w:rPr>
          <w:sz w:val="28"/>
          <w:szCs w:val="28"/>
          <w:lang w:eastAsia="zh-CN"/>
        </w:rPr>
      </w:pPr>
      <w:r w:rsidRPr="003762C0">
        <w:rPr>
          <w:sz w:val="28"/>
          <w:szCs w:val="28"/>
          <w:lang w:eastAsia="zh-CN"/>
        </w:rPr>
        <w:t xml:space="preserve">2.1 </w:t>
      </w:r>
      <w:r w:rsidR="000B20E4">
        <w:rPr>
          <w:sz w:val="28"/>
          <w:szCs w:val="28"/>
          <w:lang w:eastAsia="zh-CN"/>
        </w:rPr>
        <w:t>UEIBM Impact on MAC layer</w:t>
      </w:r>
    </w:p>
    <w:p w:rsidR="003469F4" w:rsidRDefault="003469F4" w:rsidP="000B20E4">
      <w:pPr>
        <w:jc w:val="both"/>
        <w:rPr>
          <w:rFonts w:eastAsiaTheme="minorEastAsia"/>
          <w:sz w:val="21"/>
          <w:szCs w:val="21"/>
        </w:rPr>
      </w:pPr>
      <w:r w:rsidRPr="00CD150E">
        <w:rPr>
          <w:rFonts w:eastAsiaTheme="minorEastAsia"/>
          <w:sz w:val="21"/>
          <w:szCs w:val="21"/>
        </w:rPr>
        <w:t>For the UEIBM</w:t>
      </w:r>
      <w:r>
        <w:rPr>
          <w:rFonts w:eastAsiaTheme="minorEastAsia"/>
          <w:sz w:val="21"/>
          <w:szCs w:val="21"/>
        </w:rPr>
        <w:t>, RAN1 has discussed the Events definition (e.g. Event 1, 2 and 7), event trigger condition, UEIBR (UE initiated Beam Report) procedure (e.g. mode A and mode B) and also other related topics.</w:t>
      </w:r>
      <w:r w:rsidR="00B94166">
        <w:rPr>
          <w:rFonts w:eastAsiaTheme="minorEastAsia"/>
          <w:sz w:val="21"/>
          <w:szCs w:val="21"/>
        </w:rPr>
        <w:t xml:space="preserve"> </w:t>
      </w:r>
      <w:r>
        <w:rPr>
          <w:rFonts w:eastAsiaTheme="minorEastAsia"/>
          <w:sz w:val="21"/>
          <w:szCs w:val="21"/>
        </w:rPr>
        <w:t>On the event trigger condition, a window would be introduced for the instance statistics, however, w</w:t>
      </w:r>
      <w:r w:rsidRPr="00A02E0D">
        <w:rPr>
          <w:rFonts w:eastAsiaTheme="minorEastAsia"/>
          <w:sz w:val="21"/>
          <w:szCs w:val="21"/>
        </w:rPr>
        <w:t xml:space="preserve">hether </w:t>
      </w:r>
      <w:r>
        <w:rPr>
          <w:rFonts w:eastAsiaTheme="minorEastAsia"/>
          <w:sz w:val="21"/>
          <w:szCs w:val="21"/>
        </w:rPr>
        <w:t>this mechanism</w:t>
      </w:r>
      <w:r w:rsidRPr="00A02E0D">
        <w:rPr>
          <w:rFonts w:eastAsiaTheme="minorEastAsia"/>
          <w:sz w:val="21"/>
          <w:szCs w:val="21"/>
        </w:rPr>
        <w:t xml:space="preserve"> is capture</w:t>
      </w:r>
      <w:r>
        <w:rPr>
          <w:rFonts w:eastAsiaTheme="minorEastAsia"/>
          <w:sz w:val="21"/>
          <w:szCs w:val="21"/>
        </w:rPr>
        <w:t>d in RAN1 or RAN2 specification is still FFS. In RAN1 discussion, Ran1 has touched some detail issues discussion on this mechanism in [1], e.g. how to calculate the instances, how to define the period for the instances, when to reset the counting and so on. They also have made some agreements on these issues, e.g.</w:t>
      </w:r>
    </w:p>
    <w:tbl>
      <w:tblPr>
        <w:tblStyle w:val="af"/>
        <w:tblW w:w="0" w:type="auto"/>
        <w:tblLook w:val="04A0" w:firstRow="1" w:lastRow="0" w:firstColumn="1" w:lastColumn="0" w:noHBand="0" w:noVBand="1"/>
      </w:tblPr>
      <w:tblGrid>
        <w:gridCol w:w="9350"/>
      </w:tblGrid>
      <w:tr w:rsidR="003469F4" w:rsidTr="003219D5">
        <w:tc>
          <w:tcPr>
            <w:tcW w:w="9350" w:type="dxa"/>
          </w:tcPr>
          <w:p w:rsidR="003469F4" w:rsidRPr="00C979C1" w:rsidRDefault="003469F4" w:rsidP="003219D5">
            <w:pPr>
              <w:snapToGrid w:val="0"/>
              <w:rPr>
                <w:rFonts w:cs="Times"/>
                <w:b/>
                <w:szCs w:val="20"/>
                <w:lang w:eastAsia="ko-KR"/>
              </w:rPr>
            </w:pPr>
            <w:r w:rsidRPr="00C979C1">
              <w:rPr>
                <w:rFonts w:cs="Times" w:hint="eastAsia"/>
                <w:b/>
                <w:szCs w:val="20"/>
                <w:highlight w:val="green"/>
                <w:lang w:eastAsia="ko-KR"/>
              </w:rPr>
              <w:t>Agreement</w:t>
            </w:r>
          </w:p>
          <w:p w:rsidR="003469F4" w:rsidRDefault="003469F4" w:rsidP="003219D5">
            <w:pPr>
              <w:shd w:val="clear" w:color="auto" w:fill="FFFFFF"/>
              <w:snapToGrid w:val="0"/>
              <w:rPr>
                <w:rFonts w:eastAsiaTheme="minorEastAsia"/>
                <w:sz w:val="21"/>
                <w:szCs w:val="21"/>
                <w:lang w:eastAsia="zh-CN"/>
              </w:rPr>
            </w:pPr>
            <w:r w:rsidRPr="00EF19AF">
              <w:rPr>
                <w:szCs w:val="20"/>
              </w:rPr>
              <w:t xml:space="preserve">Regarding </w:t>
            </w:r>
            <w:r w:rsidRPr="00EF19AF">
              <w:rPr>
                <w:rFonts w:eastAsia="宋体"/>
                <w:szCs w:val="20"/>
              </w:rPr>
              <w:t>the triggering event determination for Event 2</w:t>
            </w:r>
            <w:r w:rsidRPr="00EF19AF">
              <w:rPr>
                <w:szCs w:val="20"/>
              </w:rPr>
              <w:t xml:space="preserve">, the event instance(s) counting is per new beam. Further study candidate condition(s) of resetting the counting including whether resetting is needed. </w:t>
            </w:r>
          </w:p>
        </w:tc>
      </w:tr>
    </w:tbl>
    <w:p w:rsidR="003469F4" w:rsidRDefault="003469F4" w:rsidP="003469F4">
      <w:pPr>
        <w:rPr>
          <w:rFonts w:eastAsiaTheme="minorEastAsia"/>
          <w:sz w:val="21"/>
          <w:szCs w:val="21"/>
        </w:rPr>
      </w:pPr>
    </w:p>
    <w:p w:rsidR="003469F4" w:rsidRDefault="003469F4" w:rsidP="000B20E4">
      <w:pPr>
        <w:jc w:val="both"/>
        <w:rPr>
          <w:rFonts w:eastAsiaTheme="minorEastAsia"/>
          <w:sz w:val="21"/>
          <w:szCs w:val="21"/>
        </w:rPr>
      </w:pPr>
      <w:r>
        <w:rPr>
          <w:rFonts w:eastAsiaTheme="minorEastAsia"/>
          <w:sz w:val="21"/>
          <w:szCs w:val="21"/>
        </w:rPr>
        <w:t>RAN1 may make conclusion based on these detail issues discussion result. Thus, to avoid repeated discussion, RAN2 can wait for Ran1’s further progress.</w:t>
      </w:r>
    </w:p>
    <w:p w:rsidR="003469F4" w:rsidRPr="006A1F0B" w:rsidRDefault="003469F4" w:rsidP="003469F4">
      <w:pPr>
        <w:rPr>
          <w:rFonts w:eastAsiaTheme="minorEastAsia"/>
          <w:b/>
          <w:sz w:val="21"/>
          <w:szCs w:val="21"/>
        </w:rPr>
      </w:pPr>
      <w:r w:rsidRPr="006A1F0B">
        <w:rPr>
          <w:rFonts w:eastAsiaTheme="minorEastAsia"/>
          <w:b/>
          <w:sz w:val="21"/>
          <w:szCs w:val="21"/>
        </w:rPr>
        <w:t>Proposal 1: On the UEIBR impact on the MAC layer procedure, wait for RAN1’s further progress.</w:t>
      </w:r>
    </w:p>
    <w:p w:rsidR="00842DF9" w:rsidRDefault="00842DF9" w:rsidP="00842DF9">
      <w:pPr>
        <w:pStyle w:val="2"/>
        <w:rPr>
          <w:sz w:val="28"/>
          <w:szCs w:val="28"/>
          <w:lang w:eastAsia="zh-CN"/>
        </w:rPr>
      </w:pPr>
      <w:r w:rsidRPr="003762C0">
        <w:rPr>
          <w:sz w:val="28"/>
          <w:szCs w:val="28"/>
          <w:lang w:eastAsia="zh-CN"/>
        </w:rPr>
        <w:t>2.</w:t>
      </w:r>
      <w:r w:rsidR="00542C3D">
        <w:rPr>
          <w:sz w:val="28"/>
          <w:szCs w:val="28"/>
          <w:lang w:eastAsia="zh-CN"/>
        </w:rPr>
        <w:t>2</w:t>
      </w:r>
      <w:r w:rsidRPr="003762C0">
        <w:rPr>
          <w:sz w:val="28"/>
          <w:szCs w:val="28"/>
          <w:lang w:eastAsia="zh-CN"/>
        </w:rPr>
        <w:t xml:space="preserve"> </w:t>
      </w:r>
      <w:r>
        <w:rPr>
          <w:sz w:val="28"/>
          <w:szCs w:val="28"/>
          <w:lang w:eastAsia="zh-CN"/>
        </w:rPr>
        <w:t xml:space="preserve">RRC Impact of the </w:t>
      </w:r>
      <w:r w:rsidRPr="00CD150E">
        <w:rPr>
          <w:sz w:val="28"/>
          <w:szCs w:val="28"/>
          <w:lang w:eastAsia="zh-CN"/>
        </w:rPr>
        <w:t>UE Initiated Beam Management</w:t>
      </w:r>
      <w:r>
        <w:rPr>
          <w:sz w:val="28"/>
          <w:szCs w:val="28"/>
          <w:lang w:eastAsia="zh-CN"/>
        </w:rPr>
        <w:t xml:space="preserve"> (UEIBM)</w:t>
      </w:r>
    </w:p>
    <w:p w:rsidR="00842DF9" w:rsidRDefault="00842DF9" w:rsidP="00842DF9">
      <w:pPr>
        <w:rPr>
          <w:rFonts w:eastAsiaTheme="minorEastAsia"/>
          <w:sz w:val="21"/>
          <w:szCs w:val="21"/>
        </w:rPr>
      </w:pPr>
      <w:r w:rsidRPr="00842DF9">
        <w:rPr>
          <w:rFonts w:eastAsiaTheme="minorEastAsia"/>
          <w:sz w:val="21"/>
          <w:szCs w:val="21"/>
        </w:rPr>
        <w:t>The RRC impact is</w:t>
      </w:r>
      <w:r>
        <w:rPr>
          <w:rFonts w:eastAsiaTheme="minorEastAsia"/>
          <w:sz w:val="21"/>
          <w:szCs w:val="21"/>
        </w:rPr>
        <w:t xml:space="preserve"> mainly from the RRC Parameters, according to the RAN1’s discussion, some UEIBM related RRC parameters have been discussed as below:</w:t>
      </w:r>
    </w:p>
    <w:tbl>
      <w:tblPr>
        <w:tblW w:w="5000" w:type="pct"/>
        <w:tblLayout w:type="fixed"/>
        <w:tblLook w:val="04A0" w:firstRow="1" w:lastRow="0" w:firstColumn="1" w:lastColumn="0" w:noHBand="0" w:noVBand="1"/>
      </w:tblPr>
      <w:tblGrid>
        <w:gridCol w:w="1557"/>
        <w:gridCol w:w="1417"/>
        <w:gridCol w:w="5387"/>
        <w:gridCol w:w="989"/>
      </w:tblGrid>
      <w:tr w:rsidR="00842DF9" w:rsidTr="00842DF9">
        <w:trPr>
          <w:trHeight w:val="765"/>
        </w:trPr>
        <w:tc>
          <w:tcPr>
            <w:tcW w:w="832" w:type="pct"/>
            <w:tcBorders>
              <w:top w:val="single" w:sz="4" w:space="0" w:color="auto"/>
              <w:left w:val="single" w:sz="4" w:space="0" w:color="auto"/>
              <w:bottom w:val="nil"/>
              <w:right w:val="single" w:sz="4" w:space="0" w:color="auto"/>
            </w:tcBorders>
            <w:shd w:val="clear" w:color="000000" w:fill="00B0F0"/>
            <w:vAlign w:val="center"/>
            <w:hideMark/>
          </w:tcPr>
          <w:p w:rsidR="00842DF9" w:rsidRDefault="00842DF9">
            <w:pPr>
              <w:rPr>
                <w:rFonts w:ascii="Arial" w:hAnsi="Arial" w:cs="Arial"/>
                <w:b/>
                <w:bCs/>
                <w:color w:val="FFFFFF"/>
                <w:sz w:val="20"/>
                <w:szCs w:val="20"/>
              </w:rPr>
            </w:pPr>
            <w:r>
              <w:rPr>
                <w:rFonts w:ascii="Arial" w:hAnsi="Arial" w:cs="Arial"/>
                <w:b/>
                <w:bCs/>
                <w:color w:val="FFFFFF"/>
                <w:sz w:val="20"/>
                <w:szCs w:val="20"/>
              </w:rPr>
              <w:t>RAN2 Parent IE</w:t>
            </w:r>
          </w:p>
        </w:tc>
        <w:tc>
          <w:tcPr>
            <w:tcW w:w="758" w:type="pct"/>
            <w:tcBorders>
              <w:top w:val="single" w:sz="4" w:space="0" w:color="auto"/>
              <w:left w:val="nil"/>
              <w:bottom w:val="nil"/>
              <w:right w:val="single" w:sz="4" w:space="0" w:color="auto"/>
            </w:tcBorders>
            <w:shd w:val="clear" w:color="000000" w:fill="00B0F0"/>
            <w:vAlign w:val="center"/>
            <w:hideMark/>
          </w:tcPr>
          <w:p w:rsidR="00842DF9" w:rsidRDefault="00842DF9">
            <w:pPr>
              <w:rPr>
                <w:rFonts w:ascii="Arial" w:hAnsi="Arial" w:cs="Arial"/>
                <w:b/>
                <w:bCs/>
                <w:color w:val="FFFFFF"/>
                <w:sz w:val="20"/>
                <w:szCs w:val="20"/>
              </w:rPr>
            </w:pPr>
            <w:r>
              <w:rPr>
                <w:rFonts w:ascii="Arial" w:hAnsi="Arial" w:cs="Arial"/>
                <w:b/>
                <w:bCs/>
                <w:color w:val="FFFFFF"/>
                <w:sz w:val="20"/>
                <w:szCs w:val="20"/>
              </w:rPr>
              <w:t>Parameter name in the spec</w:t>
            </w:r>
          </w:p>
        </w:tc>
        <w:tc>
          <w:tcPr>
            <w:tcW w:w="2881" w:type="pct"/>
            <w:tcBorders>
              <w:top w:val="single" w:sz="4" w:space="0" w:color="auto"/>
              <w:left w:val="nil"/>
              <w:bottom w:val="nil"/>
              <w:right w:val="single" w:sz="4" w:space="0" w:color="auto"/>
            </w:tcBorders>
            <w:shd w:val="clear" w:color="000000" w:fill="00B0F0"/>
            <w:vAlign w:val="center"/>
            <w:hideMark/>
          </w:tcPr>
          <w:p w:rsidR="00842DF9" w:rsidRDefault="00842DF9">
            <w:pPr>
              <w:rPr>
                <w:rFonts w:ascii="Arial" w:hAnsi="Arial" w:cs="Arial"/>
                <w:b/>
                <w:bCs/>
                <w:color w:val="FFFFFF"/>
                <w:sz w:val="20"/>
                <w:szCs w:val="20"/>
              </w:rPr>
            </w:pPr>
            <w:r>
              <w:rPr>
                <w:rFonts w:ascii="Arial" w:hAnsi="Arial" w:cs="Arial"/>
                <w:b/>
                <w:bCs/>
                <w:color w:val="FFFFFF"/>
                <w:sz w:val="20"/>
                <w:szCs w:val="20"/>
              </w:rPr>
              <w:t>Description</w:t>
            </w:r>
          </w:p>
        </w:tc>
        <w:tc>
          <w:tcPr>
            <w:tcW w:w="530" w:type="pct"/>
            <w:tcBorders>
              <w:top w:val="single" w:sz="4" w:space="0" w:color="auto"/>
              <w:left w:val="nil"/>
              <w:bottom w:val="nil"/>
              <w:right w:val="single" w:sz="4" w:space="0" w:color="auto"/>
            </w:tcBorders>
            <w:shd w:val="clear" w:color="000000" w:fill="00B0F0"/>
            <w:vAlign w:val="center"/>
            <w:hideMark/>
          </w:tcPr>
          <w:p w:rsidR="00842DF9" w:rsidRDefault="00842DF9">
            <w:pPr>
              <w:rPr>
                <w:rFonts w:ascii="Arial" w:hAnsi="Arial" w:cs="Arial"/>
                <w:b/>
                <w:bCs/>
                <w:color w:val="FFFFFF"/>
                <w:sz w:val="20"/>
                <w:szCs w:val="20"/>
              </w:rPr>
            </w:pPr>
            <w:r>
              <w:rPr>
                <w:rFonts w:ascii="Arial" w:hAnsi="Arial" w:cs="Arial"/>
                <w:b/>
                <w:bCs/>
                <w:color w:val="FFFFFF"/>
                <w:sz w:val="20"/>
                <w:szCs w:val="20"/>
              </w:rPr>
              <w:t>Value range</w:t>
            </w:r>
          </w:p>
        </w:tc>
      </w:tr>
      <w:tr w:rsidR="00842DF9" w:rsidTr="00842DF9">
        <w:trPr>
          <w:trHeight w:val="315"/>
        </w:trPr>
        <w:tc>
          <w:tcPr>
            <w:tcW w:w="8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42DF9" w:rsidRDefault="00842DF9">
            <w:pPr>
              <w:rPr>
                <w:rFonts w:ascii="Arial" w:hAnsi="Arial" w:cs="Arial"/>
                <w:color w:val="0000FF"/>
                <w:sz w:val="20"/>
                <w:szCs w:val="20"/>
              </w:rPr>
            </w:pPr>
            <w:r>
              <w:rPr>
                <w:rFonts w:ascii="Arial" w:hAnsi="Arial" w:cs="Arial"/>
                <w:color w:val="0000FF"/>
                <w:sz w:val="20"/>
                <w:szCs w:val="20"/>
              </w:rPr>
              <w:t>[CSI-ReportConfig]</w:t>
            </w:r>
          </w:p>
        </w:tc>
        <w:tc>
          <w:tcPr>
            <w:tcW w:w="758" w:type="pct"/>
            <w:tcBorders>
              <w:top w:val="single" w:sz="4" w:space="0" w:color="auto"/>
              <w:left w:val="nil"/>
              <w:bottom w:val="single" w:sz="4" w:space="0" w:color="auto"/>
              <w:right w:val="single" w:sz="4" w:space="0" w:color="auto"/>
            </w:tcBorders>
            <w:shd w:val="clear" w:color="auto" w:fill="auto"/>
            <w:noWrap/>
            <w:vAlign w:val="center"/>
            <w:hideMark/>
          </w:tcPr>
          <w:p w:rsidR="00842DF9" w:rsidRDefault="00842DF9">
            <w:pPr>
              <w:rPr>
                <w:rFonts w:ascii="Arial" w:hAnsi="Arial" w:cs="Arial"/>
                <w:sz w:val="20"/>
                <w:szCs w:val="20"/>
              </w:rPr>
            </w:pPr>
            <w:r>
              <w:rPr>
                <w:rFonts w:ascii="Arial" w:hAnsi="Arial" w:cs="Arial"/>
                <w:sz w:val="20"/>
                <w:szCs w:val="20"/>
              </w:rPr>
              <w:t>reportTransmissionMode-r19</w:t>
            </w:r>
          </w:p>
        </w:tc>
        <w:tc>
          <w:tcPr>
            <w:tcW w:w="2881" w:type="pct"/>
            <w:tcBorders>
              <w:top w:val="single" w:sz="4" w:space="0" w:color="auto"/>
              <w:left w:val="nil"/>
              <w:bottom w:val="single" w:sz="4" w:space="0" w:color="auto"/>
              <w:right w:val="single" w:sz="4" w:space="0" w:color="auto"/>
            </w:tcBorders>
            <w:shd w:val="clear" w:color="auto" w:fill="auto"/>
            <w:vAlign w:val="center"/>
            <w:hideMark/>
          </w:tcPr>
          <w:p w:rsidR="00842DF9" w:rsidRDefault="00842DF9" w:rsidP="00842DF9">
            <w:pPr>
              <w:rPr>
                <w:rFonts w:ascii="Arial" w:hAnsi="Arial" w:cs="Arial"/>
                <w:sz w:val="20"/>
                <w:szCs w:val="20"/>
              </w:rPr>
            </w:pPr>
            <w:r>
              <w:rPr>
                <w:rFonts w:ascii="Arial" w:hAnsi="Arial" w:cs="Arial"/>
                <w:sz w:val="20"/>
                <w:szCs w:val="20"/>
              </w:rPr>
              <w:t>This parameter is used to inform one report transmission mode…</w:t>
            </w:r>
          </w:p>
        </w:tc>
        <w:tc>
          <w:tcPr>
            <w:tcW w:w="530" w:type="pct"/>
            <w:tcBorders>
              <w:top w:val="single" w:sz="4" w:space="0" w:color="auto"/>
              <w:left w:val="nil"/>
              <w:bottom w:val="single" w:sz="4" w:space="0" w:color="auto"/>
              <w:right w:val="single" w:sz="4" w:space="0" w:color="auto"/>
            </w:tcBorders>
            <w:shd w:val="clear" w:color="auto" w:fill="auto"/>
            <w:vAlign w:val="center"/>
            <w:hideMark/>
          </w:tcPr>
          <w:p w:rsidR="00842DF9" w:rsidRDefault="00842DF9">
            <w:pPr>
              <w:rPr>
                <w:rFonts w:ascii="Arial" w:hAnsi="Arial" w:cs="Arial"/>
                <w:sz w:val="20"/>
                <w:szCs w:val="20"/>
              </w:rPr>
            </w:pPr>
            <w:r>
              <w:rPr>
                <w:rFonts w:ascii="Arial" w:hAnsi="Arial" w:cs="Arial"/>
                <w:sz w:val="20"/>
                <w:szCs w:val="20"/>
              </w:rPr>
              <w:t>{ModeA, ModeB}</w:t>
            </w:r>
          </w:p>
        </w:tc>
      </w:tr>
      <w:tr w:rsidR="00842DF9" w:rsidTr="00842DF9">
        <w:trPr>
          <w:trHeight w:val="585"/>
        </w:trPr>
        <w:tc>
          <w:tcPr>
            <w:tcW w:w="832" w:type="pct"/>
            <w:tcBorders>
              <w:top w:val="nil"/>
              <w:left w:val="single" w:sz="4" w:space="0" w:color="auto"/>
              <w:bottom w:val="single" w:sz="4" w:space="0" w:color="auto"/>
              <w:right w:val="single" w:sz="4" w:space="0" w:color="auto"/>
            </w:tcBorders>
            <w:shd w:val="clear" w:color="auto" w:fill="auto"/>
            <w:vAlign w:val="center"/>
            <w:hideMark/>
          </w:tcPr>
          <w:p w:rsidR="00842DF9" w:rsidRDefault="00842DF9">
            <w:pPr>
              <w:rPr>
                <w:rFonts w:ascii="Arial" w:hAnsi="Arial" w:cs="Arial"/>
                <w:sz w:val="20"/>
                <w:szCs w:val="20"/>
              </w:rPr>
            </w:pPr>
            <w:r>
              <w:rPr>
                <w:rFonts w:ascii="Arial" w:hAnsi="Arial" w:cs="Arial"/>
                <w:sz w:val="20"/>
                <w:szCs w:val="20"/>
              </w:rPr>
              <w:t>CSI-ReportConfig</w:t>
            </w:r>
          </w:p>
        </w:tc>
        <w:tc>
          <w:tcPr>
            <w:tcW w:w="758" w:type="pct"/>
            <w:tcBorders>
              <w:top w:val="nil"/>
              <w:left w:val="nil"/>
              <w:bottom w:val="single" w:sz="4" w:space="0" w:color="auto"/>
              <w:right w:val="single" w:sz="4" w:space="0" w:color="auto"/>
            </w:tcBorders>
            <w:shd w:val="clear" w:color="auto" w:fill="auto"/>
            <w:noWrap/>
            <w:vAlign w:val="center"/>
            <w:hideMark/>
          </w:tcPr>
          <w:p w:rsidR="00842DF9" w:rsidRDefault="00842DF9">
            <w:pPr>
              <w:rPr>
                <w:rFonts w:ascii="Arial" w:hAnsi="Arial" w:cs="Arial"/>
                <w:sz w:val="20"/>
                <w:szCs w:val="20"/>
              </w:rPr>
            </w:pPr>
            <w:r>
              <w:rPr>
                <w:rFonts w:ascii="Arial" w:hAnsi="Arial" w:cs="Arial"/>
                <w:sz w:val="20"/>
                <w:szCs w:val="20"/>
              </w:rPr>
              <w:t>eventThreshold-r19</w:t>
            </w:r>
          </w:p>
        </w:tc>
        <w:tc>
          <w:tcPr>
            <w:tcW w:w="2881" w:type="pct"/>
            <w:tcBorders>
              <w:top w:val="nil"/>
              <w:left w:val="nil"/>
              <w:bottom w:val="single" w:sz="4" w:space="0" w:color="auto"/>
              <w:right w:val="single" w:sz="4" w:space="0" w:color="auto"/>
            </w:tcBorders>
            <w:shd w:val="clear" w:color="auto" w:fill="auto"/>
            <w:vAlign w:val="center"/>
            <w:hideMark/>
          </w:tcPr>
          <w:p w:rsidR="00842DF9" w:rsidRDefault="00842DF9">
            <w:pPr>
              <w:rPr>
                <w:rFonts w:ascii="Arial" w:hAnsi="Arial" w:cs="Arial"/>
                <w:sz w:val="20"/>
                <w:szCs w:val="20"/>
              </w:rPr>
            </w:pPr>
            <w:r>
              <w:rPr>
                <w:rFonts w:ascii="Arial" w:hAnsi="Arial" w:cs="Arial"/>
                <w:sz w:val="20"/>
                <w:szCs w:val="20"/>
              </w:rPr>
              <w:t>This parameter is used to inform a threshold value for trigger event detection regarding Event-2.</w:t>
            </w:r>
          </w:p>
        </w:tc>
        <w:tc>
          <w:tcPr>
            <w:tcW w:w="530" w:type="pct"/>
            <w:tcBorders>
              <w:top w:val="nil"/>
              <w:left w:val="nil"/>
              <w:bottom w:val="single" w:sz="4" w:space="0" w:color="auto"/>
              <w:right w:val="single" w:sz="4" w:space="0" w:color="auto"/>
            </w:tcBorders>
            <w:shd w:val="clear" w:color="auto" w:fill="auto"/>
            <w:vAlign w:val="center"/>
            <w:hideMark/>
          </w:tcPr>
          <w:p w:rsidR="00842DF9" w:rsidRDefault="00842DF9">
            <w:pPr>
              <w:rPr>
                <w:rFonts w:ascii="Arial" w:hAnsi="Arial" w:cs="Arial"/>
                <w:sz w:val="20"/>
                <w:szCs w:val="20"/>
              </w:rPr>
            </w:pPr>
            <w:r>
              <w:rPr>
                <w:rFonts w:ascii="Arial" w:hAnsi="Arial" w:cs="Arial"/>
                <w:sz w:val="20"/>
                <w:szCs w:val="20"/>
              </w:rPr>
              <w:t>FFS</w:t>
            </w:r>
          </w:p>
        </w:tc>
      </w:tr>
      <w:tr w:rsidR="00842DF9" w:rsidTr="00842DF9">
        <w:trPr>
          <w:trHeight w:val="551"/>
        </w:trPr>
        <w:tc>
          <w:tcPr>
            <w:tcW w:w="832" w:type="pct"/>
            <w:tcBorders>
              <w:top w:val="nil"/>
              <w:left w:val="single" w:sz="4" w:space="0" w:color="auto"/>
              <w:bottom w:val="single" w:sz="4" w:space="0" w:color="auto"/>
              <w:right w:val="single" w:sz="4" w:space="0" w:color="auto"/>
            </w:tcBorders>
            <w:shd w:val="clear" w:color="auto" w:fill="auto"/>
            <w:vAlign w:val="center"/>
            <w:hideMark/>
          </w:tcPr>
          <w:p w:rsidR="00842DF9" w:rsidRDefault="00842DF9">
            <w:pPr>
              <w:rPr>
                <w:rFonts w:ascii="Arial" w:hAnsi="Arial" w:cs="Arial"/>
                <w:sz w:val="20"/>
                <w:szCs w:val="20"/>
              </w:rPr>
            </w:pPr>
            <w:r>
              <w:rPr>
                <w:rFonts w:ascii="Arial" w:hAnsi="Arial" w:cs="Arial"/>
                <w:sz w:val="20"/>
                <w:szCs w:val="20"/>
              </w:rPr>
              <w:lastRenderedPageBreak/>
              <w:t>CSI-ReportConfig</w:t>
            </w:r>
          </w:p>
        </w:tc>
        <w:tc>
          <w:tcPr>
            <w:tcW w:w="758" w:type="pct"/>
            <w:tcBorders>
              <w:top w:val="nil"/>
              <w:left w:val="nil"/>
              <w:bottom w:val="single" w:sz="4" w:space="0" w:color="auto"/>
              <w:right w:val="single" w:sz="4" w:space="0" w:color="auto"/>
            </w:tcBorders>
            <w:shd w:val="clear" w:color="auto" w:fill="auto"/>
            <w:vAlign w:val="center"/>
            <w:hideMark/>
          </w:tcPr>
          <w:p w:rsidR="00842DF9" w:rsidRDefault="00842DF9">
            <w:pPr>
              <w:rPr>
                <w:rFonts w:ascii="Arial" w:hAnsi="Arial" w:cs="Arial"/>
                <w:sz w:val="20"/>
                <w:szCs w:val="20"/>
              </w:rPr>
            </w:pPr>
            <w:r>
              <w:rPr>
                <w:rFonts w:ascii="Arial" w:hAnsi="Arial" w:cs="Arial"/>
                <w:sz w:val="20"/>
                <w:szCs w:val="20"/>
              </w:rPr>
              <w:t>eventDetectionTimeWindowLength-r19</w:t>
            </w:r>
          </w:p>
        </w:tc>
        <w:tc>
          <w:tcPr>
            <w:tcW w:w="2881" w:type="pct"/>
            <w:tcBorders>
              <w:top w:val="nil"/>
              <w:left w:val="nil"/>
              <w:bottom w:val="single" w:sz="4" w:space="0" w:color="auto"/>
              <w:right w:val="single" w:sz="4" w:space="0" w:color="auto"/>
            </w:tcBorders>
            <w:shd w:val="clear" w:color="auto" w:fill="auto"/>
            <w:vAlign w:val="center"/>
            <w:hideMark/>
          </w:tcPr>
          <w:p w:rsidR="00842DF9" w:rsidRDefault="00842DF9">
            <w:pPr>
              <w:rPr>
                <w:rFonts w:ascii="Arial" w:hAnsi="Arial" w:cs="Arial"/>
                <w:sz w:val="20"/>
                <w:szCs w:val="20"/>
              </w:rPr>
            </w:pPr>
            <w:r>
              <w:rPr>
                <w:rFonts w:ascii="Arial" w:hAnsi="Arial" w:cs="Arial"/>
                <w:sz w:val="20"/>
                <w:szCs w:val="20"/>
              </w:rPr>
              <w:t>This parameter is used to inform the time window for triggering event determination regarding Event-2</w:t>
            </w:r>
          </w:p>
        </w:tc>
        <w:tc>
          <w:tcPr>
            <w:tcW w:w="530" w:type="pct"/>
            <w:tcBorders>
              <w:top w:val="nil"/>
              <w:left w:val="nil"/>
              <w:bottom w:val="single" w:sz="4" w:space="0" w:color="auto"/>
              <w:right w:val="single" w:sz="4" w:space="0" w:color="auto"/>
            </w:tcBorders>
            <w:shd w:val="clear" w:color="auto" w:fill="auto"/>
            <w:vAlign w:val="center"/>
            <w:hideMark/>
          </w:tcPr>
          <w:p w:rsidR="00842DF9" w:rsidRDefault="00842DF9">
            <w:pPr>
              <w:rPr>
                <w:rFonts w:ascii="Arial" w:hAnsi="Arial" w:cs="Arial"/>
                <w:sz w:val="20"/>
                <w:szCs w:val="20"/>
              </w:rPr>
            </w:pPr>
            <w:r>
              <w:rPr>
                <w:rFonts w:ascii="Arial" w:hAnsi="Arial" w:cs="Arial"/>
                <w:sz w:val="20"/>
                <w:szCs w:val="20"/>
              </w:rPr>
              <w:t>FFS</w:t>
            </w:r>
          </w:p>
        </w:tc>
      </w:tr>
      <w:tr w:rsidR="00842DF9" w:rsidTr="00842DF9">
        <w:trPr>
          <w:trHeight w:val="928"/>
        </w:trPr>
        <w:tc>
          <w:tcPr>
            <w:tcW w:w="832" w:type="pct"/>
            <w:tcBorders>
              <w:top w:val="nil"/>
              <w:left w:val="single" w:sz="4" w:space="0" w:color="auto"/>
              <w:bottom w:val="single" w:sz="4" w:space="0" w:color="auto"/>
              <w:right w:val="single" w:sz="4" w:space="0" w:color="auto"/>
            </w:tcBorders>
            <w:shd w:val="clear" w:color="auto" w:fill="auto"/>
            <w:vAlign w:val="center"/>
            <w:hideMark/>
          </w:tcPr>
          <w:p w:rsidR="00842DF9" w:rsidRDefault="00842DF9">
            <w:pPr>
              <w:rPr>
                <w:rFonts w:ascii="Arial" w:hAnsi="Arial" w:cs="Arial"/>
                <w:sz w:val="20"/>
                <w:szCs w:val="20"/>
              </w:rPr>
            </w:pPr>
            <w:r>
              <w:rPr>
                <w:rFonts w:ascii="Arial" w:hAnsi="Arial" w:cs="Arial"/>
                <w:sz w:val="20"/>
                <w:szCs w:val="20"/>
              </w:rPr>
              <w:t>CSI-ReportConfig</w:t>
            </w:r>
          </w:p>
        </w:tc>
        <w:tc>
          <w:tcPr>
            <w:tcW w:w="758" w:type="pct"/>
            <w:tcBorders>
              <w:top w:val="nil"/>
              <w:left w:val="nil"/>
              <w:bottom w:val="single" w:sz="4" w:space="0" w:color="auto"/>
              <w:right w:val="single" w:sz="4" w:space="0" w:color="auto"/>
            </w:tcBorders>
            <w:shd w:val="clear" w:color="auto" w:fill="auto"/>
            <w:noWrap/>
            <w:vAlign w:val="center"/>
            <w:hideMark/>
          </w:tcPr>
          <w:p w:rsidR="00842DF9" w:rsidRDefault="00842DF9">
            <w:pPr>
              <w:rPr>
                <w:rFonts w:ascii="Arial" w:hAnsi="Arial" w:cs="Arial"/>
                <w:sz w:val="20"/>
                <w:szCs w:val="20"/>
              </w:rPr>
            </w:pPr>
            <w:r>
              <w:rPr>
                <w:rFonts w:ascii="Arial" w:hAnsi="Arial" w:cs="Arial"/>
                <w:sz w:val="20"/>
                <w:szCs w:val="20"/>
              </w:rPr>
              <w:t>eventInstanceCount-r19</w:t>
            </w:r>
          </w:p>
        </w:tc>
        <w:tc>
          <w:tcPr>
            <w:tcW w:w="2881" w:type="pct"/>
            <w:tcBorders>
              <w:top w:val="nil"/>
              <w:left w:val="nil"/>
              <w:bottom w:val="single" w:sz="4" w:space="0" w:color="auto"/>
              <w:right w:val="single" w:sz="4" w:space="0" w:color="auto"/>
            </w:tcBorders>
            <w:shd w:val="clear" w:color="auto" w:fill="auto"/>
            <w:vAlign w:val="center"/>
            <w:hideMark/>
          </w:tcPr>
          <w:p w:rsidR="00842DF9" w:rsidRDefault="00842DF9">
            <w:pPr>
              <w:rPr>
                <w:rFonts w:ascii="Arial" w:hAnsi="Arial" w:cs="Arial"/>
                <w:sz w:val="20"/>
                <w:szCs w:val="20"/>
              </w:rPr>
            </w:pPr>
            <w:r>
              <w:rPr>
                <w:rFonts w:ascii="Arial" w:hAnsi="Arial" w:cs="Arial"/>
                <w:sz w:val="20"/>
                <w:szCs w:val="20"/>
              </w:rPr>
              <w:t xml:space="preserve">This parameter is used to inform the number of event 2 instances for at least one same new beam within a configured time window that the UE can initiate UEIBM report  </w:t>
            </w:r>
          </w:p>
        </w:tc>
        <w:tc>
          <w:tcPr>
            <w:tcW w:w="530" w:type="pct"/>
            <w:tcBorders>
              <w:top w:val="nil"/>
              <w:left w:val="nil"/>
              <w:bottom w:val="single" w:sz="4" w:space="0" w:color="auto"/>
              <w:right w:val="single" w:sz="4" w:space="0" w:color="auto"/>
            </w:tcBorders>
            <w:shd w:val="clear" w:color="auto" w:fill="auto"/>
            <w:vAlign w:val="center"/>
            <w:hideMark/>
          </w:tcPr>
          <w:p w:rsidR="00842DF9" w:rsidRDefault="00842DF9">
            <w:pPr>
              <w:rPr>
                <w:rFonts w:ascii="Arial" w:hAnsi="Arial" w:cs="Arial"/>
                <w:sz w:val="20"/>
                <w:szCs w:val="20"/>
              </w:rPr>
            </w:pPr>
            <w:r>
              <w:rPr>
                <w:rFonts w:ascii="Arial" w:hAnsi="Arial" w:cs="Arial"/>
                <w:sz w:val="20"/>
                <w:szCs w:val="20"/>
              </w:rPr>
              <w:t>FFS</w:t>
            </w:r>
          </w:p>
        </w:tc>
      </w:tr>
      <w:tr w:rsidR="00842DF9" w:rsidTr="00842DF9">
        <w:trPr>
          <w:trHeight w:val="400"/>
        </w:trPr>
        <w:tc>
          <w:tcPr>
            <w:tcW w:w="832" w:type="pct"/>
            <w:tcBorders>
              <w:top w:val="nil"/>
              <w:left w:val="single" w:sz="4" w:space="0" w:color="auto"/>
              <w:bottom w:val="single" w:sz="4" w:space="0" w:color="auto"/>
              <w:right w:val="single" w:sz="4" w:space="0" w:color="auto"/>
            </w:tcBorders>
            <w:shd w:val="clear" w:color="auto" w:fill="auto"/>
            <w:vAlign w:val="center"/>
            <w:hideMark/>
          </w:tcPr>
          <w:p w:rsidR="00842DF9" w:rsidRDefault="00842DF9">
            <w:pPr>
              <w:rPr>
                <w:rFonts w:ascii="Arial" w:hAnsi="Arial" w:cs="Arial"/>
                <w:sz w:val="20"/>
                <w:szCs w:val="20"/>
              </w:rPr>
            </w:pPr>
            <w:r>
              <w:rPr>
                <w:rFonts w:ascii="Arial" w:hAnsi="Arial" w:cs="Arial"/>
                <w:sz w:val="20"/>
                <w:szCs w:val="20"/>
              </w:rPr>
              <w:t>CSI-ReportConfig</w:t>
            </w:r>
          </w:p>
        </w:tc>
        <w:tc>
          <w:tcPr>
            <w:tcW w:w="758" w:type="pct"/>
            <w:tcBorders>
              <w:top w:val="nil"/>
              <w:left w:val="nil"/>
              <w:bottom w:val="single" w:sz="4" w:space="0" w:color="auto"/>
              <w:right w:val="single" w:sz="4" w:space="0" w:color="auto"/>
            </w:tcBorders>
            <w:shd w:val="clear" w:color="auto" w:fill="auto"/>
            <w:noWrap/>
            <w:vAlign w:val="center"/>
            <w:hideMark/>
          </w:tcPr>
          <w:p w:rsidR="00842DF9" w:rsidRDefault="00842DF9">
            <w:pPr>
              <w:rPr>
                <w:rFonts w:ascii="Arial" w:hAnsi="Arial" w:cs="Arial"/>
                <w:sz w:val="20"/>
                <w:szCs w:val="20"/>
              </w:rPr>
            </w:pPr>
            <w:r>
              <w:rPr>
                <w:rFonts w:ascii="Arial" w:hAnsi="Arial" w:cs="Arial"/>
                <w:sz w:val="20"/>
                <w:szCs w:val="20"/>
              </w:rPr>
              <w:t>enabledCurrentBeamReport-r19</w:t>
            </w:r>
          </w:p>
        </w:tc>
        <w:tc>
          <w:tcPr>
            <w:tcW w:w="2881" w:type="pct"/>
            <w:tcBorders>
              <w:top w:val="nil"/>
              <w:left w:val="nil"/>
              <w:bottom w:val="single" w:sz="4" w:space="0" w:color="auto"/>
              <w:right w:val="single" w:sz="4" w:space="0" w:color="auto"/>
            </w:tcBorders>
            <w:shd w:val="clear" w:color="auto" w:fill="auto"/>
            <w:vAlign w:val="center"/>
            <w:hideMark/>
          </w:tcPr>
          <w:p w:rsidR="00842DF9" w:rsidRDefault="00842DF9" w:rsidP="00842DF9">
            <w:pPr>
              <w:rPr>
                <w:rFonts w:ascii="Arial" w:hAnsi="Arial" w:cs="Arial"/>
                <w:sz w:val="20"/>
                <w:szCs w:val="20"/>
              </w:rPr>
            </w:pPr>
            <w:r>
              <w:rPr>
                <w:rFonts w:ascii="Arial" w:hAnsi="Arial" w:cs="Arial"/>
                <w:sz w:val="20"/>
                <w:szCs w:val="20"/>
              </w:rPr>
              <w:t>This parameter is to enable or disable whether current beam is always reported.</w:t>
            </w:r>
            <w:r>
              <w:rPr>
                <w:rFonts w:ascii="Arial" w:hAnsi="Arial" w:cs="Arial"/>
                <w:sz w:val="20"/>
                <w:szCs w:val="20"/>
              </w:rPr>
              <w:br/>
            </w:r>
          </w:p>
        </w:tc>
        <w:tc>
          <w:tcPr>
            <w:tcW w:w="530" w:type="pct"/>
            <w:tcBorders>
              <w:top w:val="nil"/>
              <w:left w:val="nil"/>
              <w:bottom w:val="single" w:sz="4" w:space="0" w:color="auto"/>
              <w:right w:val="single" w:sz="4" w:space="0" w:color="auto"/>
            </w:tcBorders>
            <w:shd w:val="clear" w:color="auto" w:fill="auto"/>
            <w:vAlign w:val="center"/>
            <w:hideMark/>
          </w:tcPr>
          <w:p w:rsidR="00842DF9" w:rsidRDefault="00842DF9">
            <w:pPr>
              <w:rPr>
                <w:rFonts w:ascii="Arial" w:hAnsi="Arial" w:cs="Arial"/>
                <w:sz w:val="20"/>
                <w:szCs w:val="20"/>
              </w:rPr>
            </w:pPr>
            <w:r>
              <w:rPr>
                <w:rFonts w:ascii="Arial" w:hAnsi="Arial" w:cs="Arial"/>
                <w:sz w:val="20"/>
                <w:szCs w:val="20"/>
              </w:rPr>
              <w:t>Up to RAN2</w:t>
            </w:r>
          </w:p>
        </w:tc>
      </w:tr>
      <w:tr w:rsidR="00842DF9" w:rsidTr="00842DF9">
        <w:trPr>
          <w:trHeight w:val="411"/>
        </w:trPr>
        <w:tc>
          <w:tcPr>
            <w:tcW w:w="832" w:type="pct"/>
            <w:tcBorders>
              <w:top w:val="nil"/>
              <w:left w:val="single" w:sz="4" w:space="0" w:color="auto"/>
              <w:bottom w:val="single" w:sz="4" w:space="0" w:color="auto"/>
              <w:right w:val="single" w:sz="4" w:space="0" w:color="auto"/>
            </w:tcBorders>
            <w:shd w:val="clear" w:color="auto" w:fill="auto"/>
            <w:vAlign w:val="center"/>
            <w:hideMark/>
          </w:tcPr>
          <w:p w:rsidR="00842DF9" w:rsidRDefault="00842DF9">
            <w:pPr>
              <w:rPr>
                <w:rFonts w:ascii="Arial" w:hAnsi="Arial" w:cs="Arial"/>
                <w:sz w:val="20"/>
                <w:szCs w:val="20"/>
              </w:rPr>
            </w:pPr>
            <w:r>
              <w:rPr>
                <w:rFonts w:ascii="Arial" w:hAnsi="Arial" w:cs="Arial"/>
                <w:sz w:val="20"/>
                <w:szCs w:val="20"/>
              </w:rPr>
              <w:t>CSI-ReportConfig</w:t>
            </w:r>
          </w:p>
        </w:tc>
        <w:tc>
          <w:tcPr>
            <w:tcW w:w="758" w:type="pct"/>
            <w:tcBorders>
              <w:top w:val="nil"/>
              <w:left w:val="nil"/>
              <w:bottom w:val="single" w:sz="4" w:space="0" w:color="auto"/>
              <w:right w:val="single" w:sz="4" w:space="0" w:color="auto"/>
            </w:tcBorders>
            <w:shd w:val="clear" w:color="auto" w:fill="auto"/>
            <w:vAlign w:val="center"/>
            <w:hideMark/>
          </w:tcPr>
          <w:p w:rsidR="00842DF9" w:rsidRDefault="00842DF9">
            <w:pPr>
              <w:rPr>
                <w:rFonts w:ascii="Arial" w:hAnsi="Arial" w:cs="Arial"/>
                <w:sz w:val="20"/>
                <w:szCs w:val="20"/>
              </w:rPr>
            </w:pPr>
            <w:r>
              <w:rPr>
                <w:rFonts w:ascii="Arial" w:hAnsi="Arial" w:cs="Arial"/>
                <w:sz w:val="20"/>
                <w:szCs w:val="20"/>
              </w:rPr>
              <w:t>nrofReportedRS-UEIBR-r19</w:t>
            </w:r>
          </w:p>
        </w:tc>
        <w:tc>
          <w:tcPr>
            <w:tcW w:w="2881" w:type="pct"/>
            <w:tcBorders>
              <w:top w:val="nil"/>
              <w:left w:val="nil"/>
              <w:bottom w:val="single" w:sz="4" w:space="0" w:color="auto"/>
              <w:right w:val="single" w:sz="4" w:space="0" w:color="auto"/>
            </w:tcBorders>
            <w:shd w:val="clear" w:color="auto" w:fill="auto"/>
            <w:vAlign w:val="center"/>
            <w:hideMark/>
          </w:tcPr>
          <w:p w:rsidR="00842DF9" w:rsidRDefault="00842DF9">
            <w:pPr>
              <w:rPr>
                <w:rFonts w:ascii="Arial" w:hAnsi="Arial" w:cs="Arial"/>
                <w:sz w:val="20"/>
                <w:szCs w:val="20"/>
              </w:rPr>
            </w:pPr>
            <w:r>
              <w:rPr>
                <w:rFonts w:ascii="Arial" w:hAnsi="Arial" w:cs="Arial"/>
                <w:sz w:val="20"/>
                <w:szCs w:val="20"/>
              </w:rPr>
              <w:t>This parameter is used to inform the number of reported RS(s) in a report format for UE-initated/event-driven beam reporting.</w:t>
            </w:r>
          </w:p>
        </w:tc>
        <w:tc>
          <w:tcPr>
            <w:tcW w:w="530" w:type="pct"/>
            <w:tcBorders>
              <w:top w:val="nil"/>
              <w:left w:val="nil"/>
              <w:bottom w:val="single" w:sz="4" w:space="0" w:color="auto"/>
              <w:right w:val="single" w:sz="4" w:space="0" w:color="auto"/>
            </w:tcBorders>
            <w:shd w:val="clear" w:color="auto" w:fill="auto"/>
            <w:vAlign w:val="center"/>
            <w:hideMark/>
          </w:tcPr>
          <w:p w:rsidR="00842DF9" w:rsidRDefault="00842DF9">
            <w:pPr>
              <w:rPr>
                <w:rFonts w:ascii="Arial" w:hAnsi="Arial" w:cs="Arial"/>
                <w:sz w:val="20"/>
                <w:szCs w:val="20"/>
              </w:rPr>
            </w:pPr>
            <w:r>
              <w:rPr>
                <w:rFonts w:ascii="Arial" w:hAnsi="Arial" w:cs="Arial"/>
                <w:sz w:val="20"/>
                <w:szCs w:val="20"/>
              </w:rPr>
              <w:t>FFS</w:t>
            </w:r>
          </w:p>
        </w:tc>
      </w:tr>
      <w:tr w:rsidR="00842DF9" w:rsidTr="00842DF9">
        <w:trPr>
          <w:trHeight w:val="510"/>
        </w:trPr>
        <w:tc>
          <w:tcPr>
            <w:tcW w:w="832" w:type="pct"/>
            <w:tcBorders>
              <w:top w:val="nil"/>
              <w:left w:val="single" w:sz="4" w:space="0" w:color="auto"/>
              <w:bottom w:val="single" w:sz="4" w:space="0" w:color="auto"/>
              <w:right w:val="single" w:sz="4" w:space="0" w:color="auto"/>
            </w:tcBorders>
            <w:shd w:val="clear" w:color="auto" w:fill="auto"/>
            <w:vAlign w:val="center"/>
            <w:hideMark/>
          </w:tcPr>
          <w:p w:rsidR="00842DF9" w:rsidRDefault="00842DF9">
            <w:pPr>
              <w:rPr>
                <w:rFonts w:ascii="Arial" w:hAnsi="Arial" w:cs="Arial"/>
                <w:sz w:val="20"/>
                <w:szCs w:val="20"/>
              </w:rPr>
            </w:pPr>
            <w:r>
              <w:rPr>
                <w:rFonts w:ascii="Arial" w:hAnsi="Arial" w:cs="Arial"/>
                <w:sz w:val="20"/>
                <w:szCs w:val="20"/>
              </w:rPr>
              <w:t>CSI-ReportConfig</w:t>
            </w:r>
          </w:p>
        </w:tc>
        <w:tc>
          <w:tcPr>
            <w:tcW w:w="758" w:type="pct"/>
            <w:tcBorders>
              <w:top w:val="nil"/>
              <w:left w:val="nil"/>
              <w:bottom w:val="single" w:sz="4" w:space="0" w:color="auto"/>
              <w:right w:val="single" w:sz="4" w:space="0" w:color="auto"/>
            </w:tcBorders>
            <w:shd w:val="clear" w:color="auto" w:fill="auto"/>
            <w:vAlign w:val="center"/>
            <w:hideMark/>
          </w:tcPr>
          <w:p w:rsidR="00842DF9" w:rsidRDefault="00842DF9">
            <w:pPr>
              <w:rPr>
                <w:rFonts w:ascii="Arial" w:hAnsi="Arial" w:cs="Arial"/>
                <w:sz w:val="20"/>
                <w:szCs w:val="20"/>
              </w:rPr>
            </w:pPr>
            <w:r>
              <w:rPr>
                <w:rFonts w:ascii="Arial" w:hAnsi="Arial" w:cs="Arial"/>
                <w:sz w:val="20"/>
                <w:szCs w:val="20"/>
              </w:rPr>
              <w:t>newBeamResourceSetEvent2-r19</w:t>
            </w:r>
          </w:p>
        </w:tc>
        <w:tc>
          <w:tcPr>
            <w:tcW w:w="2881" w:type="pct"/>
            <w:tcBorders>
              <w:top w:val="nil"/>
              <w:left w:val="nil"/>
              <w:bottom w:val="single" w:sz="4" w:space="0" w:color="auto"/>
              <w:right w:val="single" w:sz="4" w:space="0" w:color="auto"/>
            </w:tcBorders>
            <w:shd w:val="clear" w:color="auto" w:fill="auto"/>
            <w:vAlign w:val="center"/>
            <w:hideMark/>
          </w:tcPr>
          <w:p w:rsidR="00842DF9" w:rsidRDefault="00842DF9">
            <w:pPr>
              <w:rPr>
                <w:rFonts w:ascii="Arial" w:hAnsi="Arial" w:cs="Arial"/>
                <w:sz w:val="20"/>
                <w:szCs w:val="20"/>
              </w:rPr>
            </w:pPr>
            <w:r>
              <w:rPr>
                <w:rFonts w:ascii="Arial" w:hAnsi="Arial" w:cs="Arial"/>
                <w:sz w:val="20"/>
                <w:szCs w:val="20"/>
              </w:rPr>
              <w:t>This parameter is used to confiure the new beam resource set for Event 2 (Opt1)</w:t>
            </w:r>
          </w:p>
        </w:tc>
        <w:tc>
          <w:tcPr>
            <w:tcW w:w="530" w:type="pct"/>
            <w:tcBorders>
              <w:top w:val="nil"/>
              <w:left w:val="nil"/>
              <w:bottom w:val="single" w:sz="4" w:space="0" w:color="auto"/>
              <w:right w:val="single" w:sz="4" w:space="0" w:color="auto"/>
            </w:tcBorders>
            <w:shd w:val="clear" w:color="auto" w:fill="auto"/>
            <w:noWrap/>
            <w:vAlign w:val="center"/>
            <w:hideMark/>
          </w:tcPr>
          <w:p w:rsidR="00842DF9" w:rsidRDefault="00842DF9">
            <w:pPr>
              <w:rPr>
                <w:rFonts w:ascii="Arial" w:hAnsi="Arial" w:cs="Arial"/>
                <w:sz w:val="20"/>
                <w:szCs w:val="20"/>
              </w:rPr>
            </w:pPr>
            <w:r>
              <w:rPr>
                <w:rFonts w:ascii="Arial" w:hAnsi="Arial" w:cs="Arial"/>
                <w:sz w:val="20"/>
                <w:szCs w:val="20"/>
              </w:rPr>
              <w:t>FFS</w:t>
            </w:r>
          </w:p>
        </w:tc>
      </w:tr>
      <w:tr w:rsidR="00842DF9" w:rsidRPr="00842DF9" w:rsidTr="00842DF9">
        <w:trPr>
          <w:trHeight w:val="572"/>
        </w:trPr>
        <w:tc>
          <w:tcPr>
            <w:tcW w:w="832" w:type="pct"/>
            <w:tcBorders>
              <w:top w:val="nil"/>
              <w:left w:val="single" w:sz="4" w:space="0" w:color="auto"/>
              <w:bottom w:val="single" w:sz="4" w:space="0" w:color="auto"/>
              <w:right w:val="single" w:sz="4" w:space="0" w:color="auto"/>
            </w:tcBorders>
            <w:shd w:val="clear" w:color="auto" w:fill="auto"/>
            <w:vAlign w:val="center"/>
            <w:hideMark/>
          </w:tcPr>
          <w:p w:rsidR="00842DF9" w:rsidRPr="00842DF9" w:rsidRDefault="00842DF9">
            <w:pPr>
              <w:rPr>
                <w:rFonts w:ascii="Arial" w:hAnsi="Arial" w:cs="Arial"/>
                <w:sz w:val="20"/>
                <w:szCs w:val="20"/>
              </w:rPr>
            </w:pPr>
            <w:r w:rsidRPr="00842DF9">
              <w:rPr>
                <w:rFonts w:ascii="Arial" w:hAnsi="Arial" w:cs="Arial"/>
                <w:sz w:val="20"/>
                <w:szCs w:val="20"/>
              </w:rPr>
              <w:t>CSI-ReportConfig</w:t>
            </w:r>
          </w:p>
        </w:tc>
        <w:tc>
          <w:tcPr>
            <w:tcW w:w="758" w:type="pct"/>
            <w:tcBorders>
              <w:top w:val="nil"/>
              <w:left w:val="nil"/>
              <w:bottom w:val="single" w:sz="4" w:space="0" w:color="auto"/>
              <w:right w:val="single" w:sz="4" w:space="0" w:color="auto"/>
            </w:tcBorders>
            <w:shd w:val="clear" w:color="auto" w:fill="auto"/>
            <w:vAlign w:val="center"/>
            <w:hideMark/>
          </w:tcPr>
          <w:p w:rsidR="00842DF9" w:rsidRPr="00842DF9" w:rsidRDefault="00842DF9">
            <w:pPr>
              <w:rPr>
                <w:rFonts w:ascii="Arial" w:hAnsi="Arial" w:cs="Arial"/>
                <w:sz w:val="20"/>
                <w:szCs w:val="20"/>
              </w:rPr>
            </w:pPr>
            <w:r w:rsidRPr="00842DF9">
              <w:rPr>
                <w:rFonts w:ascii="Arial" w:hAnsi="Arial" w:cs="Arial"/>
                <w:sz w:val="20"/>
                <w:szCs w:val="20"/>
              </w:rPr>
              <w:t>eventType-r19</w:t>
            </w:r>
          </w:p>
        </w:tc>
        <w:tc>
          <w:tcPr>
            <w:tcW w:w="2881" w:type="pct"/>
            <w:tcBorders>
              <w:top w:val="nil"/>
              <w:left w:val="nil"/>
              <w:bottom w:val="single" w:sz="4" w:space="0" w:color="auto"/>
              <w:right w:val="single" w:sz="4" w:space="0" w:color="auto"/>
            </w:tcBorders>
            <w:shd w:val="clear" w:color="auto" w:fill="auto"/>
            <w:vAlign w:val="center"/>
            <w:hideMark/>
          </w:tcPr>
          <w:p w:rsidR="00842DF9" w:rsidRPr="00842DF9" w:rsidRDefault="00842DF9" w:rsidP="00842DF9">
            <w:pPr>
              <w:rPr>
                <w:rFonts w:ascii="Arial" w:hAnsi="Arial" w:cs="Arial"/>
                <w:sz w:val="20"/>
                <w:szCs w:val="20"/>
              </w:rPr>
            </w:pPr>
            <w:r w:rsidRPr="00842DF9">
              <w:rPr>
                <w:rFonts w:ascii="Arial" w:hAnsi="Arial" w:cs="Arial"/>
                <w:sz w:val="20"/>
                <w:szCs w:val="20"/>
              </w:rPr>
              <w:t>This parameter is used to inform a event type for UE-initated/event-driven beam reporting.-  Event-1/2/7</w:t>
            </w:r>
          </w:p>
        </w:tc>
        <w:tc>
          <w:tcPr>
            <w:tcW w:w="530" w:type="pct"/>
            <w:tcBorders>
              <w:top w:val="nil"/>
              <w:left w:val="nil"/>
              <w:bottom w:val="single" w:sz="4" w:space="0" w:color="auto"/>
              <w:right w:val="single" w:sz="4" w:space="0" w:color="auto"/>
            </w:tcBorders>
            <w:shd w:val="clear" w:color="auto" w:fill="auto"/>
            <w:vAlign w:val="center"/>
            <w:hideMark/>
          </w:tcPr>
          <w:p w:rsidR="00842DF9" w:rsidRPr="00842DF9" w:rsidRDefault="00842DF9">
            <w:pPr>
              <w:rPr>
                <w:rFonts w:ascii="Arial" w:hAnsi="Arial" w:cs="Arial"/>
                <w:sz w:val="20"/>
                <w:szCs w:val="20"/>
              </w:rPr>
            </w:pPr>
            <w:r w:rsidRPr="00842DF9">
              <w:rPr>
                <w:rFonts w:ascii="Arial" w:hAnsi="Arial" w:cs="Arial"/>
                <w:sz w:val="20"/>
                <w:szCs w:val="20"/>
              </w:rPr>
              <w:t>{Event1, Event2, Event7}</w:t>
            </w:r>
          </w:p>
        </w:tc>
      </w:tr>
      <w:tr w:rsidR="00842DF9" w:rsidRPr="00842DF9" w:rsidTr="00842DF9">
        <w:trPr>
          <w:trHeight w:val="361"/>
        </w:trPr>
        <w:tc>
          <w:tcPr>
            <w:tcW w:w="832" w:type="pct"/>
            <w:tcBorders>
              <w:top w:val="nil"/>
              <w:left w:val="single" w:sz="4" w:space="0" w:color="auto"/>
              <w:bottom w:val="single" w:sz="4" w:space="0" w:color="auto"/>
              <w:right w:val="single" w:sz="4" w:space="0" w:color="auto"/>
            </w:tcBorders>
            <w:shd w:val="clear" w:color="auto" w:fill="auto"/>
            <w:vAlign w:val="center"/>
            <w:hideMark/>
          </w:tcPr>
          <w:p w:rsidR="00842DF9" w:rsidRPr="00842DF9" w:rsidRDefault="00842DF9">
            <w:pPr>
              <w:rPr>
                <w:rFonts w:ascii="Arial" w:hAnsi="Arial" w:cs="Arial"/>
                <w:sz w:val="20"/>
                <w:szCs w:val="20"/>
              </w:rPr>
            </w:pPr>
            <w:r w:rsidRPr="00842DF9">
              <w:rPr>
                <w:rFonts w:ascii="Arial" w:hAnsi="Arial" w:cs="Arial"/>
                <w:sz w:val="20"/>
                <w:szCs w:val="20"/>
              </w:rPr>
              <w:t>CSI-ReportConfig</w:t>
            </w:r>
          </w:p>
        </w:tc>
        <w:tc>
          <w:tcPr>
            <w:tcW w:w="758" w:type="pct"/>
            <w:tcBorders>
              <w:top w:val="nil"/>
              <w:left w:val="nil"/>
              <w:bottom w:val="single" w:sz="4" w:space="0" w:color="auto"/>
              <w:right w:val="single" w:sz="4" w:space="0" w:color="auto"/>
            </w:tcBorders>
            <w:shd w:val="clear" w:color="auto" w:fill="auto"/>
            <w:vAlign w:val="center"/>
            <w:hideMark/>
          </w:tcPr>
          <w:p w:rsidR="00842DF9" w:rsidRPr="00842DF9" w:rsidRDefault="00842DF9">
            <w:pPr>
              <w:rPr>
                <w:rFonts w:ascii="Arial" w:hAnsi="Arial" w:cs="Arial"/>
                <w:sz w:val="20"/>
                <w:szCs w:val="20"/>
              </w:rPr>
            </w:pPr>
            <w:r w:rsidRPr="00842DF9">
              <w:rPr>
                <w:rFonts w:ascii="Arial" w:hAnsi="Arial" w:cs="Arial"/>
                <w:sz w:val="20"/>
                <w:szCs w:val="20"/>
              </w:rPr>
              <w:t>valueOfM</w:t>
            </w:r>
          </w:p>
        </w:tc>
        <w:tc>
          <w:tcPr>
            <w:tcW w:w="2881" w:type="pct"/>
            <w:tcBorders>
              <w:top w:val="nil"/>
              <w:left w:val="nil"/>
              <w:bottom w:val="single" w:sz="4" w:space="0" w:color="auto"/>
              <w:right w:val="single" w:sz="4" w:space="0" w:color="auto"/>
            </w:tcBorders>
            <w:shd w:val="clear" w:color="auto" w:fill="auto"/>
            <w:vAlign w:val="center"/>
            <w:hideMark/>
          </w:tcPr>
          <w:p w:rsidR="00842DF9" w:rsidRPr="00842DF9" w:rsidRDefault="00842DF9" w:rsidP="00842DF9">
            <w:pPr>
              <w:rPr>
                <w:rFonts w:ascii="Arial" w:hAnsi="Arial" w:cs="Arial"/>
                <w:sz w:val="20"/>
                <w:szCs w:val="20"/>
              </w:rPr>
            </w:pPr>
            <w:r w:rsidRPr="00842DF9">
              <w:rPr>
                <w:rFonts w:ascii="Arial" w:hAnsi="Arial" w:cs="Arial"/>
                <w:sz w:val="20"/>
                <w:szCs w:val="20"/>
              </w:rPr>
              <w:t>This parameter is used to inform the value of M for Event7</w:t>
            </w:r>
          </w:p>
        </w:tc>
        <w:tc>
          <w:tcPr>
            <w:tcW w:w="530" w:type="pct"/>
            <w:tcBorders>
              <w:top w:val="nil"/>
              <w:left w:val="nil"/>
              <w:bottom w:val="single" w:sz="4" w:space="0" w:color="auto"/>
              <w:right w:val="single" w:sz="4" w:space="0" w:color="auto"/>
            </w:tcBorders>
            <w:shd w:val="clear" w:color="auto" w:fill="auto"/>
            <w:noWrap/>
            <w:vAlign w:val="center"/>
            <w:hideMark/>
          </w:tcPr>
          <w:p w:rsidR="00842DF9" w:rsidRPr="00842DF9" w:rsidRDefault="00842DF9">
            <w:pPr>
              <w:rPr>
                <w:rFonts w:ascii="Arial" w:hAnsi="Arial" w:cs="Arial"/>
                <w:sz w:val="20"/>
                <w:szCs w:val="20"/>
              </w:rPr>
            </w:pPr>
            <w:r w:rsidRPr="00842DF9">
              <w:rPr>
                <w:rFonts w:ascii="Arial" w:hAnsi="Arial" w:cs="Arial"/>
                <w:sz w:val="20"/>
                <w:szCs w:val="20"/>
              </w:rPr>
              <w:t>FFS</w:t>
            </w:r>
          </w:p>
        </w:tc>
      </w:tr>
      <w:tr w:rsidR="00842DF9" w:rsidRPr="00842DF9" w:rsidTr="00842DF9">
        <w:trPr>
          <w:trHeight w:val="609"/>
        </w:trPr>
        <w:tc>
          <w:tcPr>
            <w:tcW w:w="832" w:type="pct"/>
            <w:tcBorders>
              <w:top w:val="nil"/>
              <w:left w:val="single" w:sz="4" w:space="0" w:color="auto"/>
              <w:bottom w:val="single" w:sz="4" w:space="0" w:color="auto"/>
              <w:right w:val="single" w:sz="4" w:space="0" w:color="auto"/>
            </w:tcBorders>
            <w:shd w:val="clear" w:color="auto" w:fill="auto"/>
            <w:vAlign w:val="center"/>
            <w:hideMark/>
          </w:tcPr>
          <w:p w:rsidR="00842DF9" w:rsidRPr="00842DF9" w:rsidRDefault="00842DF9">
            <w:pPr>
              <w:rPr>
                <w:rFonts w:ascii="Arial" w:hAnsi="Arial" w:cs="Arial"/>
                <w:sz w:val="20"/>
                <w:szCs w:val="20"/>
              </w:rPr>
            </w:pPr>
            <w:r w:rsidRPr="00842DF9">
              <w:rPr>
                <w:rFonts w:ascii="Arial" w:hAnsi="Arial" w:cs="Arial"/>
                <w:sz w:val="20"/>
                <w:szCs w:val="20"/>
              </w:rPr>
              <w:t>CSI-ReportConfig</w:t>
            </w:r>
          </w:p>
        </w:tc>
        <w:tc>
          <w:tcPr>
            <w:tcW w:w="758" w:type="pct"/>
            <w:tcBorders>
              <w:top w:val="nil"/>
              <w:left w:val="nil"/>
              <w:bottom w:val="single" w:sz="4" w:space="0" w:color="auto"/>
              <w:right w:val="single" w:sz="4" w:space="0" w:color="auto"/>
            </w:tcBorders>
            <w:shd w:val="clear" w:color="auto" w:fill="auto"/>
            <w:vAlign w:val="center"/>
            <w:hideMark/>
          </w:tcPr>
          <w:p w:rsidR="00842DF9" w:rsidRPr="00842DF9" w:rsidRDefault="00842DF9">
            <w:pPr>
              <w:rPr>
                <w:rFonts w:ascii="Arial" w:hAnsi="Arial" w:cs="Arial"/>
                <w:sz w:val="20"/>
                <w:szCs w:val="20"/>
              </w:rPr>
            </w:pPr>
            <w:r w:rsidRPr="00842DF9">
              <w:rPr>
                <w:rFonts w:ascii="Arial" w:hAnsi="Arial" w:cs="Arial"/>
                <w:sz w:val="20"/>
                <w:szCs w:val="20"/>
              </w:rPr>
              <w:t>configuredResourceForSecondChannelOfModeB</w:t>
            </w:r>
          </w:p>
        </w:tc>
        <w:tc>
          <w:tcPr>
            <w:tcW w:w="2881" w:type="pct"/>
            <w:tcBorders>
              <w:top w:val="nil"/>
              <w:left w:val="nil"/>
              <w:bottom w:val="single" w:sz="4" w:space="0" w:color="auto"/>
              <w:right w:val="single" w:sz="4" w:space="0" w:color="auto"/>
            </w:tcBorders>
            <w:shd w:val="clear" w:color="auto" w:fill="auto"/>
            <w:vAlign w:val="center"/>
            <w:hideMark/>
          </w:tcPr>
          <w:p w:rsidR="00842DF9" w:rsidRPr="00842DF9" w:rsidRDefault="00842DF9">
            <w:pPr>
              <w:rPr>
                <w:rFonts w:ascii="Arial" w:hAnsi="Arial" w:cs="Arial"/>
                <w:sz w:val="20"/>
                <w:szCs w:val="20"/>
              </w:rPr>
            </w:pPr>
            <w:r w:rsidRPr="00842DF9">
              <w:rPr>
                <w:rFonts w:ascii="Arial" w:hAnsi="Arial" w:cs="Arial"/>
                <w:sz w:val="20"/>
                <w:szCs w:val="20"/>
              </w:rPr>
              <w:t>This parameter is used to inform Type-1 CG PUSCH resource for second channel in mode-B</w:t>
            </w:r>
          </w:p>
        </w:tc>
        <w:tc>
          <w:tcPr>
            <w:tcW w:w="530" w:type="pct"/>
            <w:tcBorders>
              <w:top w:val="nil"/>
              <w:left w:val="nil"/>
              <w:bottom w:val="single" w:sz="4" w:space="0" w:color="auto"/>
              <w:right w:val="single" w:sz="4" w:space="0" w:color="auto"/>
            </w:tcBorders>
            <w:shd w:val="clear" w:color="auto" w:fill="auto"/>
            <w:vAlign w:val="center"/>
            <w:hideMark/>
          </w:tcPr>
          <w:p w:rsidR="00842DF9" w:rsidRPr="00842DF9" w:rsidRDefault="00842DF9">
            <w:pPr>
              <w:rPr>
                <w:rFonts w:ascii="Arial" w:hAnsi="Arial" w:cs="Arial"/>
                <w:sz w:val="20"/>
                <w:szCs w:val="20"/>
              </w:rPr>
            </w:pPr>
            <w:r w:rsidRPr="00842DF9">
              <w:rPr>
                <w:rFonts w:ascii="Arial" w:hAnsi="Arial" w:cs="Arial"/>
                <w:sz w:val="20"/>
                <w:szCs w:val="20"/>
              </w:rPr>
              <w:t>configuredGrantConfigIndex</w:t>
            </w:r>
          </w:p>
        </w:tc>
      </w:tr>
    </w:tbl>
    <w:p w:rsidR="00842DF9" w:rsidRPr="00842DF9" w:rsidRDefault="00842DF9" w:rsidP="00842DF9">
      <w:pPr>
        <w:rPr>
          <w:rFonts w:eastAsiaTheme="minorEastAsia"/>
          <w:sz w:val="21"/>
          <w:szCs w:val="21"/>
        </w:rPr>
      </w:pPr>
    </w:p>
    <w:p w:rsidR="00542C3D" w:rsidRPr="00542C3D" w:rsidRDefault="00542C3D" w:rsidP="00542C3D">
      <w:pPr>
        <w:rPr>
          <w:rFonts w:eastAsiaTheme="minorEastAsia"/>
          <w:sz w:val="21"/>
          <w:szCs w:val="21"/>
        </w:rPr>
      </w:pPr>
      <w:r>
        <w:rPr>
          <w:rFonts w:eastAsiaTheme="minorEastAsia"/>
          <w:sz w:val="21"/>
          <w:szCs w:val="21"/>
        </w:rPr>
        <w:t>These</w:t>
      </w:r>
      <w:r w:rsidRPr="00542C3D">
        <w:rPr>
          <w:rFonts w:eastAsiaTheme="minorEastAsia"/>
          <w:sz w:val="21"/>
          <w:szCs w:val="21"/>
        </w:rPr>
        <w:t xml:space="preserve"> parameters </w:t>
      </w:r>
      <w:r>
        <w:rPr>
          <w:rFonts w:eastAsiaTheme="minorEastAsia"/>
          <w:sz w:val="21"/>
          <w:szCs w:val="21"/>
        </w:rPr>
        <w:t>can be divided into 2 types:</w:t>
      </w:r>
    </w:p>
    <w:p w:rsidR="00542C3D" w:rsidRPr="009F43CA" w:rsidRDefault="00542C3D" w:rsidP="00542C3D">
      <w:pPr>
        <w:pStyle w:val="af5"/>
        <w:rPr>
          <w:rFonts w:eastAsiaTheme="minorEastAsia"/>
          <w:sz w:val="21"/>
          <w:szCs w:val="21"/>
        </w:rPr>
      </w:pPr>
    </w:p>
    <w:p w:rsidR="00542C3D" w:rsidRPr="009F43CA" w:rsidRDefault="00542C3D" w:rsidP="00542C3D">
      <w:pPr>
        <w:pStyle w:val="af5"/>
        <w:numPr>
          <w:ilvl w:val="0"/>
          <w:numId w:val="32"/>
        </w:numPr>
        <w:rPr>
          <w:rFonts w:eastAsiaTheme="minorEastAsia"/>
          <w:sz w:val="21"/>
          <w:szCs w:val="21"/>
        </w:rPr>
      </w:pPr>
      <w:r>
        <w:rPr>
          <w:rFonts w:eastAsiaTheme="minorEastAsia"/>
          <w:sz w:val="21"/>
          <w:szCs w:val="21"/>
        </w:rPr>
        <w:t xml:space="preserve">Type 1: </w:t>
      </w:r>
      <w:r w:rsidRPr="009F43CA">
        <w:rPr>
          <w:rFonts w:eastAsiaTheme="minorEastAsia"/>
          <w:sz w:val="21"/>
          <w:szCs w:val="21"/>
        </w:rPr>
        <w:t xml:space="preserve">Procedure specific parameters: </w:t>
      </w:r>
      <w:r w:rsidRPr="009F43CA">
        <w:rPr>
          <w:sz w:val="20"/>
          <w:szCs w:val="20"/>
        </w:rPr>
        <w:t>reportTransmissionMode-r19, configuredResourceForSecondChannelOfModeB</w:t>
      </w:r>
    </w:p>
    <w:p w:rsidR="00542C3D" w:rsidRDefault="00542C3D" w:rsidP="00542C3D">
      <w:pPr>
        <w:rPr>
          <w:rFonts w:eastAsiaTheme="minorEastAsia"/>
          <w:sz w:val="21"/>
          <w:szCs w:val="21"/>
        </w:rPr>
      </w:pPr>
    </w:p>
    <w:p w:rsidR="00542C3D" w:rsidRPr="009F43CA" w:rsidRDefault="00542C3D" w:rsidP="00542C3D">
      <w:pPr>
        <w:pStyle w:val="af5"/>
        <w:numPr>
          <w:ilvl w:val="0"/>
          <w:numId w:val="32"/>
        </w:numPr>
        <w:rPr>
          <w:rFonts w:eastAsiaTheme="minorEastAsia"/>
          <w:sz w:val="21"/>
          <w:szCs w:val="21"/>
        </w:rPr>
      </w:pPr>
      <w:r>
        <w:rPr>
          <w:rFonts w:eastAsiaTheme="minorEastAsia"/>
          <w:sz w:val="21"/>
          <w:szCs w:val="21"/>
        </w:rPr>
        <w:t xml:space="preserve">Type 2: </w:t>
      </w:r>
      <w:r w:rsidRPr="009F43CA">
        <w:rPr>
          <w:rFonts w:eastAsiaTheme="minorEastAsia"/>
          <w:sz w:val="21"/>
          <w:szCs w:val="21"/>
        </w:rPr>
        <w:t>Event specific parameters:</w:t>
      </w:r>
    </w:p>
    <w:p w:rsidR="00542C3D" w:rsidRPr="009F43CA" w:rsidRDefault="00542C3D" w:rsidP="000B20E4">
      <w:pPr>
        <w:pStyle w:val="af5"/>
        <w:numPr>
          <w:ilvl w:val="0"/>
          <w:numId w:val="36"/>
        </w:numPr>
        <w:jc w:val="both"/>
        <w:rPr>
          <w:rFonts w:eastAsiaTheme="minorEastAsia"/>
          <w:sz w:val="21"/>
          <w:szCs w:val="21"/>
        </w:rPr>
      </w:pPr>
      <w:r w:rsidRPr="009F43CA">
        <w:rPr>
          <w:rFonts w:eastAsiaTheme="minorEastAsia"/>
          <w:sz w:val="21"/>
          <w:szCs w:val="21"/>
        </w:rPr>
        <w:t>Event 2: eventThreshold-r19, eventDetectionTimeWindowLength-r19, eventInstanceCount-r19, eventInstanceCount-r19, nrofReportedRS-UEIBR-r19, newBeamResourceSetEvent2-r19</w:t>
      </w:r>
      <w:r w:rsidR="000B20E4">
        <w:rPr>
          <w:rFonts w:eastAsiaTheme="minorEastAsia"/>
          <w:sz w:val="21"/>
          <w:szCs w:val="21"/>
        </w:rPr>
        <w:t>.</w:t>
      </w:r>
    </w:p>
    <w:p w:rsidR="00542C3D" w:rsidRPr="009F43CA" w:rsidRDefault="00542C3D" w:rsidP="00542C3D">
      <w:pPr>
        <w:pStyle w:val="af5"/>
        <w:ind w:left="1352"/>
        <w:rPr>
          <w:rFonts w:eastAsiaTheme="minorEastAsia"/>
          <w:sz w:val="21"/>
          <w:szCs w:val="21"/>
        </w:rPr>
      </w:pPr>
    </w:p>
    <w:p w:rsidR="00542C3D" w:rsidRDefault="00542C3D" w:rsidP="00542C3D">
      <w:pPr>
        <w:pStyle w:val="af5"/>
        <w:numPr>
          <w:ilvl w:val="0"/>
          <w:numId w:val="36"/>
        </w:numPr>
        <w:rPr>
          <w:rFonts w:eastAsiaTheme="minorEastAsia"/>
          <w:sz w:val="21"/>
          <w:szCs w:val="21"/>
        </w:rPr>
      </w:pPr>
      <w:r>
        <w:rPr>
          <w:rFonts w:eastAsiaTheme="minorEastAsia"/>
          <w:sz w:val="21"/>
          <w:szCs w:val="21"/>
        </w:rPr>
        <w:t>E</w:t>
      </w:r>
      <w:r w:rsidRPr="009F43CA">
        <w:rPr>
          <w:rFonts w:eastAsiaTheme="minorEastAsia"/>
          <w:sz w:val="21"/>
          <w:szCs w:val="21"/>
        </w:rPr>
        <w:t>vent 7: valueOfM, and may also include the parameters currently defined for the Event 2</w:t>
      </w:r>
    </w:p>
    <w:p w:rsidR="00B94166" w:rsidRPr="00B94166" w:rsidRDefault="00B94166" w:rsidP="00B94166">
      <w:pPr>
        <w:pStyle w:val="af5"/>
        <w:rPr>
          <w:rFonts w:eastAsiaTheme="minorEastAsia"/>
          <w:sz w:val="21"/>
          <w:szCs w:val="21"/>
        </w:rPr>
      </w:pPr>
    </w:p>
    <w:p w:rsidR="00B94166" w:rsidRPr="009F43CA" w:rsidRDefault="00B94166" w:rsidP="00B94166">
      <w:pPr>
        <w:pStyle w:val="af5"/>
        <w:ind w:left="1352"/>
        <w:rPr>
          <w:rFonts w:eastAsiaTheme="minorEastAsia"/>
          <w:sz w:val="21"/>
          <w:szCs w:val="21"/>
        </w:rPr>
      </w:pPr>
    </w:p>
    <w:p w:rsidR="00542C3D" w:rsidRDefault="00542C3D" w:rsidP="000B20E4">
      <w:pPr>
        <w:jc w:val="both"/>
        <w:rPr>
          <w:rFonts w:eastAsiaTheme="minorEastAsia"/>
          <w:sz w:val="21"/>
          <w:szCs w:val="21"/>
        </w:rPr>
      </w:pPr>
      <w:r>
        <w:rPr>
          <w:rFonts w:eastAsiaTheme="minorEastAsia"/>
          <w:sz w:val="21"/>
          <w:szCs w:val="21"/>
        </w:rPr>
        <w:t>For the type 1, it’s quite clear that it shall be configured at the per cell level, but for the type 2 parameters, a</w:t>
      </w:r>
      <w:r w:rsidR="009F43CA">
        <w:rPr>
          <w:rFonts w:eastAsiaTheme="minorEastAsia"/>
          <w:sz w:val="21"/>
          <w:szCs w:val="21"/>
        </w:rPr>
        <w:t xml:space="preserve">ccording to the RAN1’s discussion, the UEIBM are </w:t>
      </w:r>
      <w:r>
        <w:rPr>
          <w:rFonts w:eastAsiaTheme="minorEastAsia"/>
          <w:sz w:val="21"/>
          <w:szCs w:val="21"/>
        </w:rPr>
        <w:t>triggered</w:t>
      </w:r>
      <w:r w:rsidR="009F43CA">
        <w:rPr>
          <w:rFonts w:eastAsiaTheme="minorEastAsia"/>
          <w:sz w:val="21"/>
          <w:szCs w:val="21"/>
        </w:rPr>
        <w:t xml:space="preserve"> at BWP level (i.e. the active BWP) but the parent IE </w:t>
      </w:r>
      <w:r w:rsidR="009F43CA" w:rsidRPr="009F43CA">
        <w:rPr>
          <w:rFonts w:eastAsiaTheme="minorEastAsia"/>
          <w:i/>
          <w:sz w:val="21"/>
          <w:szCs w:val="21"/>
        </w:rPr>
        <w:t>CSI-ReportConfig</w:t>
      </w:r>
      <w:r w:rsidR="009F43CA">
        <w:rPr>
          <w:rFonts w:eastAsiaTheme="minorEastAsia"/>
          <w:i/>
          <w:sz w:val="21"/>
          <w:szCs w:val="21"/>
        </w:rPr>
        <w:t xml:space="preserve"> </w:t>
      </w:r>
      <w:r w:rsidR="009F43CA" w:rsidRPr="009F43CA">
        <w:rPr>
          <w:rFonts w:eastAsiaTheme="minorEastAsia"/>
          <w:sz w:val="21"/>
          <w:szCs w:val="21"/>
        </w:rPr>
        <w:t>is per cell level</w:t>
      </w:r>
      <w:r w:rsidR="009F43CA">
        <w:rPr>
          <w:rFonts w:eastAsiaTheme="minorEastAsia"/>
          <w:sz w:val="21"/>
          <w:szCs w:val="21"/>
        </w:rPr>
        <w:t xml:space="preserve">. </w:t>
      </w:r>
      <w:r>
        <w:rPr>
          <w:rFonts w:eastAsiaTheme="minorEastAsia"/>
          <w:sz w:val="21"/>
          <w:szCs w:val="21"/>
        </w:rPr>
        <w:t>Then question is w</w:t>
      </w:r>
      <w:r w:rsidRPr="00542C3D">
        <w:rPr>
          <w:rFonts w:eastAsiaTheme="minorEastAsia"/>
          <w:sz w:val="21"/>
          <w:szCs w:val="21"/>
        </w:rPr>
        <w:t xml:space="preserve">hether and how to associate these </w:t>
      </w:r>
      <w:r>
        <w:rPr>
          <w:rFonts w:eastAsiaTheme="minorEastAsia"/>
          <w:sz w:val="21"/>
          <w:szCs w:val="21"/>
        </w:rPr>
        <w:t xml:space="preserve">event specific </w:t>
      </w:r>
      <w:r w:rsidRPr="00542C3D">
        <w:rPr>
          <w:rFonts w:eastAsiaTheme="minorEastAsia"/>
          <w:sz w:val="21"/>
          <w:szCs w:val="21"/>
        </w:rPr>
        <w:t>parameters with BWP ID</w:t>
      </w:r>
      <w:r>
        <w:rPr>
          <w:rFonts w:eastAsiaTheme="minorEastAsia"/>
          <w:sz w:val="21"/>
          <w:szCs w:val="21"/>
        </w:rPr>
        <w:t xml:space="preserve">. </w:t>
      </w:r>
    </w:p>
    <w:p w:rsidR="00542C3D" w:rsidRDefault="00542C3D" w:rsidP="000B20E4">
      <w:pPr>
        <w:jc w:val="both"/>
        <w:rPr>
          <w:rFonts w:eastAsiaTheme="minorEastAsia"/>
          <w:sz w:val="21"/>
          <w:szCs w:val="21"/>
        </w:rPr>
      </w:pPr>
    </w:p>
    <w:p w:rsidR="00542C3D" w:rsidRPr="009F43CA" w:rsidRDefault="00542C3D" w:rsidP="00B94166">
      <w:pPr>
        <w:jc w:val="both"/>
        <w:rPr>
          <w:rFonts w:eastAsiaTheme="minorEastAsia"/>
          <w:b/>
          <w:sz w:val="21"/>
          <w:szCs w:val="21"/>
        </w:rPr>
      </w:pPr>
      <w:r w:rsidRPr="009F43CA">
        <w:rPr>
          <w:rFonts w:eastAsiaTheme="minorEastAsia"/>
          <w:b/>
          <w:sz w:val="21"/>
          <w:szCs w:val="21"/>
        </w:rPr>
        <w:t>Observation 1: T</w:t>
      </w:r>
      <w:r>
        <w:rPr>
          <w:rFonts w:eastAsiaTheme="minorEastAsia"/>
          <w:b/>
          <w:sz w:val="21"/>
          <w:szCs w:val="21"/>
        </w:rPr>
        <w:t>he UEIBM</w:t>
      </w:r>
      <w:r w:rsidRPr="009F43CA">
        <w:rPr>
          <w:rFonts w:eastAsiaTheme="minorEastAsia"/>
          <w:b/>
          <w:sz w:val="21"/>
          <w:szCs w:val="21"/>
        </w:rPr>
        <w:t xml:space="preserve"> would be managed on the BWP level, however the current RAN1 parameters are defined as per Cell level.</w:t>
      </w:r>
    </w:p>
    <w:p w:rsidR="00542C3D" w:rsidRDefault="00542C3D" w:rsidP="00131A5A">
      <w:pPr>
        <w:rPr>
          <w:rFonts w:eastAsiaTheme="minorEastAsia"/>
          <w:sz w:val="21"/>
          <w:szCs w:val="21"/>
        </w:rPr>
      </w:pPr>
    </w:p>
    <w:p w:rsidR="00542C3D" w:rsidRDefault="00542C3D" w:rsidP="00131A5A">
      <w:pPr>
        <w:rPr>
          <w:rFonts w:eastAsiaTheme="minorEastAsia"/>
          <w:sz w:val="21"/>
          <w:szCs w:val="21"/>
        </w:rPr>
      </w:pPr>
    </w:p>
    <w:p w:rsidR="009F43CA" w:rsidRPr="009F43CA" w:rsidRDefault="009F43CA" w:rsidP="00131A5A">
      <w:pPr>
        <w:rPr>
          <w:rFonts w:eastAsiaTheme="minorEastAsia"/>
          <w:sz w:val="21"/>
          <w:szCs w:val="21"/>
        </w:rPr>
      </w:pPr>
      <w:r>
        <w:rPr>
          <w:rFonts w:eastAsiaTheme="minorEastAsia"/>
          <w:sz w:val="21"/>
          <w:szCs w:val="21"/>
        </w:rPr>
        <w:t xml:space="preserve">Take the </w:t>
      </w:r>
      <w:r w:rsidRPr="00B94166">
        <w:rPr>
          <w:rFonts w:eastAsiaTheme="minorEastAsia"/>
          <w:i/>
          <w:sz w:val="21"/>
          <w:szCs w:val="21"/>
        </w:rPr>
        <w:t>newBeamResourceSetEvent2-r19</w:t>
      </w:r>
      <w:r w:rsidRPr="00B94166">
        <w:rPr>
          <w:rFonts w:eastAsiaTheme="minorEastAsia"/>
          <w:sz w:val="21"/>
          <w:szCs w:val="21"/>
        </w:rPr>
        <w:t xml:space="preserve"> as an example:</w:t>
      </w:r>
    </w:p>
    <w:tbl>
      <w:tblPr>
        <w:tblW w:w="5000" w:type="pct"/>
        <w:tblLayout w:type="fixed"/>
        <w:tblLook w:val="04A0" w:firstRow="1" w:lastRow="0" w:firstColumn="1" w:lastColumn="0" w:noHBand="0" w:noVBand="1"/>
      </w:tblPr>
      <w:tblGrid>
        <w:gridCol w:w="1557"/>
        <w:gridCol w:w="1417"/>
        <w:gridCol w:w="5387"/>
        <w:gridCol w:w="989"/>
      </w:tblGrid>
      <w:tr w:rsidR="009F43CA" w:rsidTr="003219D5">
        <w:trPr>
          <w:trHeight w:val="510"/>
        </w:trPr>
        <w:tc>
          <w:tcPr>
            <w:tcW w:w="832" w:type="pct"/>
            <w:tcBorders>
              <w:top w:val="nil"/>
              <w:left w:val="single" w:sz="4" w:space="0" w:color="auto"/>
              <w:bottom w:val="single" w:sz="4" w:space="0" w:color="auto"/>
              <w:right w:val="single" w:sz="4" w:space="0" w:color="auto"/>
            </w:tcBorders>
            <w:shd w:val="clear" w:color="auto" w:fill="auto"/>
            <w:vAlign w:val="center"/>
            <w:hideMark/>
          </w:tcPr>
          <w:p w:rsidR="009F43CA" w:rsidRDefault="009F43CA" w:rsidP="003219D5">
            <w:pPr>
              <w:rPr>
                <w:rFonts w:ascii="Arial" w:hAnsi="Arial" w:cs="Arial"/>
                <w:sz w:val="20"/>
                <w:szCs w:val="20"/>
              </w:rPr>
            </w:pPr>
            <w:r>
              <w:rPr>
                <w:rFonts w:ascii="Arial" w:hAnsi="Arial" w:cs="Arial"/>
                <w:sz w:val="20"/>
                <w:szCs w:val="20"/>
              </w:rPr>
              <w:t>CSI-ReportConfig</w:t>
            </w:r>
          </w:p>
        </w:tc>
        <w:tc>
          <w:tcPr>
            <w:tcW w:w="758" w:type="pct"/>
            <w:tcBorders>
              <w:top w:val="nil"/>
              <w:left w:val="nil"/>
              <w:bottom w:val="single" w:sz="4" w:space="0" w:color="auto"/>
              <w:right w:val="single" w:sz="4" w:space="0" w:color="auto"/>
            </w:tcBorders>
            <w:shd w:val="clear" w:color="auto" w:fill="auto"/>
            <w:vAlign w:val="center"/>
            <w:hideMark/>
          </w:tcPr>
          <w:p w:rsidR="009F43CA" w:rsidRDefault="009F43CA" w:rsidP="003219D5">
            <w:pPr>
              <w:rPr>
                <w:rFonts w:ascii="Arial" w:hAnsi="Arial" w:cs="Arial"/>
                <w:sz w:val="20"/>
                <w:szCs w:val="20"/>
              </w:rPr>
            </w:pPr>
            <w:r>
              <w:rPr>
                <w:rFonts w:ascii="Arial" w:hAnsi="Arial" w:cs="Arial"/>
                <w:sz w:val="20"/>
                <w:szCs w:val="20"/>
              </w:rPr>
              <w:t>newBeamResourceSetEvent2-r19</w:t>
            </w:r>
          </w:p>
        </w:tc>
        <w:tc>
          <w:tcPr>
            <w:tcW w:w="2881" w:type="pct"/>
            <w:tcBorders>
              <w:top w:val="nil"/>
              <w:left w:val="nil"/>
              <w:bottom w:val="single" w:sz="4" w:space="0" w:color="auto"/>
              <w:right w:val="single" w:sz="4" w:space="0" w:color="auto"/>
            </w:tcBorders>
            <w:shd w:val="clear" w:color="auto" w:fill="auto"/>
            <w:vAlign w:val="center"/>
            <w:hideMark/>
          </w:tcPr>
          <w:p w:rsidR="009F43CA" w:rsidRDefault="009F43CA" w:rsidP="003219D5">
            <w:pPr>
              <w:rPr>
                <w:rFonts w:ascii="Arial" w:hAnsi="Arial" w:cs="Arial"/>
                <w:sz w:val="20"/>
                <w:szCs w:val="20"/>
              </w:rPr>
            </w:pPr>
            <w:r>
              <w:rPr>
                <w:rFonts w:ascii="Arial" w:hAnsi="Arial" w:cs="Arial"/>
                <w:sz w:val="20"/>
                <w:szCs w:val="20"/>
              </w:rPr>
              <w:t>This parameter is used to confiure the new beam resource set for Event 2 (Opt1)</w:t>
            </w:r>
          </w:p>
        </w:tc>
        <w:tc>
          <w:tcPr>
            <w:tcW w:w="530" w:type="pct"/>
            <w:tcBorders>
              <w:top w:val="nil"/>
              <w:left w:val="nil"/>
              <w:bottom w:val="single" w:sz="4" w:space="0" w:color="auto"/>
              <w:right w:val="single" w:sz="4" w:space="0" w:color="auto"/>
            </w:tcBorders>
            <w:shd w:val="clear" w:color="auto" w:fill="auto"/>
            <w:noWrap/>
            <w:vAlign w:val="center"/>
            <w:hideMark/>
          </w:tcPr>
          <w:p w:rsidR="009F43CA" w:rsidRDefault="009F43CA" w:rsidP="003219D5">
            <w:pPr>
              <w:rPr>
                <w:rFonts w:ascii="Arial" w:hAnsi="Arial" w:cs="Arial"/>
                <w:sz w:val="20"/>
                <w:szCs w:val="20"/>
              </w:rPr>
            </w:pPr>
            <w:r>
              <w:rPr>
                <w:rFonts w:ascii="Arial" w:hAnsi="Arial" w:cs="Arial"/>
                <w:sz w:val="20"/>
                <w:szCs w:val="20"/>
              </w:rPr>
              <w:t>FFS</w:t>
            </w:r>
          </w:p>
        </w:tc>
      </w:tr>
    </w:tbl>
    <w:p w:rsidR="009F43CA" w:rsidRDefault="009F43CA" w:rsidP="00131A5A">
      <w:pPr>
        <w:rPr>
          <w:rFonts w:eastAsiaTheme="minorEastAsia"/>
          <w:sz w:val="21"/>
          <w:szCs w:val="21"/>
        </w:rPr>
      </w:pPr>
    </w:p>
    <w:p w:rsidR="009F43CA" w:rsidRDefault="009F43CA" w:rsidP="000B20E4">
      <w:pPr>
        <w:jc w:val="both"/>
        <w:rPr>
          <w:rFonts w:eastAsiaTheme="minorEastAsia"/>
          <w:sz w:val="21"/>
          <w:szCs w:val="21"/>
        </w:rPr>
      </w:pPr>
      <w:r>
        <w:rPr>
          <w:rFonts w:eastAsiaTheme="minorEastAsia"/>
          <w:sz w:val="21"/>
          <w:szCs w:val="21"/>
        </w:rPr>
        <w:lastRenderedPageBreak/>
        <w:t xml:space="preserve">According to the RAN1 agreement, </w:t>
      </w:r>
      <w:r w:rsidRPr="009F43CA">
        <w:rPr>
          <w:rFonts w:eastAsiaTheme="minorEastAsia"/>
          <w:sz w:val="21"/>
          <w:szCs w:val="21"/>
        </w:rPr>
        <w:t>the RS(s) for new beam(s) are explicitly configured</w:t>
      </w:r>
      <w:r>
        <w:rPr>
          <w:rFonts w:eastAsiaTheme="minorEastAsia"/>
          <w:sz w:val="21"/>
          <w:szCs w:val="21"/>
        </w:rPr>
        <w:t xml:space="preserve">. Normally the CSI-RS resource was indicated by the </w:t>
      </w:r>
      <w:r w:rsidRPr="00131A5A">
        <w:rPr>
          <w:rFonts w:eastAsiaTheme="minorEastAsia"/>
          <w:i/>
          <w:sz w:val="21"/>
          <w:szCs w:val="21"/>
        </w:rPr>
        <w:t>NZP-CSI-RS-Resource</w:t>
      </w:r>
      <w:r w:rsidRPr="00131A5A">
        <w:rPr>
          <w:rFonts w:eastAsiaTheme="minorEastAsia"/>
          <w:sz w:val="21"/>
          <w:szCs w:val="21"/>
        </w:rPr>
        <w:t>.</w:t>
      </w:r>
    </w:p>
    <w:p w:rsidR="009F43CA" w:rsidRDefault="009F43CA" w:rsidP="00131A5A">
      <w:pPr>
        <w:rPr>
          <w:rFonts w:eastAsiaTheme="minorEastAsia"/>
          <w:sz w:val="21"/>
          <w:szCs w:val="21"/>
        </w:rPr>
      </w:pPr>
    </w:p>
    <w:tbl>
      <w:tblPr>
        <w:tblStyle w:val="af"/>
        <w:tblW w:w="0" w:type="auto"/>
        <w:tblLook w:val="04A0" w:firstRow="1" w:lastRow="0" w:firstColumn="1" w:lastColumn="0" w:noHBand="0" w:noVBand="1"/>
      </w:tblPr>
      <w:tblGrid>
        <w:gridCol w:w="9350"/>
      </w:tblGrid>
      <w:tr w:rsidR="009F43CA" w:rsidTr="009F43CA">
        <w:tc>
          <w:tcPr>
            <w:tcW w:w="9350" w:type="dxa"/>
          </w:tcPr>
          <w:p w:rsidR="009F43CA" w:rsidRPr="00542C3D" w:rsidRDefault="009F43CA" w:rsidP="009F43CA">
            <w:pPr>
              <w:shd w:val="clear" w:color="auto" w:fill="FFFFFF"/>
              <w:snapToGrid w:val="0"/>
              <w:rPr>
                <w:rFonts w:eastAsia="宋体"/>
                <w:b/>
                <w:bCs/>
                <w:i/>
                <w:iCs/>
                <w:color w:val="000000"/>
                <w:sz w:val="20"/>
                <w:szCs w:val="20"/>
              </w:rPr>
            </w:pPr>
            <w:r w:rsidRPr="00542C3D">
              <w:rPr>
                <w:rFonts w:eastAsia="宋体"/>
                <w:b/>
                <w:bCs/>
                <w:iCs/>
                <w:color w:val="000000"/>
                <w:sz w:val="20"/>
                <w:szCs w:val="20"/>
              </w:rPr>
              <w:t>RAN1#118 Agreement</w:t>
            </w:r>
          </w:p>
          <w:p w:rsidR="009F43CA" w:rsidRPr="00542C3D" w:rsidRDefault="009F43CA" w:rsidP="009F43CA">
            <w:pPr>
              <w:shd w:val="clear" w:color="auto" w:fill="FFFFFF"/>
              <w:adjustRightInd w:val="0"/>
              <w:snapToGrid w:val="0"/>
              <w:rPr>
                <w:rFonts w:eastAsia="宋体"/>
                <w:color w:val="000000"/>
                <w:sz w:val="20"/>
                <w:szCs w:val="20"/>
              </w:rPr>
            </w:pPr>
            <w:r w:rsidRPr="00542C3D">
              <w:rPr>
                <w:rFonts w:eastAsia="宋体"/>
                <w:color w:val="000000"/>
                <w:sz w:val="20"/>
                <w:szCs w:val="20"/>
              </w:rPr>
              <w:t>Regarding explicit RS configuration for new beam measurement for Event 2, at least Option-1 is supported</w:t>
            </w:r>
          </w:p>
          <w:p w:rsidR="009F43CA" w:rsidRDefault="009F43CA" w:rsidP="00542C3D">
            <w:pPr>
              <w:numPr>
                <w:ilvl w:val="1"/>
                <w:numId w:val="34"/>
              </w:numPr>
              <w:shd w:val="clear" w:color="auto" w:fill="FFFFFF"/>
              <w:tabs>
                <w:tab w:val="clear" w:pos="1080"/>
                <w:tab w:val="left" w:pos="360"/>
              </w:tabs>
              <w:adjustRightInd w:val="0"/>
              <w:snapToGrid w:val="0"/>
              <w:ind w:left="360"/>
              <w:rPr>
                <w:rFonts w:eastAsiaTheme="minorEastAsia"/>
                <w:sz w:val="21"/>
                <w:szCs w:val="21"/>
              </w:rPr>
            </w:pPr>
            <w:r w:rsidRPr="00542C3D">
              <w:rPr>
                <w:rFonts w:eastAsia="宋体"/>
                <w:color w:val="000000"/>
                <w:sz w:val="20"/>
                <w:szCs w:val="20"/>
              </w:rPr>
              <w:t>Option-1: The RS(s) for new beam(s) are explicitly configured in one RS resource set associated with an CSI reporting configuration</w:t>
            </w:r>
          </w:p>
        </w:tc>
      </w:tr>
    </w:tbl>
    <w:p w:rsidR="009F43CA" w:rsidRDefault="009F43CA" w:rsidP="00842DF9">
      <w:pPr>
        <w:rPr>
          <w:rFonts w:eastAsiaTheme="minorEastAsia"/>
          <w:sz w:val="21"/>
          <w:szCs w:val="21"/>
        </w:rPr>
      </w:pPr>
    </w:p>
    <w:p w:rsidR="00842DF9" w:rsidRDefault="009F43CA" w:rsidP="000B20E4">
      <w:pPr>
        <w:jc w:val="both"/>
        <w:rPr>
          <w:rFonts w:eastAsiaTheme="minorEastAsia"/>
          <w:b/>
          <w:i/>
          <w:sz w:val="21"/>
          <w:szCs w:val="21"/>
          <w:u w:val="single"/>
        </w:rPr>
      </w:pPr>
      <w:r>
        <w:rPr>
          <w:rFonts w:eastAsiaTheme="minorEastAsia"/>
          <w:sz w:val="21"/>
          <w:szCs w:val="21"/>
        </w:rPr>
        <w:t xml:space="preserve">In the current the </w:t>
      </w:r>
      <w:r>
        <w:rPr>
          <w:rFonts w:eastAsiaTheme="minorEastAsia"/>
          <w:i/>
          <w:sz w:val="21"/>
          <w:szCs w:val="21"/>
        </w:rPr>
        <w:t>CSI-ResourceConfig</w:t>
      </w:r>
      <w:r>
        <w:rPr>
          <w:rFonts w:eastAsiaTheme="minorEastAsia"/>
          <w:sz w:val="21"/>
          <w:szCs w:val="21"/>
        </w:rPr>
        <w:t xml:space="preserve"> f</w:t>
      </w:r>
      <w:r w:rsidR="00131A5A" w:rsidRPr="009F43CA">
        <w:rPr>
          <w:rFonts w:eastAsiaTheme="minorEastAsia"/>
          <w:sz w:val="21"/>
          <w:szCs w:val="21"/>
        </w:rPr>
        <w:t>ramework</w:t>
      </w:r>
      <w:r>
        <w:rPr>
          <w:rFonts w:eastAsiaTheme="minorEastAsia"/>
          <w:sz w:val="21"/>
          <w:szCs w:val="21"/>
        </w:rPr>
        <w:t xml:space="preserve"> as shown in the Fig1, </w:t>
      </w:r>
      <w:r w:rsidR="007F22B0">
        <w:rPr>
          <w:rFonts w:eastAsiaTheme="minorEastAsia"/>
          <w:sz w:val="21"/>
          <w:szCs w:val="21"/>
        </w:rPr>
        <w:t xml:space="preserve">the BWP ID is included. There is no restriction that </w:t>
      </w:r>
      <w:r w:rsidR="007F22B0" w:rsidRPr="00131A5A">
        <w:rPr>
          <w:rFonts w:eastAsiaTheme="minorEastAsia"/>
          <w:i/>
          <w:sz w:val="21"/>
          <w:szCs w:val="21"/>
        </w:rPr>
        <w:t>NZP-CSI-RS-Resource</w:t>
      </w:r>
      <w:r w:rsidR="007F22B0">
        <w:rPr>
          <w:rFonts w:eastAsiaTheme="minorEastAsia"/>
          <w:i/>
          <w:sz w:val="21"/>
          <w:szCs w:val="21"/>
        </w:rPr>
        <w:t xml:space="preserve">ID </w:t>
      </w:r>
      <w:r w:rsidR="007F22B0" w:rsidRPr="007F22B0">
        <w:rPr>
          <w:rFonts w:eastAsiaTheme="minorEastAsia"/>
          <w:sz w:val="21"/>
          <w:szCs w:val="21"/>
        </w:rPr>
        <w:t>can only be included by only one</w:t>
      </w:r>
      <w:r w:rsidR="007F22B0">
        <w:rPr>
          <w:rFonts w:eastAsiaTheme="minorEastAsia"/>
          <w:i/>
          <w:sz w:val="21"/>
          <w:szCs w:val="21"/>
        </w:rPr>
        <w:t xml:space="preserve"> </w:t>
      </w:r>
      <w:r w:rsidR="007F22B0">
        <w:rPr>
          <w:rFonts w:eastAsiaTheme="minorEastAsia"/>
          <w:i/>
          <w:sz w:val="21"/>
          <w:szCs w:val="21"/>
        </w:rPr>
        <w:t>CSI-ResourceConfig</w:t>
      </w:r>
      <w:r w:rsidR="007F22B0">
        <w:rPr>
          <w:rFonts w:eastAsiaTheme="minorEastAsia"/>
          <w:i/>
          <w:sz w:val="21"/>
          <w:szCs w:val="21"/>
        </w:rPr>
        <w:t xml:space="preserve">, </w:t>
      </w:r>
      <w:r w:rsidR="007F22B0" w:rsidRPr="007F22B0">
        <w:rPr>
          <w:rFonts w:eastAsiaTheme="minorEastAsia"/>
          <w:sz w:val="21"/>
          <w:szCs w:val="21"/>
        </w:rPr>
        <w:t>thus</w:t>
      </w:r>
      <w:r w:rsidR="007F22B0">
        <w:rPr>
          <w:rFonts w:eastAsiaTheme="minorEastAsia"/>
          <w:i/>
          <w:sz w:val="21"/>
          <w:szCs w:val="21"/>
        </w:rPr>
        <w:t xml:space="preserve"> </w:t>
      </w:r>
      <w:r>
        <w:rPr>
          <w:rFonts w:eastAsiaTheme="minorEastAsia"/>
          <w:sz w:val="21"/>
          <w:szCs w:val="21"/>
        </w:rPr>
        <w:t xml:space="preserve">a </w:t>
      </w:r>
      <w:r w:rsidRPr="00131A5A">
        <w:rPr>
          <w:rFonts w:eastAsiaTheme="minorEastAsia"/>
          <w:i/>
          <w:sz w:val="21"/>
          <w:szCs w:val="21"/>
        </w:rPr>
        <w:t>NZP-CSI-RS-Resource</w:t>
      </w:r>
      <w:r>
        <w:rPr>
          <w:rFonts w:eastAsiaTheme="minorEastAsia"/>
          <w:sz w:val="21"/>
          <w:szCs w:val="21"/>
        </w:rPr>
        <w:t xml:space="preserve"> can be referred by the one or more BWP ID</w:t>
      </w:r>
      <w:r w:rsidR="00B94166">
        <w:rPr>
          <w:rFonts w:eastAsiaTheme="minorEastAsia"/>
          <w:sz w:val="21"/>
          <w:szCs w:val="21"/>
        </w:rPr>
        <w:t>(s)</w:t>
      </w:r>
      <w:r>
        <w:rPr>
          <w:rFonts w:eastAsiaTheme="minorEastAsia"/>
          <w:sz w:val="21"/>
          <w:szCs w:val="21"/>
        </w:rPr>
        <w:t>.</w:t>
      </w:r>
    </w:p>
    <w:p w:rsidR="00131A5A" w:rsidRPr="00703BBF" w:rsidRDefault="00131A5A" w:rsidP="00842DF9">
      <w:pPr>
        <w:rPr>
          <w:rFonts w:eastAsiaTheme="minorEastAsia"/>
          <w:b/>
          <w:i/>
          <w:sz w:val="21"/>
          <w:szCs w:val="21"/>
          <w:u w:val="single"/>
        </w:rPr>
      </w:pPr>
    </w:p>
    <w:p w:rsidR="00842DF9" w:rsidRDefault="00131A5A" w:rsidP="00842DF9">
      <w:r>
        <w:object w:dxaOrig="10020" w:dyaOrig="3705">
          <v:shape id="_x0000_i1025" type="#_x0000_t75" style="width:468pt;height:173.1pt" o:ole="">
            <v:imagedata r:id="rId9" o:title=""/>
          </v:shape>
          <o:OLEObject Type="Embed" ProgID="Visio.Drawing.15" ShapeID="_x0000_i1025" DrawAspect="Content" ObjectID="_1792589889" r:id="rId10"/>
        </w:object>
      </w:r>
    </w:p>
    <w:p w:rsidR="002D0732" w:rsidRDefault="00703BBF" w:rsidP="00703BBF">
      <w:pPr>
        <w:jc w:val="center"/>
        <w:rPr>
          <w:b/>
        </w:rPr>
      </w:pPr>
      <w:r w:rsidRPr="00703BBF">
        <w:rPr>
          <w:b/>
        </w:rPr>
        <w:t>Fig 1: Framework of the Legacy CSI-ReportConfig</w:t>
      </w:r>
    </w:p>
    <w:p w:rsidR="002D0732" w:rsidRPr="00703BBF" w:rsidRDefault="002D0732" w:rsidP="00703BBF">
      <w:pPr>
        <w:jc w:val="center"/>
        <w:rPr>
          <w:rFonts w:eastAsiaTheme="minorEastAsia"/>
          <w:b/>
          <w:sz w:val="21"/>
          <w:szCs w:val="21"/>
        </w:rPr>
      </w:pPr>
    </w:p>
    <w:p w:rsidR="00131A5A" w:rsidRDefault="00131A5A" w:rsidP="00842DF9">
      <w:pPr>
        <w:rPr>
          <w:rFonts w:eastAsiaTheme="minorEastAsia"/>
          <w:sz w:val="21"/>
          <w:szCs w:val="21"/>
        </w:rPr>
      </w:pPr>
    </w:p>
    <w:p w:rsidR="00131A5A" w:rsidRDefault="00131A5A" w:rsidP="000B20E4">
      <w:pPr>
        <w:jc w:val="both"/>
        <w:rPr>
          <w:rFonts w:eastAsiaTheme="minorEastAsia"/>
          <w:sz w:val="21"/>
          <w:szCs w:val="21"/>
        </w:rPr>
      </w:pPr>
      <w:r>
        <w:rPr>
          <w:rFonts w:eastAsiaTheme="minorEastAsia"/>
          <w:sz w:val="21"/>
          <w:szCs w:val="21"/>
        </w:rPr>
        <w:t xml:space="preserve">Then the question is how </w:t>
      </w:r>
      <w:r w:rsidR="009F43CA">
        <w:rPr>
          <w:rFonts w:eastAsiaTheme="minorEastAsia"/>
          <w:sz w:val="21"/>
          <w:szCs w:val="21"/>
        </w:rPr>
        <w:t xml:space="preserve">to associate </w:t>
      </w:r>
      <w:r>
        <w:rPr>
          <w:rFonts w:eastAsiaTheme="minorEastAsia"/>
          <w:sz w:val="21"/>
          <w:szCs w:val="21"/>
        </w:rPr>
        <w:t>the new beams</w:t>
      </w:r>
      <w:r w:rsidR="007F22B0">
        <w:rPr>
          <w:rFonts w:eastAsiaTheme="minorEastAsia"/>
          <w:sz w:val="21"/>
          <w:szCs w:val="21"/>
        </w:rPr>
        <w:t xml:space="preserve"> (identified</w:t>
      </w:r>
      <w:r w:rsidR="007F22B0">
        <w:rPr>
          <w:rFonts w:eastAsiaTheme="minorEastAsia"/>
          <w:sz w:val="21"/>
          <w:szCs w:val="21"/>
        </w:rPr>
        <w:t xml:space="preserve"> by the </w:t>
      </w:r>
      <w:r w:rsidR="007F22B0" w:rsidRPr="00131A5A">
        <w:rPr>
          <w:rFonts w:eastAsiaTheme="minorEastAsia"/>
          <w:i/>
          <w:sz w:val="21"/>
          <w:szCs w:val="21"/>
        </w:rPr>
        <w:t>NZP-CSI-RS-Resource</w:t>
      </w:r>
      <w:r w:rsidR="007F22B0">
        <w:rPr>
          <w:rFonts w:eastAsiaTheme="minorEastAsia"/>
          <w:i/>
          <w:sz w:val="21"/>
          <w:szCs w:val="21"/>
        </w:rPr>
        <w:t>ID)</w:t>
      </w:r>
      <w:r w:rsidR="007F22B0">
        <w:rPr>
          <w:rFonts w:eastAsiaTheme="minorEastAsia"/>
          <w:sz w:val="21"/>
          <w:szCs w:val="21"/>
        </w:rPr>
        <w:t xml:space="preserve"> </w:t>
      </w:r>
      <w:r w:rsidR="009F43CA">
        <w:rPr>
          <w:rFonts w:eastAsiaTheme="minorEastAsia"/>
          <w:sz w:val="21"/>
          <w:szCs w:val="21"/>
        </w:rPr>
        <w:t xml:space="preserve">configuration </w:t>
      </w:r>
      <w:r>
        <w:rPr>
          <w:rFonts w:eastAsiaTheme="minorEastAsia"/>
          <w:sz w:val="21"/>
          <w:szCs w:val="21"/>
        </w:rPr>
        <w:t>for each BWP</w:t>
      </w:r>
      <w:r w:rsidR="009F43CA">
        <w:rPr>
          <w:rFonts w:eastAsiaTheme="minorEastAsia"/>
          <w:sz w:val="21"/>
          <w:szCs w:val="21"/>
        </w:rPr>
        <w:t>:</w:t>
      </w:r>
    </w:p>
    <w:p w:rsidR="00131A5A" w:rsidRPr="009F43CA" w:rsidRDefault="00131A5A" w:rsidP="000B20E4">
      <w:pPr>
        <w:pStyle w:val="af5"/>
        <w:numPr>
          <w:ilvl w:val="0"/>
          <w:numId w:val="32"/>
        </w:numPr>
        <w:jc w:val="both"/>
        <w:rPr>
          <w:rFonts w:eastAsiaTheme="minorEastAsia"/>
          <w:sz w:val="21"/>
          <w:szCs w:val="21"/>
        </w:rPr>
      </w:pPr>
      <w:r w:rsidRPr="00131A5A">
        <w:rPr>
          <w:rFonts w:eastAsiaTheme="minorEastAsia"/>
          <w:sz w:val="21"/>
          <w:szCs w:val="21"/>
        </w:rPr>
        <w:t xml:space="preserve">If the new beams are configured at a cell level, the UE can only determine the related BWP for each new beam based on the corresponding </w:t>
      </w:r>
      <w:r w:rsidRPr="00131A5A">
        <w:rPr>
          <w:rFonts w:ascii="Helvetica-Oblique" w:hAnsi="Helvetica-Oblique"/>
          <w:i/>
          <w:iCs/>
          <w:color w:val="000000"/>
        </w:rPr>
        <w:t>CSI-ResourceConfig-&gt;bwp-Id</w:t>
      </w:r>
      <w:r w:rsidRPr="00131A5A">
        <w:rPr>
          <w:rFonts w:ascii="Helvetica-Oblique" w:hAnsi="Helvetica-Oblique"/>
          <w:iCs/>
          <w:color w:val="000000"/>
        </w:rPr>
        <w:t xml:space="preserve">. </w:t>
      </w:r>
    </w:p>
    <w:p w:rsidR="009F43CA" w:rsidRPr="00131A5A" w:rsidRDefault="009F43CA" w:rsidP="000B20E4">
      <w:pPr>
        <w:pStyle w:val="af5"/>
        <w:jc w:val="both"/>
        <w:rPr>
          <w:rFonts w:eastAsiaTheme="minorEastAsia"/>
          <w:sz w:val="21"/>
          <w:szCs w:val="21"/>
        </w:rPr>
      </w:pPr>
    </w:p>
    <w:p w:rsidR="00131A5A" w:rsidRDefault="00131A5A" w:rsidP="000B20E4">
      <w:pPr>
        <w:pStyle w:val="af5"/>
        <w:ind w:left="885"/>
        <w:jc w:val="both"/>
        <w:rPr>
          <w:rFonts w:eastAsiaTheme="minorEastAsia"/>
          <w:sz w:val="21"/>
          <w:szCs w:val="21"/>
        </w:rPr>
      </w:pPr>
      <w:r w:rsidRPr="00131A5A">
        <w:rPr>
          <w:rFonts w:eastAsiaTheme="minorEastAsia"/>
          <w:sz w:val="21"/>
          <w:szCs w:val="21"/>
        </w:rPr>
        <w:t xml:space="preserve">For example, if the new beam indexed with </w:t>
      </w:r>
      <w:r w:rsidRPr="007F22B0">
        <w:rPr>
          <w:rFonts w:eastAsiaTheme="minorEastAsia"/>
          <w:i/>
          <w:sz w:val="21"/>
          <w:szCs w:val="21"/>
        </w:rPr>
        <w:t>NZP-CSI-RS-ResourceID</w:t>
      </w:r>
      <w:r w:rsidRPr="00131A5A">
        <w:rPr>
          <w:rFonts w:eastAsiaTheme="minorEastAsia"/>
          <w:sz w:val="21"/>
          <w:szCs w:val="21"/>
        </w:rPr>
        <w:t xml:space="preserve"> x, and the </w:t>
      </w:r>
      <w:r w:rsidRPr="007F22B0">
        <w:rPr>
          <w:rFonts w:eastAsiaTheme="minorEastAsia"/>
          <w:i/>
          <w:sz w:val="21"/>
          <w:szCs w:val="21"/>
        </w:rPr>
        <w:t xml:space="preserve">NZP-CSI-RS-  ResourceID </w:t>
      </w:r>
      <w:r w:rsidRPr="00131A5A">
        <w:rPr>
          <w:rFonts w:eastAsiaTheme="minorEastAsia"/>
          <w:sz w:val="21"/>
          <w:szCs w:val="21"/>
        </w:rPr>
        <w:t>x is referred by</w:t>
      </w:r>
      <w:r w:rsidR="007F22B0">
        <w:rPr>
          <w:rFonts w:eastAsiaTheme="minorEastAsia"/>
          <w:sz w:val="21"/>
          <w:szCs w:val="21"/>
        </w:rPr>
        <w:t xml:space="preserve"> both</w:t>
      </w:r>
      <w:r w:rsidRPr="00131A5A">
        <w:rPr>
          <w:rFonts w:eastAsiaTheme="minorEastAsia"/>
          <w:sz w:val="21"/>
          <w:szCs w:val="21"/>
        </w:rPr>
        <w:t xml:space="preserve"> BWP 1 and BWP2, but not referred by the BWP3, then when the BWP1 is activated, the beam indexed with </w:t>
      </w:r>
      <w:r w:rsidRPr="007F22B0">
        <w:rPr>
          <w:rFonts w:eastAsiaTheme="minorEastAsia"/>
          <w:i/>
          <w:sz w:val="21"/>
          <w:szCs w:val="21"/>
        </w:rPr>
        <w:t>NZP-CSI-RS-ResourceID</w:t>
      </w:r>
      <w:r w:rsidRPr="00131A5A">
        <w:rPr>
          <w:rFonts w:eastAsiaTheme="minorEastAsia"/>
          <w:sz w:val="21"/>
          <w:szCs w:val="21"/>
        </w:rPr>
        <w:t xml:space="preserve"> x </w:t>
      </w:r>
      <w:r w:rsidR="007F22B0">
        <w:rPr>
          <w:rFonts w:eastAsiaTheme="minorEastAsia"/>
          <w:sz w:val="21"/>
          <w:szCs w:val="21"/>
        </w:rPr>
        <w:t xml:space="preserve">would be taken </w:t>
      </w:r>
      <w:r w:rsidRPr="00131A5A">
        <w:rPr>
          <w:rFonts w:eastAsiaTheme="minorEastAsia"/>
          <w:sz w:val="21"/>
          <w:szCs w:val="21"/>
        </w:rPr>
        <w:t>as one of the new beam, but when the UE switch</w:t>
      </w:r>
      <w:r w:rsidR="007F22B0">
        <w:rPr>
          <w:rFonts w:eastAsiaTheme="minorEastAsia"/>
          <w:sz w:val="21"/>
          <w:szCs w:val="21"/>
        </w:rPr>
        <w:t>es</w:t>
      </w:r>
      <w:r w:rsidRPr="00131A5A">
        <w:rPr>
          <w:rFonts w:eastAsiaTheme="minorEastAsia"/>
          <w:sz w:val="21"/>
          <w:szCs w:val="21"/>
        </w:rPr>
        <w:t xml:space="preserve"> to the BWP3 with MAC CE, the UE would not take this beam as new beam.</w:t>
      </w:r>
    </w:p>
    <w:p w:rsidR="009F43CA" w:rsidRPr="00131A5A" w:rsidRDefault="009F43CA" w:rsidP="000B20E4">
      <w:pPr>
        <w:pStyle w:val="af5"/>
        <w:ind w:left="885"/>
        <w:jc w:val="both"/>
        <w:rPr>
          <w:rFonts w:eastAsiaTheme="minorEastAsia"/>
          <w:sz w:val="21"/>
          <w:szCs w:val="21"/>
        </w:rPr>
      </w:pPr>
    </w:p>
    <w:p w:rsidR="00131A5A" w:rsidRDefault="00131A5A" w:rsidP="000B20E4">
      <w:pPr>
        <w:pStyle w:val="af5"/>
        <w:numPr>
          <w:ilvl w:val="0"/>
          <w:numId w:val="32"/>
        </w:numPr>
        <w:jc w:val="both"/>
        <w:rPr>
          <w:rFonts w:eastAsiaTheme="minorEastAsia"/>
          <w:sz w:val="21"/>
          <w:szCs w:val="21"/>
        </w:rPr>
      </w:pPr>
      <w:r w:rsidRPr="00131A5A">
        <w:rPr>
          <w:rFonts w:eastAsiaTheme="minorEastAsia"/>
          <w:sz w:val="21"/>
          <w:szCs w:val="21"/>
        </w:rPr>
        <w:t xml:space="preserve">If the new beams are configured at a </w:t>
      </w:r>
      <w:r>
        <w:rPr>
          <w:rFonts w:eastAsiaTheme="minorEastAsia"/>
          <w:sz w:val="21"/>
          <w:szCs w:val="21"/>
        </w:rPr>
        <w:t>BWP</w:t>
      </w:r>
      <w:r w:rsidRPr="00131A5A">
        <w:rPr>
          <w:rFonts w:eastAsiaTheme="minorEastAsia"/>
          <w:sz w:val="21"/>
          <w:szCs w:val="21"/>
        </w:rPr>
        <w:t xml:space="preserve"> level, </w:t>
      </w:r>
      <w:r>
        <w:rPr>
          <w:rFonts w:eastAsiaTheme="minorEastAsia"/>
          <w:sz w:val="21"/>
          <w:szCs w:val="21"/>
        </w:rPr>
        <w:t>it would be easier for the UE determination, which is also quite flexible from the network configuration aspect.</w:t>
      </w:r>
    </w:p>
    <w:p w:rsidR="009F43CA" w:rsidRDefault="009F43CA" w:rsidP="009F43CA">
      <w:pPr>
        <w:pStyle w:val="af5"/>
        <w:rPr>
          <w:rFonts w:eastAsiaTheme="minorEastAsia"/>
          <w:sz w:val="21"/>
          <w:szCs w:val="21"/>
        </w:rPr>
      </w:pPr>
    </w:p>
    <w:p w:rsidR="00131A5A" w:rsidRDefault="00131A5A" w:rsidP="000B20E4">
      <w:pPr>
        <w:jc w:val="both"/>
        <w:rPr>
          <w:rFonts w:eastAsiaTheme="minorEastAsia"/>
          <w:b/>
          <w:sz w:val="21"/>
          <w:szCs w:val="21"/>
        </w:rPr>
      </w:pPr>
      <w:r w:rsidRPr="009F43CA">
        <w:rPr>
          <w:rFonts w:eastAsiaTheme="minorEastAsia"/>
          <w:b/>
          <w:sz w:val="21"/>
          <w:szCs w:val="21"/>
        </w:rPr>
        <w:t xml:space="preserve">Proposal 2: </w:t>
      </w:r>
      <w:r w:rsidR="009F43CA" w:rsidRPr="009F43CA">
        <w:rPr>
          <w:rFonts w:eastAsiaTheme="minorEastAsia"/>
          <w:b/>
          <w:sz w:val="21"/>
          <w:szCs w:val="21"/>
        </w:rPr>
        <w:t xml:space="preserve">Ran2 to discuss whether and how to associate the RAN1 defined </w:t>
      </w:r>
      <w:r w:rsidR="00542C3D">
        <w:rPr>
          <w:rFonts w:eastAsiaTheme="minorEastAsia"/>
          <w:b/>
          <w:sz w:val="21"/>
          <w:szCs w:val="21"/>
        </w:rPr>
        <w:t xml:space="preserve">event specific </w:t>
      </w:r>
      <w:r w:rsidR="009F43CA" w:rsidRPr="009F43CA">
        <w:rPr>
          <w:rFonts w:eastAsiaTheme="minorEastAsia"/>
          <w:b/>
          <w:sz w:val="21"/>
          <w:szCs w:val="21"/>
        </w:rPr>
        <w:t>parameters</w:t>
      </w:r>
      <w:r w:rsidR="000B20E4">
        <w:rPr>
          <w:rFonts w:eastAsiaTheme="minorEastAsia"/>
          <w:b/>
          <w:sz w:val="21"/>
          <w:szCs w:val="21"/>
        </w:rPr>
        <w:t xml:space="preserve"> (e.g. </w:t>
      </w:r>
      <w:r w:rsidR="000B20E4" w:rsidRPr="007F22B0">
        <w:rPr>
          <w:rFonts w:eastAsiaTheme="minorEastAsia"/>
          <w:b/>
          <w:i/>
          <w:sz w:val="21"/>
          <w:szCs w:val="21"/>
        </w:rPr>
        <w:t>newBeamResourceSetEvent2-r19</w:t>
      </w:r>
      <w:r w:rsidR="000B20E4" w:rsidRPr="000B20E4">
        <w:rPr>
          <w:rFonts w:eastAsiaTheme="minorEastAsia"/>
          <w:b/>
          <w:sz w:val="21"/>
          <w:szCs w:val="21"/>
        </w:rPr>
        <w:t>)</w:t>
      </w:r>
      <w:r w:rsidR="009F43CA" w:rsidRPr="009F43CA">
        <w:rPr>
          <w:rFonts w:eastAsiaTheme="minorEastAsia"/>
          <w:b/>
          <w:sz w:val="21"/>
          <w:szCs w:val="21"/>
        </w:rPr>
        <w:t xml:space="preserve"> with BWP ID</w:t>
      </w:r>
      <w:r w:rsidR="009F43CA">
        <w:rPr>
          <w:rFonts w:eastAsiaTheme="minorEastAsia"/>
          <w:b/>
          <w:sz w:val="21"/>
          <w:szCs w:val="21"/>
        </w:rPr>
        <w:t>, if no consensus achieved, a LS can be sent to RAN1 for confirmation.</w:t>
      </w:r>
    </w:p>
    <w:p w:rsidR="003469F4" w:rsidRDefault="003469F4" w:rsidP="00842DF9">
      <w:pPr>
        <w:rPr>
          <w:rFonts w:eastAsiaTheme="minorEastAsia"/>
          <w:b/>
          <w:sz w:val="21"/>
          <w:szCs w:val="21"/>
        </w:rPr>
      </w:pPr>
    </w:p>
    <w:p w:rsidR="003469F4" w:rsidRDefault="003469F4" w:rsidP="003469F4">
      <w:pPr>
        <w:pStyle w:val="2"/>
        <w:rPr>
          <w:sz w:val="28"/>
          <w:szCs w:val="28"/>
          <w:lang w:eastAsia="zh-CN"/>
        </w:rPr>
      </w:pPr>
      <w:r w:rsidRPr="003762C0">
        <w:rPr>
          <w:sz w:val="28"/>
          <w:szCs w:val="28"/>
          <w:lang w:eastAsia="zh-CN"/>
        </w:rPr>
        <w:t>2.</w:t>
      </w:r>
      <w:r>
        <w:rPr>
          <w:sz w:val="28"/>
          <w:szCs w:val="28"/>
          <w:lang w:eastAsia="zh-CN"/>
        </w:rPr>
        <w:t>2</w:t>
      </w:r>
      <w:r w:rsidRPr="003762C0">
        <w:rPr>
          <w:sz w:val="28"/>
          <w:szCs w:val="28"/>
          <w:lang w:eastAsia="zh-CN"/>
        </w:rPr>
        <w:t xml:space="preserve"> </w:t>
      </w:r>
      <w:r>
        <w:rPr>
          <w:sz w:val="28"/>
          <w:szCs w:val="28"/>
          <w:lang w:eastAsia="zh-CN"/>
        </w:rPr>
        <w:t>H</w:t>
      </w:r>
      <w:r w:rsidRPr="001215FB">
        <w:rPr>
          <w:sz w:val="28"/>
          <w:szCs w:val="28"/>
          <w:lang w:eastAsia="zh-CN"/>
        </w:rPr>
        <w:t xml:space="preserve">ow to handle LTM and </w:t>
      </w:r>
      <w:r>
        <w:rPr>
          <w:sz w:val="28"/>
          <w:szCs w:val="28"/>
          <w:lang w:eastAsia="zh-CN"/>
        </w:rPr>
        <w:t>UEIBM</w:t>
      </w:r>
      <w:bookmarkStart w:id="2" w:name="_GoBack"/>
      <w:bookmarkEnd w:id="2"/>
    </w:p>
    <w:p w:rsidR="003469F4" w:rsidRPr="000B20E4" w:rsidRDefault="003469F4" w:rsidP="003469F4">
      <w:pPr>
        <w:jc w:val="both"/>
        <w:rPr>
          <w:rFonts w:eastAsiaTheme="minorEastAsia"/>
          <w:sz w:val="21"/>
          <w:szCs w:val="21"/>
        </w:rPr>
      </w:pPr>
      <w:r w:rsidRPr="000B20E4">
        <w:rPr>
          <w:rFonts w:eastAsiaTheme="minorEastAsia"/>
          <w:sz w:val="21"/>
          <w:szCs w:val="21"/>
        </w:rPr>
        <w:t>In the last meeting, another issue is on how to handle the LTM and UEIBM. Because of the similarity of these 2 topics, if the same framework (same MAC procedure and/or</w:t>
      </w:r>
      <w:r w:rsidR="000B20E4">
        <w:rPr>
          <w:rFonts w:eastAsiaTheme="minorEastAsia"/>
          <w:sz w:val="21"/>
          <w:szCs w:val="21"/>
        </w:rPr>
        <w:t xml:space="preserve"> RRC configuration structure) was</w:t>
      </w:r>
      <w:r w:rsidRPr="000B20E4">
        <w:rPr>
          <w:rFonts w:eastAsiaTheme="minorEastAsia"/>
          <w:sz w:val="21"/>
          <w:szCs w:val="21"/>
        </w:rPr>
        <w:t xml:space="preserve"> used, it can reduce the specification complexity. However, according to the current progress of each topic, at least it’s </w:t>
      </w:r>
      <w:r w:rsidRPr="000B20E4">
        <w:rPr>
          <w:rFonts w:eastAsiaTheme="minorEastAsia"/>
          <w:sz w:val="21"/>
          <w:szCs w:val="21"/>
        </w:rPr>
        <w:lastRenderedPageBreak/>
        <w:t xml:space="preserve">immature to harmonize these 2 topics with one framework. At </w:t>
      </w:r>
      <w:r w:rsidR="000B20E4">
        <w:rPr>
          <w:rFonts w:eastAsiaTheme="minorEastAsia"/>
          <w:sz w:val="21"/>
          <w:szCs w:val="21"/>
        </w:rPr>
        <w:t>this</w:t>
      </w:r>
      <w:r w:rsidRPr="000B20E4">
        <w:rPr>
          <w:rFonts w:eastAsiaTheme="minorEastAsia"/>
          <w:sz w:val="21"/>
          <w:szCs w:val="21"/>
        </w:rPr>
        <w:t xml:space="preserve"> stage, the two topics can be discussed independently, and when both pictures for these 2 topics </w:t>
      </w:r>
      <w:r w:rsidR="000B20E4">
        <w:rPr>
          <w:rFonts w:eastAsiaTheme="minorEastAsia"/>
          <w:sz w:val="21"/>
          <w:szCs w:val="21"/>
        </w:rPr>
        <w:t>are</w:t>
      </w:r>
      <w:r w:rsidRPr="000B20E4">
        <w:rPr>
          <w:rFonts w:eastAsiaTheme="minorEastAsia"/>
          <w:sz w:val="21"/>
          <w:szCs w:val="21"/>
        </w:rPr>
        <w:t xml:space="preserve"> clear, it can be further discussed which parts can be unified.</w:t>
      </w:r>
    </w:p>
    <w:p w:rsidR="003469F4" w:rsidRDefault="003469F4" w:rsidP="003469F4">
      <w:pPr>
        <w:jc w:val="both"/>
        <w:rPr>
          <w:lang w:val="en-GB"/>
        </w:rPr>
      </w:pPr>
    </w:p>
    <w:p w:rsidR="009F43CA" w:rsidRPr="000B20E4" w:rsidRDefault="003469F4" w:rsidP="003469F4">
      <w:pPr>
        <w:jc w:val="both"/>
        <w:rPr>
          <w:rFonts w:eastAsiaTheme="minorEastAsia"/>
          <w:b/>
          <w:sz w:val="21"/>
          <w:szCs w:val="21"/>
        </w:rPr>
      </w:pPr>
      <w:r w:rsidRPr="000B20E4">
        <w:rPr>
          <w:rFonts w:eastAsiaTheme="minorEastAsia"/>
          <w:b/>
          <w:sz w:val="21"/>
          <w:szCs w:val="21"/>
        </w:rPr>
        <w:t>Proposal 3: The LTM and UEIBM should be discussed independently at this stage, it can be further discussed which parts can be unified when the pictures for both topics are clear.</w:t>
      </w:r>
    </w:p>
    <w:p w:rsidR="00521C86" w:rsidRDefault="00466246">
      <w:pPr>
        <w:pStyle w:val="1"/>
        <w:numPr>
          <w:ilvl w:val="0"/>
          <w:numId w:val="2"/>
        </w:numPr>
        <w:overflowPunct w:val="0"/>
        <w:autoSpaceDE w:val="0"/>
        <w:autoSpaceDN w:val="0"/>
        <w:adjustRightInd w:val="0"/>
        <w:spacing w:beforeLines="50" w:before="120" w:line="240" w:lineRule="auto"/>
        <w:jc w:val="left"/>
        <w:textAlignment w:val="baseline"/>
        <w:rPr>
          <w:rFonts w:cs="Arial"/>
          <w:b/>
          <w:bCs/>
          <w:sz w:val="32"/>
          <w:szCs w:val="36"/>
        </w:rPr>
      </w:pPr>
      <w:r>
        <w:rPr>
          <w:rFonts w:cs="Arial"/>
          <w:sz w:val="32"/>
          <w:szCs w:val="36"/>
        </w:rPr>
        <w:t>C</w:t>
      </w:r>
      <w:r>
        <w:rPr>
          <w:rFonts w:cs="Arial" w:hint="eastAsia"/>
          <w:sz w:val="32"/>
          <w:szCs w:val="36"/>
        </w:rPr>
        <w:t>onclusion</w:t>
      </w:r>
      <w:r>
        <w:rPr>
          <w:rFonts w:cs="Arial"/>
          <w:sz w:val="32"/>
          <w:szCs w:val="36"/>
        </w:rPr>
        <w:t xml:space="preserve"> and proposals</w:t>
      </w:r>
    </w:p>
    <w:p w:rsidR="00521C86" w:rsidRDefault="00466246">
      <w:pPr>
        <w:spacing w:beforeLines="50" w:before="120"/>
        <w:rPr>
          <w:sz w:val="21"/>
          <w:szCs w:val="21"/>
        </w:rPr>
      </w:pPr>
      <w:r>
        <w:rPr>
          <w:rFonts w:hint="eastAsia"/>
          <w:sz w:val="21"/>
          <w:szCs w:val="21"/>
        </w:rPr>
        <w:t xml:space="preserve">With the above analysis, we have the following </w:t>
      </w:r>
      <w:r>
        <w:rPr>
          <w:sz w:val="21"/>
          <w:szCs w:val="21"/>
        </w:rPr>
        <w:t>proposals</w:t>
      </w:r>
      <w:r>
        <w:rPr>
          <w:rFonts w:hint="eastAsia"/>
          <w:sz w:val="21"/>
          <w:szCs w:val="21"/>
        </w:rPr>
        <w:t>:</w:t>
      </w:r>
    </w:p>
    <w:p w:rsidR="003469F4" w:rsidRDefault="003469F4">
      <w:pPr>
        <w:spacing w:beforeLines="50" w:before="120"/>
        <w:rPr>
          <w:sz w:val="21"/>
          <w:szCs w:val="21"/>
        </w:rPr>
      </w:pPr>
    </w:p>
    <w:p w:rsidR="003469F4" w:rsidRPr="006A1F0B" w:rsidRDefault="003469F4" w:rsidP="000B20E4">
      <w:pPr>
        <w:jc w:val="both"/>
        <w:rPr>
          <w:rFonts w:eastAsiaTheme="minorEastAsia"/>
          <w:b/>
          <w:sz w:val="21"/>
          <w:szCs w:val="21"/>
        </w:rPr>
      </w:pPr>
      <w:r w:rsidRPr="006A1F0B">
        <w:rPr>
          <w:rFonts w:eastAsiaTheme="minorEastAsia"/>
          <w:b/>
          <w:sz w:val="21"/>
          <w:szCs w:val="21"/>
        </w:rPr>
        <w:t>Proposal 1: On the UEIBR impact on the MAC layer procedure, wait for RAN1’s further progress.</w:t>
      </w:r>
    </w:p>
    <w:p w:rsidR="003469F4" w:rsidRPr="000B20E4" w:rsidRDefault="003469F4" w:rsidP="000B20E4">
      <w:pPr>
        <w:jc w:val="both"/>
        <w:rPr>
          <w:rFonts w:eastAsiaTheme="minorEastAsia"/>
          <w:b/>
          <w:sz w:val="21"/>
          <w:szCs w:val="21"/>
        </w:rPr>
      </w:pPr>
    </w:p>
    <w:p w:rsidR="003469F4" w:rsidRDefault="003469F4" w:rsidP="000B20E4">
      <w:pPr>
        <w:jc w:val="both"/>
        <w:rPr>
          <w:rFonts w:eastAsiaTheme="minorEastAsia"/>
          <w:b/>
          <w:sz w:val="21"/>
          <w:szCs w:val="21"/>
        </w:rPr>
      </w:pPr>
      <w:r w:rsidRPr="009F43CA">
        <w:rPr>
          <w:rFonts w:eastAsiaTheme="minorEastAsia"/>
          <w:b/>
          <w:sz w:val="21"/>
          <w:szCs w:val="21"/>
        </w:rPr>
        <w:t>Observation 1: T</w:t>
      </w:r>
      <w:r>
        <w:rPr>
          <w:rFonts w:eastAsiaTheme="minorEastAsia"/>
          <w:b/>
          <w:sz w:val="21"/>
          <w:szCs w:val="21"/>
        </w:rPr>
        <w:t>he UEIBM</w:t>
      </w:r>
      <w:r w:rsidRPr="009F43CA">
        <w:rPr>
          <w:rFonts w:eastAsiaTheme="minorEastAsia"/>
          <w:b/>
          <w:sz w:val="21"/>
          <w:szCs w:val="21"/>
        </w:rPr>
        <w:t xml:space="preserve"> would be managed on the BWP level, however the current RAN1 parameters are defined as per Cell level.</w:t>
      </w:r>
    </w:p>
    <w:p w:rsidR="003469F4" w:rsidRPr="009F43CA" w:rsidRDefault="003469F4" w:rsidP="000B20E4">
      <w:pPr>
        <w:jc w:val="both"/>
        <w:rPr>
          <w:rFonts w:eastAsiaTheme="minorEastAsia"/>
          <w:b/>
          <w:sz w:val="21"/>
          <w:szCs w:val="21"/>
        </w:rPr>
      </w:pPr>
    </w:p>
    <w:p w:rsidR="007F22B0" w:rsidRDefault="007F22B0" w:rsidP="007F22B0">
      <w:pPr>
        <w:jc w:val="both"/>
        <w:rPr>
          <w:rFonts w:eastAsiaTheme="minorEastAsia"/>
          <w:b/>
          <w:sz w:val="21"/>
          <w:szCs w:val="21"/>
        </w:rPr>
      </w:pPr>
      <w:r w:rsidRPr="009F43CA">
        <w:rPr>
          <w:rFonts w:eastAsiaTheme="minorEastAsia"/>
          <w:b/>
          <w:sz w:val="21"/>
          <w:szCs w:val="21"/>
        </w:rPr>
        <w:t xml:space="preserve">Proposal 2: Ran2 to discuss whether and how to associate the RAN1 defined </w:t>
      </w:r>
      <w:r>
        <w:rPr>
          <w:rFonts w:eastAsiaTheme="minorEastAsia"/>
          <w:b/>
          <w:sz w:val="21"/>
          <w:szCs w:val="21"/>
        </w:rPr>
        <w:t xml:space="preserve">event specific </w:t>
      </w:r>
      <w:r w:rsidRPr="009F43CA">
        <w:rPr>
          <w:rFonts w:eastAsiaTheme="minorEastAsia"/>
          <w:b/>
          <w:sz w:val="21"/>
          <w:szCs w:val="21"/>
        </w:rPr>
        <w:t>parameters</w:t>
      </w:r>
      <w:r>
        <w:rPr>
          <w:rFonts w:eastAsiaTheme="minorEastAsia"/>
          <w:b/>
          <w:sz w:val="21"/>
          <w:szCs w:val="21"/>
        </w:rPr>
        <w:t xml:space="preserve"> (e.g. </w:t>
      </w:r>
      <w:r w:rsidRPr="007F22B0">
        <w:rPr>
          <w:rFonts w:eastAsiaTheme="minorEastAsia"/>
          <w:b/>
          <w:i/>
          <w:sz w:val="21"/>
          <w:szCs w:val="21"/>
        </w:rPr>
        <w:t>newBeamResourceSetEvent2-r19</w:t>
      </w:r>
      <w:r w:rsidRPr="000B20E4">
        <w:rPr>
          <w:rFonts w:eastAsiaTheme="minorEastAsia"/>
          <w:b/>
          <w:sz w:val="21"/>
          <w:szCs w:val="21"/>
        </w:rPr>
        <w:t>)</w:t>
      </w:r>
      <w:r w:rsidRPr="009F43CA">
        <w:rPr>
          <w:rFonts w:eastAsiaTheme="minorEastAsia"/>
          <w:b/>
          <w:sz w:val="21"/>
          <w:szCs w:val="21"/>
        </w:rPr>
        <w:t xml:space="preserve"> with BWP ID</w:t>
      </w:r>
      <w:r>
        <w:rPr>
          <w:rFonts w:eastAsiaTheme="minorEastAsia"/>
          <w:b/>
          <w:sz w:val="21"/>
          <w:szCs w:val="21"/>
        </w:rPr>
        <w:t>, if no consensus achieved, a LS can be sent to RAN1 for confirmation.</w:t>
      </w:r>
    </w:p>
    <w:p w:rsidR="003469F4" w:rsidRPr="000B20E4" w:rsidRDefault="003469F4" w:rsidP="000B20E4">
      <w:pPr>
        <w:jc w:val="both"/>
        <w:rPr>
          <w:rFonts w:eastAsiaTheme="minorEastAsia"/>
          <w:b/>
          <w:sz w:val="21"/>
          <w:szCs w:val="21"/>
        </w:rPr>
      </w:pPr>
    </w:p>
    <w:p w:rsidR="003469F4" w:rsidRPr="000B20E4" w:rsidRDefault="003469F4" w:rsidP="003561D0">
      <w:pPr>
        <w:jc w:val="both"/>
        <w:rPr>
          <w:rFonts w:eastAsiaTheme="minorEastAsia"/>
          <w:b/>
          <w:sz w:val="21"/>
          <w:szCs w:val="21"/>
        </w:rPr>
      </w:pPr>
      <w:r w:rsidRPr="003469F4">
        <w:rPr>
          <w:rFonts w:eastAsiaTheme="minorEastAsia"/>
          <w:b/>
          <w:sz w:val="21"/>
          <w:szCs w:val="21"/>
        </w:rPr>
        <w:t xml:space="preserve">Proposal 3: </w:t>
      </w:r>
      <w:r w:rsidRPr="000B20E4">
        <w:rPr>
          <w:rFonts w:eastAsiaTheme="minorEastAsia"/>
          <w:b/>
          <w:sz w:val="21"/>
          <w:szCs w:val="21"/>
        </w:rPr>
        <w:t>The LTM and UEIBM should be discussed independently at this stage, it can be further discussed which parts can be unified when the pictures for both topics are clear.</w:t>
      </w:r>
    </w:p>
    <w:p w:rsidR="003B5EB3" w:rsidRPr="003B5EB3" w:rsidRDefault="003B5EB3" w:rsidP="003B5EB3">
      <w:pPr>
        <w:pStyle w:val="1"/>
        <w:numPr>
          <w:ilvl w:val="0"/>
          <w:numId w:val="2"/>
        </w:numPr>
        <w:overflowPunct w:val="0"/>
        <w:autoSpaceDE w:val="0"/>
        <w:autoSpaceDN w:val="0"/>
        <w:adjustRightInd w:val="0"/>
        <w:spacing w:beforeLines="50" w:before="120" w:line="240" w:lineRule="auto"/>
        <w:jc w:val="left"/>
        <w:textAlignment w:val="baseline"/>
        <w:rPr>
          <w:rFonts w:cs="Arial"/>
          <w:sz w:val="32"/>
          <w:szCs w:val="36"/>
        </w:rPr>
      </w:pPr>
      <w:r w:rsidRPr="003B5EB3">
        <w:rPr>
          <w:rFonts w:cs="Arial"/>
          <w:sz w:val="32"/>
          <w:szCs w:val="36"/>
        </w:rPr>
        <w:t xml:space="preserve">Reference </w:t>
      </w:r>
    </w:p>
    <w:p w:rsidR="003B5EB3" w:rsidRDefault="003B5EB3" w:rsidP="003B5EB3">
      <w:pPr>
        <w:pStyle w:val="af5"/>
        <w:numPr>
          <w:ilvl w:val="0"/>
          <w:numId w:val="8"/>
        </w:numPr>
        <w:spacing w:after="60"/>
      </w:pPr>
      <w:r w:rsidRPr="00ED7A04">
        <w:t xml:space="preserve">R1-2407285 </w:t>
      </w:r>
      <w:r w:rsidR="00957432">
        <w:t xml:space="preserve"> </w:t>
      </w:r>
      <w:r w:rsidRPr="00ED7A04">
        <w:t>LS to RAN2 on RRC and MAC CE impacts for Rel-19 NR MIMO Ph5   RAN1</w:t>
      </w:r>
    </w:p>
    <w:sectPr w:rsidR="003B5EB3" w:rsidSect="00FA3E9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2744" w:rsidRDefault="00A12744">
      <w:r>
        <w:separator/>
      </w:r>
    </w:p>
  </w:endnote>
  <w:endnote w:type="continuationSeparator" w:id="0">
    <w:p w:rsidR="00A12744" w:rsidRDefault="00A12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charset w:val="00"/>
    <w:family w:val="roman"/>
    <w:pitch w:val="default"/>
    <w:sig w:usb0="00000000"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Helvetica-Oblique">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2744" w:rsidRDefault="00A12744">
      <w:r>
        <w:separator/>
      </w:r>
    </w:p>
  </w:footnote>
  <w:footnote w:type="continuationSeparator" w:id="0">
    <w:p w:rsidR="00A12744" w:rsidRDefault="00A127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1.5pt;height:11.5pt" o:bullet="t">
        <v:imagedata r:id="rId1" o:title="msoB5CC"/>
      </v:shape>
    </w:pict>
  </w:numPicBullet>
  <w:abstractNum w:abstractNumId="0" w15:restartNumberingAfterBreak="0">
    <w:nsid w:val="02B1027A"/>
    <w:multiLevelType w:val="hybridMultilevel"/>
    <w:tmpl w:val="56DEE1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B51232"/>
    <w:multiLevelType w:val="hybridMultilevel"/>
    <w:tmpl w:val="2870D2A2"/>
    <w:lvl w:ilvl="0" w:tplc="D6D2C9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D63513F"/>
    <w:multiLevelType w:val="hybridMultilevel"/>
    <w:tmpl w:val="41B65D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76D3D"/>
    <w:multiLevelType w:val="hybridMultilevel"/>
    <w:tmpl w:val="37924C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E04744"/>
    <w:multiLevelType w:val="hybridMultilevel"/>
    <w:tmpl w:val="9BFC7E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45A2C"/>
    <w:multiLevelType w:val="hybridMultilevel"/>
    <w:tmpl w:val="E7EE24E8"/>
    <w:lvl w:ilvl="0" w:tplc="500E7C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5A626F"/>
    <w:multiLevelType w:val="hybridMultilevel"/>
    <w:tmpl w:val="07A0E4C4"/>
    <w:lvl w:ilvl="0" w:tplc="04090007">
      <w:start w:val="1"/>
      <w:numFmt w:val="bullet"/>
      <w:lvlText w:val=""/>
      <w:lvlPicBulletId w:val="0"/>
      <w:lvlJc w:val="left"/>
      <w:pPr>
        <w:ind w:left="1352" w:hanging="360"/>
      </w:pPr>
      <w:rPr>
        <w:rFonts w:ascii="Wingdings" w:hAnsi="Wingdings"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8" w15:restartNumberingAfterBreak="0">
    <w:nsid w:val="1561508C"/>
    <w:multiLevelType w:val="hybridMultilevel"/>
    <w:tmpl w:val="985A6372"/>
    <w:lvl w:ilvl="0" w:tplc="04090005">
      <w:start w:val="1"/>
      <w:numFmt w:val="bullet"/>
      <w:lvlText w:val=""/>
      <w:lvlJc w:val="left"/>
      <w:pPr>
        <w:ind w:left="927" w:hanging="360"/>
      </w:pPr>
      <w:rPr>
        <w:rFonts w:ascii="Wingdings" w:hAnsi="Wingding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9AB6CBE"/>
    <w:multiLevelType w:val="hybridMultilevel"/>
    <w:tmpl w:val="12B647E2"/>
    <w:lvl w:ilvl="0" w:tplc="0409000B">
      <w:start w:val="1"/>
      <w:numFmt w:val="bullet"/>
      <w:lvlText w:val=""/>
      <w:lvlJc w:val="left"/>
      <w:pPr>
        <w:ind w:left="927" w:hanging="360"/>
      </w:pPr>
      <w:rPr>
        <w:rFonts w:ascii="Wingdings" w:hAnsi="Wingding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DC53563"/>
    <w:multiLevelType w:val="hybridMultilevel"/>
    <w:tmpl w:val="C18CD1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5F3724"/>
    <w:multiLevelType w:val="hybridMultilevel"/>
    <w:tmpl w:val="57ACF9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ED5454"/>
    <w:multiLevelType w:val="hybridMultilevel"/>
    <w:tmpl w:val="BB30C65C"/>
    <w:lvl w:ilvl="0" w:tplc="0409000D">
      <w:start w:val="1"/>
      <w:numFmt w:val="bullet"/>
      <w:lvlText w:val=""/>
      <w:lvlJc w:val="left"/>
      <w:pPr>
        <w:ind w:left="927" w:hanging="360"/>
      </w:pPr>
      <w:rPr>
        <w:rFonts w:ascii="Wingdings" w:hAnsi="Wingding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6914671"/>
    <w:multiLevelType w:val="hybridMultilevel"/>
    <w:tmpl w:val="380C86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164059"/>
    <w:multiLevelType w:val="hybridMultilevel"/>
    <w:tmpl w:val="D51E9E82"/>
    <w:lvl w:ilvl="0" w:tplc="E330462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2E36769"/>
    <w:multiLevelType w:val="hybridMultilevel"/>
    <w:tmpl w:val="49049D7E"/>
    <w:lvl w:ilvl="0" w:tplc="DEE2436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5AF33BF"/>
    <w:multiLevelType w:val="hybridMultilevel"/>
    <w:tmpl w:val="C05076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3F4546"/>
    <w:multiLevelType w:val="hybridMultilevel"/>
    <w:tmpl w:val="8C44A3E6"/>
    <w:lvl w:ilvl="0" w:tplc="0409000B">
      <w:start w:val="1"/>
      <w:numFmt w:val="bullet"/>
      <w:lvlText w:val=""/>
      <w:lvlJc w:val="left"/>
      <w:pPr>
        <w:ind w:left="786" w:hanging="360"/>
      </w:pPr>
      <w:rPr>
        <w:rFonts w:ascii="Wingdings" w:hAnsi="Wingding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3DA52C3E"/>
    <w:multiLevelType w:val="multilevel"/>
    <w:tmpl w:val="3DA52C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D61430"/>
    <w:multiLevelType w:val="hybridMultilevel"/>
    <w:tmpl w:val="786C39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043EF"/>
    <w:multiLevelType w:val="hybridMultilevel"/>
    <w:tmpl w:val="AFF26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 w15:restartNumberingAfterBreak="0">
    <w:nsid w:val="597A7325"/>
    <w:multiLevelType w:val="hybridMultilevel"/>
    <w:tmpl w:val="4EA6BDC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0B3DAB"/>
    <w:multiLevelType w:val="hybridMultilevel"/>
    <w:tmpl w:val="1924E170"/>
    <w:lvl w:ilvl="0" w:tplc="04090007">
      <w:start w:val="1"/>
      <w:numFmt w:val="bullet"/>
      <w:lvlText w:val=""/>
      <w:lvlPicBulletId w:val="0"/>
      <w:lvlJc w:val="left"/>
      <w:pPr>
        <w:ind w:left="1352" w:hanging="360"/>
      </w:pPr>
      <w:rPr>
        <w:rFonts w:ascii="Wingdings" w:hAnsi="Wingdings"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25" w15:restartNumberingAfterBreak="0">
    <w:nsid w:val="5EA47C4A"/>
    <w:multiLevelType w:val="hybridMultilevel"/>
    <w:tmpl w:val="F8D6D48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345897"/>
    <w:multiLevelType w:val="hybridMultilevel"/>
    <w:tmpl w:val="CF2EADF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9" w15:restartNumberingAfterBreak="0">
    <w:nsid w:val="6808504C"/>
    <w:multiLevelType w:val="hybridMultilevel"/>
    <w:tmpl w:val="923C8A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391679"/>
    <w:multiLevelType w:val="hybridMultilevel"/>
    <w:tmpl w:val="BB2884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3DD2C9F"/>
    <w:multiLevelType w:val="hybridMultilevel"/>
    <w:tmpl w:val="1228D3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9A0D9C"/>
    <w:multiLevelType w:val="multilevel"/>
    <w:tmpl w:val="789A0D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A8A5DC9"/>
    <w:multiLevelType w:val="hybridMultilevel"/>
    <w:tmpl w:val="3F5ADB86"/>
    <w:lvl w:ilvl="0" w:tplc="EC3E9456">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2807AF"/>
    <w:multiLevelType w:val="hybridMultilevel"/>
    <w:tmpl w:val="D97AC9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
  </w:num>
  <w:num w:numId="3">
    <w:abstractNumId w:val="0"/>
  </w:num>
  <w:num w:numId="4">
    <w:abstractNumId w:val="4"/>
  </w:num>
  <w:num w:numId="5">
    <w:abstractNumId w:val="16"/>
  </w:num>
  <w:num w:numId="6">
    <w:abstractNumId w:val="27"/>
  </w:num>
  <w:num w:numId="7">
    <w:abstractNumId w:val="3"/>
  </w:num>
  <w:num w:numId="8">
    <w:abstractNumId w:val="15"/>
  </w:num>
  <w:num w:numId="9">
    <w:abstractNumId w:val="26"/>
  </w:num>
  <w:num w:numId="10">
    <w:abstractNumId w:val="11"/>
  </w:num>
  <w:num w:numId="11">
    <w:abstractNumId w:val="33"/>
  </w:num>
  <w:num w:numId="12">
    <w:abstractNumId w:val="6"/>
  </w:num>
  <w:num w:numId="13">
    <w:abstractNumId w:val="21"/>
  </w:num>
  <w:num w:numId="14">
    <w:abstractNumId w:val="10"/>
  </w:num>
  <w:num w:numId="15">
    <w:abstractNumId w:val="19"/>
  </w:num>
  <w:num w:numId="16">
    <w:abstractNumId w:val="22"/>
  </w:num>
  <w:num w:numId="17">
    <w:abstractNumId w:val="1"/>
  </w:num>
  <w:num w:numId="18">
    <w:abstractNumId w:val="12"/>
  </w:num>
  <w:num w:numId="19">
    <w:abstractNumId w:val="34"/>
  </w:num>
  <w:num w:numId="20">
    <w:abstractNumId w:val="25"/>
  </w:num>
  <w:num w:numId="21">
    <w:abstractNumId w:val="9"/>
  </w:num>
  <w:num w:numId="22">
    <w:abstractNumId w:val="8"/>
  </w:num>
  <w:num w:numId="23">
    <w:abstractNumId w:val="13"/>
  </w:num>
  <w:num w:numId="24">
    <w:abstractNumId w:val="18"/>
  </w:num>
  <w:num w:numId="25">
    <w:abstractNumId w:val="14"/>
  </w:num>
  <w:num w:numId="26">
    <w:abstractNumId w:val="35"/>
  </w:num>
  <w:num w:numId="27">
    <w:abstractNumId w:val="32"/>
  </w:num>
  <w:num w:numId="28">
    <w:abstractNumId w:val="17"/>
  </w:num>
  <w:num w:numId="29">
    <w:abstractNumId w:val="23"/>
  </w:num>
  <w:num w:numId="30">
    <w:abstractNumId w:val="29"/>
  </w:num>
  <w:num w:numId="31">
    <w:abstractNumId w:val="30"/>
  </w:num>
  <w:num w:numId="32">
    <w:abstractNumId w:val="5"/>
  </w:num>
  <w:num w:numId="33">
    <w:abstractNumId w:val="20"/>
  </w:num>
  <w:num w:numId="34">
    <w:abstractNumId w:val="28"/>
  </w:num>
  <w:num w:numId="35">
    <w:abstractNumId w:val="24"/>
  </w:num>
  <w:num w:numId="36">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oNotDisplayPageBoundaries/>
  <w:bordersDoNotSurroundHeader/>
  <w:bordersDoNotSurroundFooter/>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469"/>
    <w:rsid w:val="000002BF"/>
    <w:rsid w:val="00000793"/>
    <w:rsid w:val="0000158F"/>
    <w:rsid w:val="00001FFC"/>
    <w:rsid w:val="00004460"/>
    <w:rsid w:val="00004915"/>
    <w:rsid w:val="00005755"/>
    <w:rsid w:val="00010397"/>
    <w:rsid w:val="00010B99"/>
    <w:rsid w:val="00011050"/>
    <w:rsid w:val="000165B8"/>
    <w:rsid w:val="0001752D"/>
    <w:rsid w:val="00017B08"/>
    <w:rsid w:val="00020CEA"/>
    <w:rsid w:val="0002217E"/>
    <w:rsid w:val="000313A0"/>
    <w:rsid w:val="0003387D"/>
    <w:rsid w:val="0003405C"/>
    <w:rsid w:val="00034E06"/>
    <w:rsid w:val="00035667"/>
    <w:rsid w:val="0003713C"/>
    <w:rsid w:val="00037CBA"/>
    <w:rsid w:val="000404AD"/>
    <w:rsid w:val="00040F04"/>
    <w:rsid w:val="00042DB3"/>
    <w:rsid w:val="00044480"/>
    <w:rsid w:val="000449D7"/>
    <w:rsid w:val="00046665"/>
    <w:rsid w:val="00046996"/>
    <w:rsid w:val="00046D9B"/>
    <w:rsid w:val="0005073F"/>
    <w:rsid w:val="0005183E"/>
    <w:rsid w:val="00052054"/>
    <w:rsid w:val="000523AB"/>
    <w:rsid w:val="000550B5"/>
    <w:rsid w:val="000553C9"/>
    <w:rsid w:val="00057CE6"/>
    <w:rsid w:val="00065F9F"/>
    <w:rsid w:val="000660A5"/>
    <w:rsid w:val="00070409"/>
    <w:rsid w:val="00071A4E"/>
    <w:rsid w:val="00072753"/>
    <w:rsid w:val="00077225"/>
    <w:rsid w:val="000773E1"/>
    <w:rsid w:val="000773F6"/>
    <w:rsid w:val="00082748"/>
    <w:rsid w:val="000851E4"/>
    <w:rsid w:val="000866AF"/>
    <w:rsid w:val="00086758"/>
    <w:rsid w:val="000869A9"/>
    <w:rsid w:val="00086B70"/>
    <w:rsid w:val="00087FCB"/>
    <w:rsid w:val="000922B7"/>
    <w:rsid w:val="00093188"/>
    <w:rsid w:val="00093960"/>
    <w:rsid w:val="000949D6"/>
    <w:rsid w:val="000968E3"/>
    <w:rsid w:val="0009692F"/>
    <w:rsid w:val="000A0685"/>
    <w:rsid w:val="000A29C6"/>
    <w:rsid w:val="000A3FBB"/>
    <w:rsid w:val="000A7566"/>
    <w:rsid w:val="000A79E7"/>
    <w:rsid w:val="000B0032"/>
    <w:rsid w:val="000B1E3F"/>
    <w:rsid w:val="000B20E4"/>
    <w:rsid w:val="000B4301"/>
    <w:rsid w:val="000B60B3"/>
    <w:rsid w:val="000B7010"/>
    <w:rsid w:val="000C0062"/>
    <w:rsid w:val="000C0B82"/>
    <w:rsid w:val="000C1554"/>
    <w:rsid w:val="000C1596"/>
    <w:rsid w:val="000C404E"/>
    <w:rsid w:val="000C68C0"/>
    <w:rsid w:val="000C71DD"/>
    <w:rsid w:val="000C7435"/>
    <w:rsid w:val="000C7499"/>
    <w:rsid w:val="000D359A"/>
    <w:rsid w:val="000D4375"/>
    <w:rsid w:val="000D4A1D"/>
    <w:rsid w:val="000D517E"/>
    <w:rsid w:val="000E0E50"/>
    <w:rsid w:val="000E2CE1"/>
    <w:rsid w:val="000E54BB"/>
    <w:rsid w:val="000F2C66"/>
    <w:rsid w:val="000F3178"/>
    <w:rsid w:val="000F47BB"/>
    <w:rsid w:val="000F480E"/>
    <w:rsid w:val="00100C36"/>
    <w:rsid w:val="0010125D"/>
    <w:rsid w:val="00102FD9"/>
    <w:rsid w:val="00107413"/>
    <w:rsid w:val="00112CA3"/>
    <w:rsid w:val="001140AF"/>
    <w:rsid w:val="001145CD"/>
    <w:rsid w:val="00115184"/>
    <w:rsid w:val="00115FE0"/>
    <w:rsid w:val="00116469"/>
    <w:rsid w:val="0011676E"/>
    <w:rsid w:val="00120667"/>
    <w:rsid w:val="00121721"/>
    <w:rsid w:val="00126BB0"/>
    <w:rsid w:val="00127444"/>
    <w:rsid w:val="001316B7"/>
    <w:rsid w:val="00131A5A"/>
    <w:rsid w:val="001325E4"/>
    <w:rsid w:val="001328CE"/>
    <w:rsid w:val="0013327E"/>
    <w:rsid w:val="0013354F"/>
    <w:rsid w:val="0013487A"/>
    <w:rsid w:val="001352A4"/>
    <w:rsid w:val="00137B78"/>
    <w:rsid w:val="00141800"/>
    <w:rsid w:val="0014368D"/>
    <w:rsid w:val="0014495F"/>
    <w:rsid w:val="00146CC5"/>
    <w:rsid w:val="00147293"/>
    <w:rsid w:val="0015037D"/>
    <w:rsid w:val="00151AEA"/>
    <w:rsid w:val="00152D22"/>
    <w:rsid w:val="001531ED"/>
    <w:rsid w:val="0015338D"/>
    <w:rsid w:val="00154011"/>
    <w:rsid w:val="001555F7"/>
    <w:rsid w:val="001578A6"/>
    <w:rsid w:val="00162FA3"/>
    <w:rsid w:val="00166BC5"/>
    <w:rsid w:val="00167A4E"/>
    <w:rsid w:val="0017009D"/>
    <w:rsid w:val="00172660"/>
    <w:rsid w:val="0017280B"/>
    <w:rsid w:val="00173F86"/>
    <w:rsid w:val="00175394"/>
    <w:rsid w:val="00177486"/>
    <w:rsid w:val="00177767"/>
    <w:rsid w:val="001803B5"/>
    <w:rsid w:val="00180BB3"/>
    <w:rsid w:val="00184B64"/>
    <w:rsid w:val="00187E82"/>
    <w:rsid w:val="00195B73"/>
    <w:rsid w:val="0019619F"/>
    <w:rsid w:val="00196DBE"/>
    <w:rsid w:val="001A135B"/>
    <w:rsid w:val="001A5BDE"/>
    <w:rsid w:val="001A5BE0"/>
    <w:rsid w:val="001A5E78"/>
    <w:rsid w:val="001A6FE3"/>
    <w:rsid w:val="001A789F"/>
    <w:rsid w:val="001A7D77"/>
    <w:rsid w:val="001B0749"/>
    <w:rsid w:val="001B2616"/>
    <w:rsid w:val="001B29F3"/>
    <w:rsid w:val="001B357D"/>
    <w:rsid w:val="001B412F"/>
    <w:rsid w:val="001B47AB"/>
    <w:rsid w:val="001B6DDB"/>
    <w:rsid w:val="001C2F62"/>
    <w:rsid w:val="001C5400"/>
    <w:rsid w:val="001C6BE2"/>
    <w:rsid w:val="001C72F6"/>
    <w:rsid w:val="001C7446"/>
    <w:rsid w:val="001D02BD"/>
    <w:rsid w:val="001D1B96"/>
    <w:rsid w:val="001D23B6"/>
    <w:rsid w:val="001D24A3"/>
    <w:rsid w:val="001D3C21"/>
    <w:rsid w:val="001D3DCF"/>
    <w:rsid w:val="001E197E"/>
    <w:rsid w:val="001E2A36"/>
    <w:rsid w:val="001E435C"/>
    <w:rsid w:val="001E54CD"/>
    <w:rsid w:val="001E5AB3"/>
    <w:rsid w:val="001E71A0"/>
    <w:rsid w:val="001E7359"/>
    <w:rsid w:val="001E7EBA"/>
    <w:rsid w:val="001F0045"/>
    <w:rsid w:val="001F0D5D"/>
    <w:rsid w:val="001F1B30"/>
    <w:rsid w:val="001F458C"/>
    <w:rsid w:val="001F5D94"/>
    <w:rsid w:val="00202026"/>
    <w:rsid w:val="00202E09"/>
    <w:rsid w:val="002037F5"/>
    <w:rsid w:val="00204984"/>
    <w:rsid w:val="00205FF6"/>
    <w:rsid w:val="00206ACD"/>
    <w:rsid w:val="00207134"/>
    <w:rsid w:val="00207802"/>
    <w:rsid w:val="00211535"/>
    <w:rsid w:val="0021241F"/>
    <w:rsid w:val="00213794"/>
    <w:rsid w:val="00213C01"/>
    <w:rsid w:val="00213EE4"/>
    <w:rsid w:val="00217299"/>
    <w:rsid w:val="0021759D"/>
    <w:rsid w:val="002175A7"/>
    <w:rsid w:val="00217ED1"/>
    <w:rsid w:val="00220318"/>
    <w:rsid w:val="00220B97"/>
    <w:rsid w:val="00221512"/>
    <w:rsid w:val="00221781"/>
    <w:rsid w:val="002224AB"/>
    <w:rsid w:val="00223A40"/>
    <w:rsid w:val="00225789"/>
    <w:rsid w:val="0022651C"/>
    <w:rsid w:val="0023230A"/>
    <w:rsid w:val="002333B0"/>
    <w:rsid w:val="0023616A"/>
    <w:rsid w:val="002376E3"/>
    <w:rsid w:val="0024022B"/>
    <w:rsid w:val="00240285"/>
    <w:rsid w:val="00244E1A"/>
    <w:rsid w:val="00245EA9"/>
    <w:rsid w:val="00251221"/>
    <w:rsid w:val="00252615"/>
    <w:rsid w:val="00252E0E"/>
    <w:rsid w:val="002536BF"/>
    <w:rsid w:val="00254930"/>
    <w:rsid w:val="002567C5"/>
    <w:rsid w:val="00257635"/>
    <w:rsid w:val="00260B72"/>
    <w:rsid w:val="00261014"/>
    <w:rsid w:val="0026184C"/>
    <w:rsid w:val="00261A08"/>
    <w:rsid w:val="002622DB"/>
    <w:rsid w:val="00263BED"/>
    <w:rsid w:val="002651D4"/>
    <w:rsid w:val="002655EC"/>
    <w:rsid w:val="0026754C"/>
    <w:rsid w:val="0026765B"/>
    <w:rsid w:val="00272314"/>
    <w:rsid w:val="00272382"/>
    <w:rsid w:val="00275E76"/>
    <w:rsid w:val="00275ECF"/>
    <w:rsid w:val="00283BC0"/>
    <w:rsid w:val="00292A71"/>
    <w:rsid w:val="00292D0C"/>
    <w:rsid w:val="00292F72"/>
    <w:rsid w:val="00297928"/>
    <w:rsid w:val="0029795E"/>
    <w:rsid w:val="002A06E8"/>
    <w:rsid w:val="002A08BD"/>
    <w:rsid w:val="002A15E5"/>
    <w:rsid w:val="002A2316"/>
    <w:rsid w:val="002A2835"/>
    <w:rsid w:val="002A4A26"/>
    <w:rsid w:val="002A5583"/>
    <w:rsid w:val="002A7438"/>
    <w:rsid w:val="002A772B"/>
    <w:rsid w:val="002A7830"/>
    <w:rsid w:val="002B00E4"/>
    <w:rsid w:val="002B1833"/>
    <w:rsid w:val="002B2701"/>
    <w:rsid w:val="002B2824"/>
    <w:rsid w:val="002B4196"/>
    <w:rsid w:val="002B42E3"/>
    <w:rsid w:val="002B5367"/>
    <w:rsid w:val="002B5973"/>
    <w:rsid w:val="002B6F69"/>
    <w:rsid w:val="002B7846"/>
    <w:rsid w:val="002C01D6"/>
    <w:rsid w:val="002C31B2"/>
    <w:rsid w:val="002C3AD1"/>
    <w:rsid w:val="002C5626"/>
    <w:rsid w:val="002C66AE"/>
    <w:rsid w:val="002C6995"/>
    <w:rsid w:val="002C6BEF"/>
    <w:rsid w:val="002C75A2"/>
    <w:rsid w:val="002D0732"/>
    <w:rsid w:val="002D0A8F"/>
    <w:rsid w:val="002D565F"/>
    <w:rsid w:val="002D58EC"/>
    <w:rsid w:val="002E03AF"/>
    <w:rsid w:val="002E2249"/>
    <w:rsid w:val="002E2520"/>
    <w:rsid w:val="002E2B6C"/>
    <w:rsid w:val="002F232E"/>
    <w:rsid w:val="002F2AA1"/>
    <w:rsid w:val="0030086D"/>
    <w:rsid w:val="00302EFF"/>
    <w:rsid w:val="003051E4"/>
    <w:rsid w:val="00307116"/>
    <w:rsid w:val="00310B76"/>
    <w:rsid w:val="00311077"/>
    <w:rsid w:val="003110A0"/>
    <w:rsid w:val="00312CAE"/>
    <w:rsid w:val="00312EE9"/>
    <w:rsid w:val="00317B24"/>
    <w:rsid w:val="003222C5"/>
    <w:rsid w:val="003224BE"/>
    <w:rsid w:val="00323491"/>
    <w:rsid w:val="00326354"/>
    <w:rsid w:val="00330074"/>
    <w:rsid w:val="003307E3"/>
    <w:rsid w:val="00331F95"/>
    <w:rsid w:val="00334917"/>
    <w:rsid w:val="00334C68"/>
    <w:rsid w:val="003358DC"/>
    <w:rsid w:val="00336ECB"/>
    <w:rsid w:val="00336ED1"/>
    <w:rsid w:val="003379A5"/>
    <w:rsid w:val="00341538"/>
    <w:rsid w:val="00343BE2"/>
    <w:rsid w:val="0034419E"/>
    <w:rsid w:val="0034587F"/>
    <w:rsid w:val="00345E6A"/>
    <w:rsid w:val="003469F4"/>
    <w:rsid w:val="00347DD9"/>
    <w:rsid w:val="00353C4A"/>
    <w:rsid w:val="00355ED4"/>
    <w:rsid w:val="003561D0"/>
    <w:rsid w:val="00356EBF"/>
    <w:rsid w:val="00364314"/>
    <w:rsid w:val="00364B55"/>
    <w:rsid w:val="00365DF9"/>
    <w:rsid w:val="00374185"/>
    <w:rsid w:val="003762C0"/>
    <w:rsid w:val="00377267"/>
    <w:rsid w:val="00377CE4"/>
    <w:rsid w:val="00377E38"/>
    <w:rsid w:val="003837EA"/>
    <w:rsid w:val="003838EE"/>
    <w:rsid w:val="003841F5"/>
    <w:rsid w:val="00384337"/>
    <w:rsid w:val="003852F9"/>
    <w:rsid w:val="00390C7A"/>
    <w:rsid w:val="00391F09"/>
    <w:rsid w:val="00392AF9"/>
    <w:rsid w:val="003935ED"/>
    <w:rsid w:val="0039362C"/>
    <w:rsid w:val="0039484B"/>
    <w:rsid w:val="00395677"/>
    <w:rsid w:val="00396A45"/>
    <w:rsid w:val="003A0CB3"/>
    <w:rsid w:val="003A30E7"/>
    <w:rsid w:val="003A5916"/>
    <w:rsid w:val="003A6263"/>
    <w:rsid w:val="003A7CDB"/>
    <w:rsid w:val="003A7D67"/>
    <w:rsid w:val="003B17A5"/>
    <w:rsid w:val="003B1E64"/>
    <w:rsid w:val="003B39E3"/>
    <w:rsid w:val="003B5EB3"/>
    <w:rsid w:val="003C04B4"/>
    <w:rsid w:val="003C1F27"/>
    <w:rsid w:val="003C261A"/>
    <w:rsid w:val="003C2FE3"/>
    <w:rsid w:val="003C44CF"/>
    <w:rsid w:val="003C6397"/>
    <w:rsid w:val="003C68BA"/>
    <w:rsid w:val="003D29FC"/>
    <w:rsid w:val="003D34AE"/>
    <w:rsid w:val="003D35B6"/>
    <w:rsid w:val="003D35FC"/>
    <w:rsid w:val="003D74FA"/>
    <w:rsid w:val="003E22FF"/>
    <w:rsid w:val="003E311D"/>
    <w:rsid w:val="003E3203"/>
    <w:rsid w:val="003E3D2F"/>
    <w:rsid w:val="003F0FEA"/>
    <w:rsid w:val="003F1B46"/>
    <w:rsid w:val="003F2690"/>
    <w:rsid w:val="00401039"/>
    <w:rsid w:val="004021F9"/>
    <w:rsid w:val="004027E2"/>
    <w:rsid w:val="00403AAD"/>
    <w:rsid w:val="00403C3A"/>
    <w:rsid w:val="00404661"/>
    <w:rsid w:val="0040607F"/>
    <w:rsid w:val="004063FE"/>
    <w:rsid w:val="00406979"/>
    <w:rsid w:val="004105BB"/>
    <w:rsid w:val="004117BA"/>
    <w:rsid w:val="00412DB3"/>
    <w:rsid w:val="00413B65"/>
    <w:rsid w:val="004146CD"/>
    <w:rsid w:val="00415B4F"/>
    <w:rsid w:val="00415F9C"/>
    <w:rsid w:val="0041633E"/>
    <w:rsid w:val="00416552"/>
    <w:rsid w:val="00421662"/>
    <w:rsid w:val="0042168F"/>
    <w:rsid w:val="004302DF"/>
    <w:rsid w:val="00430B12"/>
    <w:rsid w:val="0043152C"/>
    <w:rsid w:val="00432558"/>
    <w:rsid w:val="00436FE5"/>
    <w:rsid w:val="0044050A"/>
    <w:rsid w:val="00440BBA"/>
    <w:rsid w:val="00440C67"/>
    <w:rsid w:val="00442206"/>
    <w:rsid w:val="00442E5B"/>
    <w:rsid w:val="00444772"/>
    <w:rsid w:val="00445632"/>
    <w:rsid w:val="00445B8C"/>
    <w:rsid w:val="004461DD"/>
    <w:rsid w:val="00447978"/>
    <w:rsid w:val="00447A5E"/>
    <w:rsid w:val="00450B9C"/>
    <w:rsid w:val="004517F8"/>
    <w:rsid w:val="00451A7F"/>
    <w:rsid w:val="00452AB4"/>
    <w:rsid w:val="0045389E"/>
    <w:rsid w:val="00455644"/>
    <w:rsid w:val="00456F09"/>
    <w:rsid w:val="00461316"/>
    <w:rsid w:val="00461321"/>
    <w:rsid w:val="00463208"/>
    <w:rsid w:val="00463933"/>
    <w:rsid w:val="00466246"/>
    <w:rsid w:val="00467616"/>
    <w:rsid w:val="00470B2A"/>
    <w:rsid w:val="0047174F"/>
    <w:rsid w:val="00474ECE"/>
    <w:rsid w:val="00476EA2"/>
    <w:rsid w:val="00477A5D"/>
    <w:rsid w:val="00477FEF"/>
    <w:rsid w:val="00481E73"/>
    <w:rsid w:val="004825F9"/>
    <w:rsid w:val="00483626"/>
    <w:rsid w:val="00484506"/>
    <w:rsid w:val="00491BB4"/>
    <w:rsid w:val="00492E11"/>
    <w:rsid w:val="00493172"/>
    <w:rsid w:val="00494729"/>
    <w:rsid w:val="00496E89"/>
    <w:rsid w:val="004A04F2"/>
    <w:rsid w:val="004A31BE"/>
    <w:rsid w:val="004A5B86"/>
    <w:rsid w:val="004B165F"/>
    <w:rsid w:val="004B184F"/>
    <w:rsid w:val="004B26FC"/>
    <w:rsid w:val="004B28F1"/>
    <w:rsid w:val="004B5555"/>
    <w:rsid w:val="004B5E80"/>
    <w:rsid w:val="004C0281"/>
    <w:rsid w:val="004C45EC"/>
    <w:rsid w:val="004C5A86"/>
    <w:rsid w:val="004C5DCD"/>
    <w:rsid w:val="004D092F"/>
    <w:rsid w:val="004D23B8"/>
    <w:rsid w:val="004D672A"/>
    <w:rsid w:val="004D682C"/>
    <w:rsid w:val="004D77C9"/>
    <w:rsid w:val="004E007D"/>
    <w:rsid w:val="004E34C2"/>
    <w:rsid w:val="004E44CF"/>
    <w:rsid w:val="004E6444"/>
    <w:rsid w:val="004E7382"/>
    <w:rsid w:val="004E7A2A"/>
    <w:rsid w:val="004F0048"/>
    <w:rsid w:val="004F02FD"/>
    <w:rsid w:val="004F07E6"/>
    <w:rsid w:val="004F25AB"/>
    <w:rsid w:val="004F26FC"/>
    <w:rsid w:val="004F36A1"/>
    <w:rsid w:val="004F4235"/>
    <w:rsid w:val="004F4A75"/>
    <w:rsid w:val="004F54A2"/>
    <w:rsid w:val="004F566F"/>
    <w:rsid w:val="004F70CB"/>
    <w:rsid w:val="00501C66"/>
    <w:rsid w:val="00503354"/>
    <w:rsid w:val="005042C6"/>
    <w:rsid w:val="005045FF"/>
    <w:rsid w:val="00504619"/>
    <w:rsid w:val="00504BBA"/>
    <w:rsid w:val="005052AF"/>
    <w:rsid w:val="00505C1D"/>
    <w:rsid w:val="00505CE0"/>
    <w:rsid w:val="005071C5"/>
    <w:rsid w:val="00507A63"/>
    <w:rsid w:val="00512F38"/>
    <w:rsid w:val="0051414D"/>
    <w:rsid w:val="005176D2"/>
    <w:rsid w:val="00517C80"/>
    <w:rsid w:val="005209B6"/>
    <w:rsid w:val="00520FCE"/>
    <w:rsid w:val="005218C4"/>
    <w:rsid w:val="00521C86"/>
    <w:rsid w:val="00522067"/>
    <w:rsid w:val="00523E3A"/>
    <w:rsid w:val="0052489B"/>
    <w:rsid w:val="005248D7"/>
    <w:rsid w:val="005274B6"/>
    <w:rsid w:val="00532CE2"/>
    <w:rsid w:val="00533461"/>
    <w:rsid w:val="00533F51"/>
    <w:rsid w:val="00535313"/>
    <w:rsid w:val="005374D2"/>
    <w:rsid w:val="00540505"/>
    <w:rsid w:val="005428A3"/>
    <w:rsid w:val="00542C3D"/>
    <w:rsid w:val="0054341D"/>
    <w:rsid w:val="0054391F"/>
    <w:rsid w:val="005461C3"/>
    <w:rsid w:val="00547719"/>
    <w:rsid w:val="005521A7"/>
    <w:rsid w:val="005538A9"/>
    <w:rsid w:val="00557FF9"/>
    <w:rsid w:val="005601BB"/>
    <w:rsid w:val="00562C10"/>
    <w:rsid w:val="00562D0A"/>
    <w:rsid w:val="00562F1E"/>
    <w:rsid w:val="00563174"/>
    <w:rsid w:val="00563E18"/>
    <w:rsid w:val="005645AC"/>
    <w:rsid w:val="00565BDC"/>
    <w:rsid w:val="00573228"/>
    <w:rsid w:val="0057347F"/>
    <w:rsid w:val="00574EA9"/>
    <w:rsid w:val="005775BD"/>
    <w:rsid w:val="0058134D"/>
    <w:rsid w:val="005814AE"/>
    <w:rsid w:val="005857D0"/>
    <w:rsid w:val="00586041"/>
    <w:rsid w:val="0058651C"/>
    <w:rsid w:val="00591198"/>
    <w:rsid w:val="0059226A"/>
    <w:rsid w:val="00592774"/>
    <w:rsid w:val="00593302"/>
    <w:rsid w:val="005968CF"/>
    <w:rsid w:val="00596DE7"/>
    <w:rsid w:val="005A24FC"/>
    <w:rsid w:val="005B13FF"/>
    <w:rsid w:val="005B14F1"/>
    <w:rsid w:val="005B1B7C"/>
    <w:rsid w:val="005B2D41"/>
    <w:rsid w:val="005B2D7D"/>
    <w:rsid w:val="005B3846"/>
    <w:rsid w:val="005B7ED3"/>
    <w:rsid w:val="005C0913"/>
    <w:rsid w:val="005C3028"/>
    <w:rsid w:val="005C4FA6"/>
    <w:rsid w:val="005C605A"/>
    <w:rsid w:val="005C6D6F"/>
    <w:rsid w:val="005C7C41"/>
    <w:rsid w:val="005D0239"/>
    <w:rsid w:val="005D13D2"/>
    <w:rsid w:val="005D1712"/>
    <w:rsid w:val="005D26CC"/>
    <w:rsid w:val="005D347C"/>
    <w:rsid w:val="005D6C85"/>
    <w:rsid w:val="005D6E7E"/>
    <w:rsid w:val="005D705F"/>
    <w:rsid w:val="005D791D"/>
    <w:rsid w:val="005D7EE5"/>
    <w:rsid w:val="005E4519"/>
    <w:rsid w:val="005E5740"/>
    <w:rsid w:val="005E7A96"/>
    <w:rsid w:val="005F0967"/>
    <w:rsid w:val="005F5048"/>
    <w:rsid w:val="005F56E0"/>
    <w:rsid w:val="00601A3D"/>
    <w:rsid w:val="006037AD"/>
    <w:rsid w:val="00603D12"/>
    <w:rsid w:val="006056E2"/>
    <w:rsid w:val="00607B46"/>
    <w:rsid w:val="00611675"/>
    <w:rsid w:val="00611AE2"/>
    <w:rsid w:val="00613A33"/>
    <w:rsid w:val="00617058"/>
    <w:rsid w:val="0061717D"/>
    <w:rsid w:val="0062032C"/>
    <w:rsid w:val="00621449"/>
    <w:rsid w:val="006221A9"/>
    <w:rsid w:val="0062296F"/>
    <w:rsid w:val="00623198"/>
    <w:rsid w:val="0062422F"/>
    <w:rsid w:val="0062471E"/>
    <w:rsid w:val="00642507"/>
    <w:rsid w:val="006439C7"/>
    <w:rsid w:val="00646D17"/>
    <w:rsid w:val="00647342"/>
    <w:rsid w:val="00647E48"/>
    <w:rsid w:val="00653206"/>
    <w:rsid w:val="00653B97"/>
    <w:rsid w:val="00656326"/>
    <w:rsid w:val="00660C5D"/>
    <w:rsid w:val="00661B08"/>
    <w:rsid w:val="006623D8"/>
    <w:rsid w:val="00662BEF"/>
    <w:rsid w:val="00666438"/>
    <w:rsid w:val="0066690D"/>
    <w:rsid w:val="0066781B"/>
    <w:rsid w:val="00667B6F"/>
    <w:rsid w:val="00672894"/>
    <w:rsid w:val="0067751B"/>
    <w:rsid w:val="00677A16"/>
    <w:rsid w:val="0068015D"/>
    <w:rsid w:val="006801E9"/>
    <w:rsid w:val="006805A9"/>
    <w:rsid w:val="00680AEA"/>
    <w:rsid w:val="00680E12"/>
    <w:rsid w:val="00681034"/>
    <w:rsid w:val="0068155A"/>
    <w:rsid w:val="00681F40"/>
    <w:rsid w:val="00684182"/>
    <w:rsid w:val="00684FC9"/>
    <w:rsid w:val="00685CD5"/>
    <w:rsid w:val="006870DC"/>
    <w:rsid w:val="00690011"/>
    <w:rsid w:val="006905A1"/>
    <w:rsid w:val="00691E78"/>
    <w:rsid w:val="00693458"/>
    <w:rsid w:val="0069409B"/>
    <w:rsid w:val="00695108"/>
    <w:rsid w:val="006A1366"/>
    <w:rsid w:val="006A1439"/>
    <w:rsid w:val="006A1F0B"/>
    <w:rsid w:val="006A384C"/>
    <w:rsid w:val="006A3A81"/>
    <w:rsid w:val="006A5E2D"/>
    <w:rsid w:val="006B02A6"/>
    <w:rsid w:val="006B0A40"/>
    <w:rsid w:val="006B0E7D"/>
    <w:rsid w:val="006B1CF9"/>
    <w:rsid w:val="006B2DC0"/>
    <w:rsid w:val="006B427D"/>
    <w:rsid w:val="006B7AD6"/>
    <w:rsid w:val="006C2A26"/>
    <w:rsid w:val="006C39CA"/>
    <w:rsid w:val="006C3CCF"/>
    <w:rsid w:val="006C4238"/>
    <w:rsid w:val="006C45D7"/>
    <w:rsid w:val="006C653E"/>
    <w:rsid w:val="006C7868"/>
    <w:rsid w:val="006D4DA2"/>
    <w:rsid w:val="006D53E3"/>
    <w:rsid w:val="006D5971"/>
    <w:rsid w:val="006D6113"/>
    <w:rsid w:val="006D646B"/>
    <w:rsid w:val="006D6559"/>
    <w:rsid w:val="006E05BD"/>
    <w:rsid w:val="006E0FFB"/>
    <w:rsid w:val="006E110D"/>
    <w:rsid w:val="006E3553"/>
    <w:rsid w:val="006E35FE"/>
    <w:rsid w:val="006E44A3"/>
    <w:rsid w:val="006F0348"/>
    <w:rsid w:val="006F1834"/>
    <w:rsid w:val="006F3D0B"/>
    <w:rsid w:val="006F4024"/>
    <w:rsid w:val="006F4903"/>
    <w:rsid w:val="006F6101"/>
    <w:rsid w:val="006F6C23"/>
    <w:rsid w:val="006F7DA9"/>
    <w:rsid w:val="007009AC"/>
    <w:rsid w:val="0070133A"/>
    <w:rsid w:val="00702BE7"/>
    <w:rsid w:val="00703BBF"/>
    <w:rsid w:val="00704012"/>
    <w:rsid w:val="0070648E"/>
    <w:rsid w:val="00707712"/>
    <w:rsid w:val="00710FD8"/>
    <w:rsid w:val="00710FE8"/>
    <w:rsid w:val="007140D7"/>
    <w:rsid w:val="00715078"/>
    <w:rsid w:val="00715295"/>
    <w:rsid w:val="00716696"/>
    <w:rsid w:val="00717D3E"/>
    <w:rsid w:val="00720B23"/>
    <w:rsid w:val="007307D9"/>
    <w:rsid w:val="0073164F"/>
    <w:rsid w:val="00731E1B"/>
    <w:rsid w:val="007324FC"/>
    <w:rsid w:val="00733A52"/>
    <w:rsid w:val="00735F2C"/>
    <w:rsid w:val="00736825"/>
    <w:rsid w:val="00740BA4"/>
    <w:rsid w:val="007505DB"/>
    <w:rsid w:val="0075305D"/>
    <w:rsid w:val="00753127"/>
    <w:rsid w:val="00755F6C"/>
    <w:rsid w:val="00756226"/>
    <w:rsid w:val="00760742"/>
    <w:rsid w:val="00760D2A"/>
    <w:rsid w:val="0076156D"/>
    <w:rsid w:val="007637C5"/>
    <w:rsid w:val="00764485"/>
    <w:rsid w:val="0076616B"/>
    <w:rsid w:val="00766633"/>
    <w:rsid w:val="00766851"/>
    <w:rsid w:val="00766989"/>
    <w:rsid w:val="00766B0E"/>
    <w:rsid w:val="0076724D"/>
    <w:rsid w:val="007673EF"/>
    <w:rsid w:val="00770048"/>
    <w:rsid w:val="0077647C"/>
    <w:rsid w:val="007801DD"/>
    <w:rsid w:val="007837E0"/>
    <w:rsid w:val="00787672"/>
    <w:rsid w:val="00787767"/>
    <w:rsid w:val="007909A0"/>
    <w:rsid w:val="00793D99"/>
    <w:rsid w:val="00794F0A"/>
    <w:rsid w:val="00796941"/>
    <w:rsid w:val="00797525"/>
    <w:rsid w:val="00797D63"/>
    <w:rsid w:val="007A3A84"/>
    <w:rsid w:val="007A3CBC"/>
    <w:rsid w:val="007A5A5F"/>
    <w:rsid w:val="007A5A66"/>
    <w:rsid w:val="007B0E00"/>
    <w:rsid w:val="007B24BE"/>
    <w:rsid w:val="007B3F40"/>
    <w:rsid w:val="007B47D3"/>
    <w:rsid w:val="007B4DDF"/>
    <w:rsid w:val="007B54DD"/>
    <w:rsid w:val="007B6A70"/>
    <w:rsid w:val="007B72C6"/>
    <w:rsid w:val="007C317F"/>
    <w:rsid w:val="007C508C"/>
    <w:rsid w:val="007C569A"/>
    <w:rsid w:val="007C7B54"/>
    <w:rsid w:val="007D1A52"/>
    <w:rsid w:val="007D5B4A"/>
    <w:rsid w:val="007D689C"/>
    <w:rsid w:val="007E13C4"/>
    <w:rsid w:val="007F22B0"/>
    <w:rsid w:val="007F27EF"/>
    <w:rsid w:val="007F2FF4"/>
    <w:rsid w:val="007F44AE"/>
    <w:rsid w:val="007F4A70"/>
    <w:rsid w:val="007F4E68"/>
    <w:rsid w:val="007F600B"/>
    <w:rsid w:val="007F74B6"/>
    <w:rsid w:val="00801863"/>
    <w:rsid w:val="008039DD"/>
    <w:rsid w:val="0080606F"/>
    <w:rsid w:val="00810638"/>
    <w:rsid w:val="0081103A"/>
    <w:rsid w:val="0081271D"/>
    <w:rsid w:val="008137A0"/>
    <w:rsid w:val="00815A27"/>
    <w:rsid w:val="008176A0"/>
    <w:rsid w:val="008205F2"/>
    <w:rsid w:val="0082097F"/>
    <w:rsid w:val="00822D7B"/>
    <w:rsid w:val="0082376A"/>
    <w:rsid w:val="00825998"/>
    <w:rsid w:val="008266A3"/>
    <w:rsid w:val="00834EF6"/>
    <w:rsid w:val="00836229"/>
    <w:rsid w:val="00840B20"/>
    <w:rsid w:val="00842DF9"/>
    <w:rsid w:val="0085077E"/>
    <w:rsid w:val="00850876"/>
    <w:rsid w:val="00851DE6"/>
    <w:rsid w:val="00852E35"/>
    <w:rsid w:val="00857EC3"/>
    <w:rsid w:val="00860C54"/>
    <w:rsid w:val="0086169A"/>
    <w:rsid w:val="0086197E"/>
    <w:rsid w:val="00861C36"/>
    <w:rsid w:val="00864F95"/>
    <w:rsid w:val="008650E2"/>
    <w:rsid w:val="00865937"/>
    <w:rsid w:val="0086690A"/>
    <w:rsid w:val="00866AA8"/>
    <w:rsid w:val="0087081E"/>
    <w:rsid w:val="008719CE"/>
    <w:rsid w:val="00871E7F"/>
    <w:rsid w:val="008732FE"/>
    <w:rsid w:val="008747A3"/>
    <w:rsid w:val="00874ABB"/>
    <w:rsid w:val="00877668"/>
    <w:rsid w:val="008779FF"/>
    <w:rsid w:val="00877E79"/>
    <w:rsid w:val="00880D3B"/>
    <w:rsid w:val="00881D91"/>
    <w:rsid w:val="0088229F"/>
    <w:rsid w:val="00883DCF"/>
    <w:rsid w:val="008904D2"/>
    <w:rsid w:val="00891826"/>
    <w:rsid w:val="00892CD0"/>
    <w:rsid w:val="00893811"/>
    <w:rsid w:val="00893855"/>
    <w:rsid w:val="0089626B"/>
    <w:rsid w:val="00896C02"/>
    <w:rsid w:val="0089741D"/>
    <w:rsid w:val="008A0C1D"/>
    <w:rsid w:val="008A48B7"/>
    <w:rsid w:val="008A5339"/>
    <w:rsid w:val="008A7450"/>
    <w:rsid w:val="008B28C3"/>
    <w:rsid w:val="008B2CB6"/>
    <w:rsid w:val="008B315F"/>
    <w:rsid w:val="008B3CE4"/>
    <w:rsid w:val="008B5221"/>
    <w:rsid w:val="008B5730"/>
    <w:rsid w:val="008C2302"/>
    <w:rsid w:val="008C2D34"/>
    <w:rsid w:val="008C65E9"/>
    <w:rsid w:val="008C6C42"/>
    <w:rsid w:val="008D0111"/>
    <w:rsid w:val="008D09A2"/>
    <w:rsid w:val="008D21D9"/>
    <w:rsid w:val="008D2E4B"/>
    <w:rsid w:val="008D66F2"/>
    <w:rsid w:val="008D704E"/>
    <w:rsid w:val="008E0A85"/>
    <w:rsid w:val="008E10E7"/>
    <w:rsid w:val="008E1131"/>
    <w:rsid w:val="008E130F"/>
    <w:rsid w:val="008E15AF"/>
    <w:rsid w:val="008E1D0C"/>
    <w:rsid w:val="008E208F"/>
    <w:rsid w:val="008E49D5"/>
    <w:rsid w:val="008E61C0"/>
    <w:rsid w:val="008E6237"/>
    <w:rsid w:val="008E6577"/>
    <w:rsid w:val="008E67F7"/>
    <w:rsid w:val="008E7D8D"/>
    <w:rsid w:val="008F068E"/>
    <w:rsid w:val="008F3A63"/>
    <w:rsid w:val="008F5A23"/>
    <w:rsid w:val="008F7EFC"/>
    <w:rsid w:val="009017D4"/>
    <w:rsid w:val="0090280A"/>
    <w:rsid w:val="00902BB4"/>
    <w:rsid w:val="00903DA7"/>
    <w:rsid w:val="00904DF4"/>
    <w:rsid w:val="00905FAB"/>
    <w:rsid w:val="009064EB"/>
    <w:rsid w:val="00913601"/>
    <w:rsid w:val="00914598"/>
    <w:rsid w:val="009200AA"/>
    <w:rsid w:val="00920A69"/>
    <w:rsid w:val="009223C7"/>
    <w:rsid w:val="00922544"/>
    <w:rsid w:val="00922D89"/>
    <w:rsid w:val="00931421"/>
    <w:rsid w:val="00933027"/>
    <w:rsid w:val="00933FCD"/>
    <w:rsid w:val="009353B3"/>
    <w:rsid w:val="0093796F"/>
    <w:rsid w:val="009448CF"/>
    <w:rsid w:val="00946FCE"/>
    <w:rsid w:val="00951389"/>
    <w:rsid w:val="00952C3A"/>
    <w:rsid w:val="00954387"/>
    <w:rsid w:val="0095464F"/>
    <w:rsid w:val="0095619C"/>
    <w:rsid w:val="00956C40"/>
    <w:rsid w:val="00957432"/>
    <w:rsid w:val="0095746D"/>
    <w:rsid w:val="00957F07"/>
    <w:rsid w:val="00957F0F"/>
    <w:rsid w:val="00960475"/>
    <w:rsid w:val="00962E6B"/>
    <w:rsid w:val="00963C5D"/>
    <w:rsid w:val="009642D6"/>
    <w:rsid w:val="00964541"/>
    <w:rsid w:val="00964E04"/>
    <w:rsid w:val="00965E7C"/>
    <w:rsid w:val="00967685"/>
    <w:rsid w:val="0097059F"/>
    <w:rsid w:val="00971116"/>
    <w:rsid w:val="00971FEA"/>
    <w:rsid w:val="00972FDE"/>
    <w:rsid w:val="009730EE"/>
    <w:rsid w:val="00973D2C"/>
    <w:rsid w:val="00980E73"/>
    <w:rsid w:val="0098189C"/>
    <w:rsid w:val="00981A37"/>
    <w:rsid w:val="0098317F"/>
    <w:rsid w:val="009840D6"/>
    <w:rsid w:val="00986688"/>
    <w:rsid w:val="00987E45"/>
    <w:rsid w:val="00987E73"/>
    <w:rsid w:val="00990BA8"/>
    <w:rsid w:val="00994043"/>
    <w:rsid w:val="00994510"/>
    <w:rsid w:val="00995669"/>
    <w:rsid w:val="00996DA9"/>
    <w:rsid w:val="009A192C"/>
    <w:rsid w:val="009A1B72"/>
    <w:rsid w:val="009A5806"/>
    <w:rsid w:val="009A6222"/>
    <w:rsid w:val="009A6629"/>
    <w:rsid w:val="009A772B"/>
    <w:rsid w:val="009B1B69"/>
    <w:rsid w:val="009B28E6"/>
    <w:rsid w:val="009B360B"/>
    <w:rsid w:val="009B6D55"/>
    <w:rsid w:val="009C03CE"/>
    <w:rsid w:val="009C28E4"/>
    <w:rsid w:val="009C57EE"/>
    <w:rsid w:val="009D1C1D"/>
    <w:rsid w:val="009E0EB8"/>
    <w:rsid w:val="009E1AD8"/>
    <w:rsid w:val="009E22FE"/>
    <w:rsid w:val="009F43CA"/>
    <w:rsid w:val="009F55D1"/>
    <w:rsid w:val="009F5ACC"/>
    <w:rsid w:val="00A02AA3"/>
    <w:rsid w:val="00A03A4B"/>
    <w:rsid w:val="00A04C9C"/>
    <w:rsid w:val="00A05393"/>
    <w:rsid w:val="00A10536"/>
    <w:rsid w:val="00A111DD"/>
    <w:rsid w:val="00A11C54"/>
    <w:rsid w:val="00A11C7C"/>
    <w:rsid w:val="00A12744"/>
    <w:rsid w:val="00A13B35"/>
    <w:rsid w:val="00A143DE"/>
    <w:rsid w:val="00A16041"/>
    <w:rsid w:val="00A2050C"/>
    <w:rsid w:val="00A22455"/>
    <w:rsid w:val="00A2297F"/>
    <w:rsid w:val="00A261A2"/>
    <w:rsid w:val="00A30E39"/>
    <w:rsid w:val="00A30FAD"/>
    <w:rsid w:val="00A3267F"/>
    <w:rsid w:val="00A33BB9"/>
    <w:rsid w:val="00A3463E"/>
    <w:rsid w:val="00A36078"/>
    <w:rsid w:val="00A36230"/>
    <w:rsid w:val="00A372EE"/>
    <w:rsid w:val="00A374D1"/>
    <w:rsid w:val="00A3775F"/>
    <w:rsid w:val="00A46408"/>
    <w:rsid w:val="00A46EC8"/>
    <w:rsid w:val="00A54B19"/>
    <w:rsid w:val="00A553E1"/>
    <w:rsid w:val="00A57656"/>
    <w:rsid w:val="00A6279A"/>
    <w:rsid w:val="00A63EDE"/>
    <w:rsid w:val="00A64AD0"/>
    <w:rsid w:val="00A67614"/>
    <w:rsid w:val="00A71151"/>
    <w:rsid w:val="00A766B5"/>
    <w:rsid w:val="00A768ED"/>
    <w:rsid w:val="00A82433"/>
    <w:rsid w:val="00A85F1D"/>
    <w:rsid w:val="00A86398"/>
    <w:rsid w:val="00A87393"/>
    <w:rsid w:val="00A90306"/>
    <w:rsid w:val="00A92E7D"/>
    <w:rsid w:val="00A9398F"/>
    <w:rsid w:val="00A943F5"/>
    <w:rsid w:val="00A94495"/>
    <w:rsid w:val="00A955AC"/>
    <w:rsid w:val="00AA0B21"/>
    <w:rsid w:val="00AA3FCF"/>
    <w:rsid w:val="00AA53D2"/>
    <w:rsid w:val="00AA7517"/>
    <w:rsid w:val="00AA7599"/>
    <w:rsid w:val="00AB0644"/>
    <w:rsid w:val="00AB0BA7"/>
    <w:rsid w:val="00AB0C7A"/>
    <w:rsid w:val="00AB1A5A"/>
    <w:rsid w:val="00AB3AB4"/>
    <w:rsid w:val="00AC13C5"/>
    <w:rsid w:val="00AC1B5F"/>
    <w:rsid w:val="00AC21B1"/>
    <w:rsid w:val="00AC2758"/>
    <w:rsid w:val="00AC67F5"/>
    <w:rsid w:val="00AC6E9A"/>
    <w:rsid w:val="00AD11D6"/>
    <w:rsid w:val="00AD1469"/>
    <w:rsid w:val="00AD1E05"/>
    <w:rsid w:val="00AD2EDB"/>
    <w:rsid w:val="00AD31F3"/>
    <w:rsid w:val="00AD377A"/>
    <w:rsid w:val="00AD4541"/>
    <w:rsid w:val="00AD6E74"/>
    <w:rsid w:val="00AD73EC"/>
    <w:rsid w:val="00AD7A51"/>
    <w:rsid w:val="00AE0787"/>
    <w:rsid w:val="00AE0B6E"/>
    <w:rsid w:val="00AE1082"/>
    <w:rsid w:val="00AE16FD"/>
    <w:rsid w:val="00AE1BC7"/>
    <w:rsid w:val="00AE33E6"/>
    <w:rsid w:val="00AF1B00"/>
    <w:rsid w:val="00AF4472"/>
    <w:rsid w:val="00AF6D5F"/>
    <w:rsid w:val="00AF730E"/>
    <w:rsid w:val="00B0274E"/>
    <w:rsid w:val="00B0370C"/>
    <w:rsid w:val="00B05835"/>
    <w:rsid w:val="00B066D2"/>
    <w:rsid w:val="00B07BBE"/>
    <w:rsid w:val="00B07D40"/>
    <w:rsid w:val="00B1223B"/>
    <w:rsid w:val="00B138CA"/>
    <w:rsid w:val="00B139E0"/>
    <w:rsid w:val="00B21A8B"/>
    <w:rsid w:val="00B22974"/>
    <w:rsid w:val="00B23441"/>
    <w:rsid w:val="00B23B51"/>
    <w:rsid w:val="00B2495E"/>
    <w:rsid w:val="00B269B5"/>
    <w:rsid w:val="00B26A54"/>
    <w:rsid w:val="00B30512"/>
    <w:rsid w:val="00B30742"/>
    <w:rsid w:val="00B3361C"/>
    <w:rsid w:val="00B33A3F"/>
    <w:rsid w:val="00B34219"/>
    <w:rsid w:val="00B40C6D"/>
    <w:rsid w:val="00B44DE8"/>
    <w:rsid w:val="00B4609F"/>
    <w:rsid w:val="00B51ADC"/>
    <w:rsid w:val="00B5272C"/>
    <w:rsid w:val="00B53911"/>
    <w:rsid w:val="00B556D1"/>
    <w:rsid w:val="00B57D2E"/>
    <w:rsid w:val="00B607E1"/>
    <w:rsid w:val="00B63B97"/>
    <w:rsid w:val="00B6401A"/>
    <w:rsid w:val="00B64F74"/>
    <w:rsid w:val="00B65491"/>
    <w:rsid w:val="00B6564B"/>
    <w:rsid w:val="00B665F4"/>
    <w:rsid w:val="00B6713A"/>
    <w:rsid w:val="00B67E5E"/>
    <w:rsid w:val="00B71D94"/>
    <w:rsid w:val="00B7554E"/>
    <w:rsid w:val="00B7685C"/>
    <w:rsid w:val="00B815D6"/>
    <w:rsid w:val="00B816C2"/>
    <w:rsid w:val="00B85840"/>
    <w:rsid w:val="00B87AFF"/>
    <w:rsid w:val="00B87E1B"/>
    <w:rsid w:val="00B90673"/>
    <w:rsid w:val="00B913E9"/>
    <w:rsid w:val="00B9230A"/>
    <w:rsid w:val="00B94166"/>
    <w:rsid w:val="00B97562"/>
    <w:rsid w:val="00BA493F"/>
    <w:rsid w:val="00BA57E9"/>
    <w:rsid w:val="00BB046B"/>
    <w:rsid w:val="00BB11FB"/>
    <w:rsid w:val="00BB20A6"/>
    <w:rsid w:val="00BB4777"/>
    <w:rsid w:val="00BB4D7C"/>
    <w:rsid w:val="00BB4D94"/>
    <w:rsid w:val="00BB6DE5"/>
    <w:rsid w:val="00BB7990"/>
    <w:rsid w:val="00BB7CBC"/>
    <w:rsid w:val="00BC105B"/>
    <w:rsid w:val="00BC2F5D"/>
    <w:rsid w:val="00BC45C7"/>
    <w:rsid w:val="00BC48F7"/>
    <w:rsid w:val="00BC611D"/>
    <w:rsid w:val="00BC7E7B"/>
    <w:rsid w:val="00BD13FD"/>
    <w:rsid w:val="00BD170E"/>
    <w:rsid w:val="00BD291B"/>
    <w:rsid w:val="00BD445A"/>
    <w:rsid w:val="00BD4E03"/>
    <w:rsid w:val="00BD54CF"/>
    <w:rsid w:val="00BD573A"/>
    <w:rsid w:val="00BD7547"/>
    <w:rsid w:val="00BE3953"/>
    <w:rsid w:val="00BE675E"/>
    <w:rsid w:val="00BE6D3E"/>
    <w:rsid w:val="00BF1A9B"/>
    <w:rsid w:val="00BF308C"/>
    <w:rsid w:val="00BF336E"/>
    <w:rsid w:val="00BF54C4"/>
    <w:rsid w:val="00BF635F"/>
    <w:rsid w:val="00BF6807"/>
    <w:rsid w:val="00C00FD1"/>
    <w:rsid w:val="00C00FD5"/>
    <w:rsid w:val="00C01B10"/>
    <w:rsid w:val="00C0501C"/>
    <w:rsid w:val="00C056CA"/>
    <w:rsid w:val="00C116AD"/>
    <w:rsid w:val="00C1775B"/>
    <w:rsid w:val="00C20744"/>
    <w:rsid w:val="00C20A61"/>
    <w:rsid w:val="00C230A7"/>
    <w:rsid w:val="00C24BBE"/>
    <w:rsid w:val="00C27B91"/>
    <w:rsid w:val="00C30DBE"/>
    <w:rsid w:val="00C34672"/>
    <w:rsid w:val="00C44B38"/>
    <w:rsid w:val="00C46F42"/>
    <w:rsid w:val="00C4708E"/>
    <w:rsid w:val="00C5392A"/>
    <w:rsid w:val="00C54D71"/>
    <w:rsid w:val="00C576A3"/>
    <w:rsid w:val="00C60810"/>
    <w:rsid w:val="00C60B00"/>
    <w:rsid w:val="00C62358"/>
    <w:rsid w:val="00C65845"/>
    <w:rsid w:val="00C6684D"/>
    <w:rsid w:val="00C71AAB"/>
    <w:rsid w:val="00C72533"/>
    <w:rsid w:val="00C75132"/>
    <w:rsid w:val="00C76F1E"/>
    <w:rsid w:val="00C76F84"/>
    <w:rsid w:val="00C80184"/>
    <w:rsid w:val="00C80244"/>
    <w:rsid w:val="00C8081A"/>
    <w:rsid w:val="00C814CE"/>
    <w:rsid w:val="00C81581"/>
    <w:rsid w:val="00C83A94"/>
    <w:rsid w:val="00C86172"/>
    <w:rsid w:val="00C86B28"/>
    <w:rsid w:val="00C90398"/>
    <w:rsid w:val="00C9209C"/>
    <w:rsid w:val="00C92949"/>
    <w:rsid w:val="00C92A33"/>
    <w:rsid w:val="00C967EA"/>
    <w:rsid w:val="00C978AA"/>
    <w:rsid w:val="00C9793C"/>
    <w:rsid w:val="00C97E22"/>
    <w:rsid w:val="00CA03D5"/>
    <w:rsid w:val="00CA23B3"/>
    <w:rsid w:val="00CA2BAF"/>
    <w:rsid w:val="00CA3FA7"/>
    <w:rsid w:val="00CA504E"/>
    <w:rsid w:val="00CA5359"/>
    <w:rsid w:val="00CA667C"/>
    <w:rsid w:val="00CB35E3"/>
    <w:rsid w:val="00CB3ADF"/>
    <w:rsid w:val="00CB444E"/>
    <w:rsid w:val="00CB5EF4"/>
    <w:rsid w:val="00CB6950"/>
    <w:rsid w:val="00CB6A2E"/>
    <w:rsid w:val="00CB7049"/>
    <w:rsid w:val="00CC0212"/>
    <w:rsid w:val="00CC0E3A"/>
    <w:rsid w:val="00CC1A66"/>
    <w:rsid w:val="00CC1D2A"/>
    <w:rsid w:val="00CC2C20"/>
    <w:rsid w:val="00CC5641"/>
    <w:rsid w:val="00CC5FA0"/>
    <w:rsid w:val="00CD0695"/>
    <w:rsid w:val="00CD150E"/>
    <w:rsid w:val="00CD1836"/>
    <w:rsid w:val="00CD1DD9"/>
    <w:rsid w:val="00CD21D7"/>
    <w:rsid w:val="00CD30F4"/>
    <w:rsid w:val="00CD5C21"/>
    <w:rsid w:val="00CD6F2E"/>
    <w:rsid w:val="00CD78A8"/>
    <w:rsid w:val="00CE1306"/>
    <w:rsid w:val="00CE4E8A"/>
    <w:rsid w:val="00CE5D0E"/>
    <w:rsid w:val="00CF0949"/>
    <w:rsid w:val="00CF1778"/>
    <w:rsid w:val="00CF17C5"/>
    <w:rsid w:val="00CF25A3"/>
    <w:rsid w:val="00CF3E5F"/>
    <w:rsid w:val="00CF5618"/>
    <w:rsid w:val="00CF6CD6"/>
    <w:rsid w:val="00D00A36"/>
    <w:rsid w:val="00D00E77"/>
    <w:rsid w:val="00D0240A"/>
    <w:rsid w:val="00D02610"/>
    <w:rsid w:val="00D026C4"/>
    <w:rsid w:val="00D06640"/>
    <w:rsid w:val="00D11332"/>
    <w:rsid w:val="00D13851"/>
    <w:rsid w:val="00D139FB"/>
    <w:rsid w:val="00D14D7F"/>
    <w:rsid w:val="00D15140"/>
    <w:rsid w:val="00D16D21"/>
    <w:rsid w:val="00D16E63"/>
    <w:rsid w:val="00D17BA6"/>
    <w:rsid w:val="00D21035"/>
    <w:rsid w:val="00D2106B"/>
    <w:rsid w:val="00D2157E"/>
    <w:rsid w:val="00D23753"/>
    <w:rsid w:val="00D2420B"/>
    <w:rsid w:val="00D25E85"/>
    <w:rsid w:val="00D2623B"/>
    <w:rsid w:val="00D26EC0"/>
    <w:rsid w:val="00D335DE"/>
    <w:rsid w:val="00D37579"/>
    <w:rsid w:val="00D40791"/>
    <w:rsid w:val="00D42178"/>
    <w:rsid w:val="00D42EFA"/>
    <w:rsid w:val="00D444FC"/>
    <w:rsid w:val="00D46348"/>
    <w:rsid w:val="00D46353"/>
    <w:rsid w:val="00D47133"/>
    <w:rsid w:val="00D475E0"/>
    <w:rsid w:val="00D51520"/>
    <w:rsid w:val="00D51879"/>
    <w:rsid w:val="00D53D2E"/>
    <w:rsid w:val="00D542E5"/>
    <w:rsid w:val="00D5731C"/>
    <w:rsid w:val="00D57621"/>
    <w:rsid w:val="00D61351"/>
    <w:rsid w:val="00D63377"/>
    <w:rsid w:val="00D63991"/>
    <w:rsid w:val="00D646B4"/>
    <w:rsid w:val="00D64A53"/>
    <w:rsid w:val="00D73B63"/>
    <w:rsid w:val="00D75CFA"/>
    <w:rsid w:val="00D771DF"/>
    <w:rsid w:val="00D776C7"/>
    <w:rsid w:val="00D80DB3"/>
    <w:rsid w:val="00D81BC2"/>
    <w:rsid w:val="00D81D42"/>
    <w:rsid w:val="00D82A59"/>
    <w:rsid w:val="00D82FA4"/>
    <w:rsid w:val="00D835BD"/>
    <w:rsid w:val="00D843F8"/>
    <w:rsid w:val="00D85504"/>
    <w:rsid w:val="00D857E1"/>
    <w:rsid w:val="00D86864"/>
    <w:rsid w:val="00D90A40"/>
    <w:rsid w:val="00D93AF3"/>
    <w:rsid w:val="00D9518B"/>
    <w:rsid w:val="00D9587A"/>
    <w:rsid w:val="00D95E53"/>
    <w:rsid w:val="00D97B11"/>
    <w:rsid w:val="00DB019F"/>
    <w:rsid w:val="00DB3F44"/>
    <w:rsid w:val="00DB459D"/>
    <w:rsid w:val="00DB5FDD"/>
    <w:rsid w:val="00DB7E09"/>
    <w:rsid w:val="00DC1194"/>
    <w:rsid w:val="00DC3B1F"/>
    <w:rsid w:val="00DC4FB2"/>
    <w:rsid w:val="00DC5FEA"/>
    <w:rsid w:val="00DC7415"/>
    <w:rsid w:val="00DC7848"/>
    <w:rsid w:val="00DD0117"/>
    <w:rsid w:val="00DD08D2"/>
    <w:rsid w:val="00DD143A"/>
    <w:rsid w:val="00DD1AA8"/>
    <w:rsid w:val="00DD73B7"/>
    <w:rsid w:val="00DD7760"/>
    <w:rsid w:val="00DD7C0B"/>
    <w:rsid w:val="00DE0707"/>
    <w:rsid w:val="00DE13FF"/>
    <w:rsid w:val="00DE211E"/>
    <w:rsid w:val="00DE2A4A"/>
    <w:rsid w:val="00DE5E0B"/>
    <w:rsid w:val="00DE6B2F"/>
    <w:rsid w:val="00DF0063"/>
    <w:rsid w:val="00DF0623"/>
    <w:rsid w:val="00DF080B"/>
    <w:rsid w:val="00DF0BC1"/>
    <w:rsid w:val="00DF35C4"/>
    <w:rsid w:val="00DF452B"/>
    <w:rsid w:val="00DF4BBF"/>
    <w:rsid w:val="00DF7008"/>
    <w:rsid w:val="00DF791B"/>
    <w:rsid w:val="00E01830"/>
    <w:rsid w:val="00E03B1F"/>
    <w:rsid w:val="00E04C71"/>
    <w:rsid w:val="00E04CD3"/>
    <w:rsid w:val="00E06238"/>
    <w:rsid w:val="00E06F2A"/>
    <w:rsid w:val="00E1052E"/>
    <w:rsid w:val="00E152F1"/>
    <w:rsid w:val="00E2026D"/>
    <w:rsid w:val="00E2307D"/>
    <w:rsid w:val="00E235B7"/>
    <w:rsid w:val="00E24E93"/>
    <w:rsid w:val="00E254C5"/>
    <w:rsid w:val="00E2578B"/>
    <w:rsid w:val="00E2585A"/>
    <w:rsid w:val="00E25918"/>
    <w:rsid w:val="00E26267"/>
    <w:rsid w:val="00E2683E"/>
    <w:rsid w:val="00E3001D"/>
    <w:rsid w:val="00E301C2"/>
    <w:rsid w:val="00E31F4D"/>
    <w:rsid w:val="00E3617D"/>
    <w:rsid w:val="00E37091"/>
    <w:rsid w:val="00E40178"/>
    <w:rsid w:val="00E41E7F"/>
    <w:rsid w:val="00E42AA5"/>
    <w:rsid w:val="00E439F3"/>
    <w:rsid w:val="00E4401C"/>
    <w:rsid w:val="00E44094"/>
    <w:rsid w:val="00E44AA4"/>
    <w:rsid w:val="00E53B95"/>
    <w:rsid w:val="00E547CF"/>
    <w:rsid w:val="00E56AE1"/>
    <w:rsid w:val="00E571B7"/>
    <w:rsid w:val="00E57BCE"/>
    <w:rsid w:val="00E57E73"/>
    <w:rsid w:val="00E6195A"/>
    <w:rsid w:val="00E62867"/>
    <w:rsid w:val="00E62C43"/>
    <w:rsid w:val="00E6311C"/>
    <w:rsid w:val="00E63292"/>
    <w:rsid w:val="00E6495E"/>
    <w:rsid w:val="00E65E64"/>
    <w:rsid w:val="00E71C50"/>
    <w:rsid w:val="00E722C7"/>
    <w:rsid w:val="00E734CC"/>
    <w:rsid w:val="00E74E04"/>
    <w:rsid w:val="00E74F42"/>
    <w:rsid w:val="00E77E7E"/>
    <w:rsid w:val="00E81AD2"/>
    <w:rsid w:val="00E824A6"/>
    <w:rsid w:val="00E828F4"/>
    <w:rsid w:val="00E837F3"/>
    <w:rsid w:val="00E85690"/>
    <w:rsid w:val="00E8618B"/>
    <w:rsid w:val="00E868DE"/>
    <w:rsid w:val="00E86BFA"/>
    <w:rsid w:val="00E8777B"/>
    <w:rsid w:val="00E905C2"/>
    <w:rsid w:val="00E90746"/>
    <w:rsid w:val="00E92082"/>
    <w:rsid w:val="00E93967"/>
    <w:rsid w:val="00EA030F"/>
    <w:rsid w:val="00EA1B4C"/>
    <w:rsid w:val="00EA44DB"/>
    <w:rsid w:val="00EA5AA4"/>
    <w:rsid w:val="00EA5B39"/>
    <w:rsid w:val="00EB02BF"/>
    <w:rsid w:val="00EB0467"/>
    <w:rsid w:val="00EB2262"/>
    <w:rsid w:val="00EB285E"/>
    <w:rsid w:val="00EB4197"/>
    <w:rsid w:val="00EB476C"/>
    <w:rsid w:val="00EB59C6"/>
    <w:rsid w:val="00EB5DCF"/>
    <w:rsid w:val="00EB61D0"/>
    <w:rsid w:val="00EB6CEA"/>
    <w:rsid w:val="00EB7889"/>
    <w:rsid w:val="00EC2A53"/>
    <w:rsid w:val="00EC3710"/>
    <w:rsid w:val="00EC680B"/>
    <w:rsid w:val="00EC70D0"/>
    <w:rsid w:val="00EC744C"/>
    <w:rsid w:val="00ED16CC"/>
    <w:rsid w:val="00ED183B"/>
    <w:rsid w:val="00ED3829"/>
    <w:rsid w:val="00ED3FA0"/>
    <w:rsid w:val="00ED43FE"/>
    <w:rsid w:val="00ED4CE7"/>
    <w:rsid w:val="00ED5A64"/>
    <w:rsid w:val="00ED5FD9"/>
    <w:rsid w:val="00ED7A04"/>
    <w:rsid w:val="00ED7DD4"/>
    <w:rsid w:val="00EE209F"/>
    <w:rsid w:val="00EE24D0"/>
    <w:rsid w:val="00EE3B66"/>
    <w:rsid w:val="00EE3C72"/>
    <w:rsid w:val="00EE5229"/>
    <w:rsid w:val="00EE5C13"/>
    <w:rsid w:val="00EF0239"/>
    <w:rsid w:val="00EF17EA"/>
    <w:rsid w:val="00EF1FAD"/>
    <w:rsid w:val="00EF20C2"/>
    <w:rsid w:val="00EF35CE"/>
    <w:rsid w:val="00EF3D1B"/>
    <w:rsid w:val="00EF472E"/>
    <w:rsid w:val="00EF5563"/>
    <w:rsid w:val="00F04F21"/>
    <w:rsid w:val="00F05360"/>
    <w:rsid w:val="00F054ED"/>
    <w:rsid w:val="00F06E56"/>
    <w:rsid w:val="00F0721A"/>
    <w:rsid w:val="00F07709"/>
    <w:rsid w:val="00F07CE9"/>
    <w:rsid w:val="00F10286"/>
    <w:rsid w:val="00F120EC"/>
    <w:rsid w:val="00F13433"/>
    <w:rsid w:val="00F13BC2"/>
    <w:rsid w:val="00F21E74"/>
    <w:rsid w:val="00F23CC9"/>
    <w:rsid w:val="00F246DF"/>
    <w:rsid w:val="00F24EF3"/>
    <w:rsid w:val="00F25626"/>
    <w:rsid w:val="00F271FA"/>
    <w:rsid w:val="00F30572"/>
    <w:rsid w:val="00F31446"/>
    <w:rsid w:val="00F37815"/>
    <w:rsid w:val="00F37BCC"/>
    <w:rsid w:val="00F41562"/>
    <w:rsid w:val="00F41746"/>
    <w:rsid w:val="00F41CCF"/>
    <w:rsid w:val="00F41E92"/>
    <w:rsid w:val="00F530EC"/>
    <w:rsid w:val="00F54999"/>
    <w:rsid w:val="00F62407"/>
    <w:rsid w:val="00F62769"/>
    <w:rsid w:val="00F62B06"/>
    <w:rsid w:val="00F633ED"/>
    <w:rsid w:val="00F637D0"/>
    <w:rsid w:val="00F6716B"/>
    <w:rsid w:val="00F70799"/>
    <w:rsid w:val="00F70BB2"/>
    <w:rsid w:val="00F7188E"/>
    <w:rsid w:val="00F72AC2"/>
    <w:rsid w:val="00F7359C"/>
    <w:rsid w:val="00F7468E"/>
    <w:rsid w:val="00F74CF5"/>
    <w:rsid w:val="00F75330"/>
    <w:rsid w:val="00F76A1F"/>
    <w:rsid w:val="00F77A0F"/>
    <w:rsid w:val="00F802AA"/>
    <w:rsid w:val="00F813DB"/>
    <w:rsid w:val="00F81B19"/>
    <w:rsid w:val="00F830E5"/>
    <w:rsid w:val="00F83C12"/>
    <w:rsid w:val="00F83D48"/>
    <w:rsid w:val="00F844C7"/>
    <w:rsid w:val="00F84CDA"/>
    <w:rsid w:val="00F84FA8"/>
    <w:rsid w:val="00F85FF3"/>
    <w:rsid w:val="00F865BD"/>
    <w:rsid w:val="00F86B70"/>
    <w:rsid w:val="00F87925"/>
    <w:rsid w:val="00F906C4"/>
    <w:rsid w:val="00F91536"/>
    <w:rsid w:val="00F919D8"/>
    <w:rsid w:val="00F9294C"/>
    <w:rsid w:val="00F94917"/>
    <w:rsid w:val="00F95EBC"/>
    <w:rsid w:val="00F96129"/>
    <w:rsid w:val="00FA0A4C"/>
    <w:rsid w:val="00FA0ED6"/>
    <w:rsid w:val="00FA2BF4"/>
    <w:rsid w:val="00FA34E4"/>
    <w:rsid w:val="00FA3E9D"/>
    <w:rsid w:val="00FA4EBD"/>
    <w:rsid w:val="00FA6FAD"/>
    <w:rsid w:val="00FB0D49"/>
    <w:rsid w:val="00FB129E"/>
    <w:rsid w:val="00FB414A"/>
    <w:rsid w:val="00FC265B"/>
    <w:rsid w:val="00FC3B25"/>
    <w:rsid w:val="00FC5D75"/>
    <w:rsid w:val="00FC685B"/>
    <w:rsid w:val="00FC6FE7"/>
    <w:rsid w:val="00FD17EF"/>
    <w:rsid w:val="00FD2286"/>
    <w:rsid w:val="00FD26F4"/>
    <w:rsid w:val="00FD2EF8"/>
    <w:rsid w:val="00FD2F7D"/>
    <w:rsid w:val="00FD4CBF"/>
    <w:rsid w:val="00FD5649"/>
    <w:rsid w:val="00FD6330"/>
    <w:rsid w:val="00FD63E5"/>
    <w:rsid w:val="00FE1018"/>
    <w:rsid w:val="00FE1144"/>
    <w:rsid w:val="00FE30CB"/>
    <w:rsid w:val="00FE4484"/>
    <w:rsid w:val="00FE6D65"/>
    <w:rsid w:val="00FE77BF"/>
    <w:rsid w:val="00FF1600"/>
    <w:rsid w:val="00FF1858"/>
    <w:rsid w:val="00FF2800"/>
    <w:rsid w:val="00FF3A03"/>
    <w:rsid w:val="00FF4347"/>
    <w:rsid w:val="621C45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AE8A90A-7C4A-443D-B958-242A16E3A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lsdException w:name="List 4" w:uiPriority="0" w:qFormat="1"/>
    <w:lsdException w:name="List 5" w:uiPriority="0" w:qFormat="1"/>
    <w:lsdException w:name="List Bullet 2" w:uiPriority="0" w:qFormat="1"/>
    <w:lsdException w:name="List Bullet 3" w:uiPriority="0" w:qFormat="1"/>
    <w:lsdException w:name="List Bullet 4" w:uiPriority="0"/>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2DF9"/>
    <w:rPr>
      <w:rFonts w:eastAsia="Times New Roman"/>
      <w:sz w:val="24"/>
      <w:szCs w:val="24"/>
    </w:rPr>
  </w:style>
  <w:style w:type="paragraph" w:styleId="1">
    <w:name w:val="heading 1"/>
    <w:next w:val="a"/>
    <w:link w:val="1Char"/>
    <w:qFormat/>
    <w:pPr>
      <w:keepNext/>
      <w:keepLines/>
      <w:pBdr>
        <w:top w:val="single" w:sz="12" w:space="3" w:color="auto"/>
      </w:pBdr>
      <w:spacing w:before="240" w:after="180" w:line="259" w:lineRule="auto"/>
      <w:ind w:left="1134" w:hanging="1134"/>
      <w:jc w:val="both"/>
      <w:outlineLvl w:val="0"/>
    </w:pPr>
    <w:rPr>
      <w:rFonts w:ascii="Arial" w:eastAsia="Malgun Gothic"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a"/>
    <w:next w:val="a"/>
    <w:link w:val="3Char"/>
    <w:unhideWhenUsed/>
    <w:qFormat/>
    <w:pPr>
      <w:keepNext/>
      <w:keepLines/>
      <w:spacing w:before="40"/>
      <w:outlineLvl w:val="2"/>
    </w:pPr>
    <w:rPr>
      <w:rFonts w:asciiTheme="majorHAnsi" w:eastAsiaTheme="majorEastAsia" w:hAnsiTheme="majorHAnsi" w:cstheme="majorBidi"/>
      <w:color w:val="1F3864" w:themeColor="accent1" w:themeShade="80"/>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Char"/>
    <w:qFormat/>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ja-JP"/>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overflowPunct w:val="0"/>
      <w:autoSpaceDE w:val="0"/>
      <w:autoSpaceDN w:val="0"/>
      <w:adjustRightInd w:val="0"/>
      <w:spacing w:line="240" w:lineRule="auto"/>
      <w:ind w:left="0" w:firstLine="0"/>
      <w:jc w:val="left"/>
      <w:textAlignment w:val="baseline"/>
      <w:outlineLvl w:val="7"/>
    </w:pPr>
    <w:rPr>
      <w:rFonts w:eastAsia="Times New Roman"/>
      <w:lang w:eastAsia="ja-JP"/>
    </w:r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overflowPunct w:val="0"/>
      <w:autoSpaceDE w:val="0"/>
      <w:autoSpaceDN w:val="0"/>
      <w:adjustRightInd w:val="0"/>
      <w:ind w:left="568" w:hanging="284"/>
      <w:textAlignment w:val="baseline"/>
    </w:pPr>
    <w:rPr>
      <w:lang w:eastAsia="ja-JP"/>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link w:val="2Char0"/>
    <w:qFormat/>
    <w:pPr>
      <w:ind w:left="851"/>
    </w:pPr>
  </w:style>
  <w:style w:type="paragraph" w:styleId="a5">
    <w:name w:val="List Bullet"/>
    <w:basedOn w:val="a3"/>
    <w:qFormat/>
  </w:style>
  <w:style w:type="paragraph" w:styleId="a6">
    <w:name w:val="annotation text"/>
    <w:basedOn w:val="a"/>
    <w:link w:val="Char"/>
    <w:uiPriority w:val="99"/>
    <w:qFormat/>
    <w:pPr>
      <w:overflowPunct w:val="0"/>
      <w:autoSpaceDE w:val="0"/>
      <w:autoSpaceDN w:val="0"/>
      <w:adjustRightInd w:val="0"/>
      <w:textAlignment w:val="baseline"/>
    </w:pPr>
    <w:rPr>
      <w:lang w:eastAsia="ja-JP"/>
    </w:rPr>
  </w:style>
  <w:style w:type="paragraph" w:styleId="a7">
    <w:name w:val="Body Text"/>
    <w:basedOn w:val="a"/>
    <w:link w:val="Char0"/>
    <w:qFormat/>
    <w:pPr>
      <w:overflowPunct w:val="0"/>
      <w:autoSpaceDE w:val="0"/>
      <w:autoSpaceDN w:val="0"/>
      <w:adjustRightInd w:val="0"/>
      <w:spacing w:after="120"/>
      <w:textAlignment w:val="baseline"/>
    </w:pPr>
    <w:rPr>
      <w:lang w:eastAsia="ja-JP"/>
    </w:rPr>
  </w:style>
  <w:style w:type="paragraph" w:styleId="a8">
    <w:name w:val="Plain Text"/>
    <w:basedOn w:val="a"/>
    <w:link w:val="Char1"/>
    <w:uiPriority w:val="99"/>
    <w:qFormat/>
    <w:pPr>
      <w:spacing w:after="160"/>
    </w:pPr>
    <w:rPr>
      <w:rFonts w:ascii="Courier New" w:eastAsiaTheme="minorHAnsi" w:hAnsi="Courier New" w:cstheme="minorBidi"/>
      <w:sz w:val="22"/>
      <w:szCs w:val="22"/>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semiHidden/>
    <w:unhideWhenUsed/>
    <w:qFormat/>
    <w:pPr>
      <w:overflowPunct w:val="0"/>
      <w:autoSpaceDE w:val="0"/>
      <w:autoSpaceDN w:val="0"/>
      <w:adjustRightInd w:val="0"/>
      <w:textAlignment w:val="baseline"/>
    </w:pPr>
    <w:rPr>
      <w:rFonts w:ascii="Segoe UI" w:hAnsi="Segoe UI" w:cs="Segoe UI"/>
      <w:sz w:val="18"/>
      <w:szCs w:val="18"/>
      <w:lang w:eastAsia="ja-JP"/>
    </w:rPr>
  </w:style>
  <w:style w:type="paragraph" w:styleId="aa">
    <w:name w:val="footer"/>
    <w:basedOn w:val="a"/>
    <w:link w:val="Char3"/>
    <w:unhideWhenUsed/>
    <w:qFormat/>
    <w:pPr>
      <w:tabs>
        <w:tab w:val="center" w:pos="4320"/>
        <w:tab w:val="right" w:pos="8640"/>
      </w:tabs>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4"/>
    <w:uiPriority w:val="99"/>
    <w:unhideWhenUsed/>
    <w:qFormat/>
    <w:pPr>
      <w:tabs>
        <w:tab w:val="center" w:pos="4320"/>
        <w:tab w:val="right" w:pos="8640"/>
      </w:tabs>
    </w:pPr>
  </w:style>
  <w:style w:type="paragraph" w:styleId="ac">
    <w:name w:val="footnote text"/>
    <w:basedOn w:val="a"/>
    <w:link w:val="Char5"/>
    <w:qFormat/>
    <w:pPr>
      <w:keepLines/>
      <w:overflowPunct w:val="0"/>
      <w:autoSpaceDE w:val="0"/>
      <w:autoSpaceDN w:val="0"/>
      <w:adjustRightInd w:val="0"/>
      <w:ind w:left="454" w:hanging="454"/>
      <w:textAlignment w:val="baseline"/>
    </w:pPr>
    <w:rPr>
      <w:sz w:val="16"/>
      <w:lang w:eastAsia="ja-JP"/>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d">
    <w:name w:val="Normal (Web)"/>
    <w:basedOn w:val="a"/>
    <w:uiPriority w:val="99"/>
    <w:unhideWhenUsed/>
    <w:qFormat/>
    <w:pPr>
      <w:overflowPunct w:val="0"/>
      <w:autoSpaceDE w:val="0"/>
      <w:autoSpaceDN w:val="0"/>
      <w:adjustRightInd w:val="0"/>
      <w:spacing w:before="100" w:beforeAutospacing="1" w:after="100" w:afterAutospacing="1"/>
      <w:textAlignment w:val="baseline"/>
    </w:pPr>
    <w:rPr>
      <w:lang w:eastAsia="en-GB"/>
    </w:rPr>
  </w:style>
  <w:style w:type="paragraph" w:styleId="11">
    <w:name w:val="index 1"/>
    <w:basedOn w:val="a"/>
    <w:next w:val="a"/>
    <w:qFormat/>
    <w:pPr>
      <w:keepLines/>
      <w:overflowPunct w:val="0"/>
      <w:autoSpaceDE w:val="0"/>
      <w:autoSpaceDN w:val="0"/>
      <w:adjustRightInd w:val="0"/>
      <w:textAlignment w:val="baseline"/>
    </w:pPr>
    <w:rPr>
      <w:lang w:eastAsia="ja-JP"/>
    </w:rPr>
  </w:style>
  <w:style w:type="paragraph" w:styleId="24">
    <w:name w:val="index 2"/>
    <w:basedOn w:val="11"/>
    <w:next w:val="a"/>
    <w:qFormat/>
    <w:pPr>
      <w:ind w:left="284"/>
    </w:pPr>
  </w:style>
  <w:style w:type="paragraph" w:styleId="ae">
    <w:name w:val="annotation subject"/>
    <w:basedOn w:val="a6"/>
    <w:next w:val="a6"/>
    <w:link w:val="Char6"/>
    <w:qFormat/>
    <w:rPr>
      <w:b/>
      <w:bCs/>
    </w:rPr>
  </w:style>
  <w:style w:type="table" w:styleId="af">
    <w:name w:val="Table Grid"/>
    <w:basedOn w:val="a1"/>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0"/>
    <w:uiPriority w:val="99"/>
    <w:semiHidden/>
    <w:unhideWhenUsed/>
    <w:qFormat/>
    <w:rPr>
      <w:color w:val="954F72" w:themeColor="followedHyperlink"/>
      <w:u w:val="single"/>
    </w:rPr>
  </w:style>
  <w:style w:type="character" w:styleId="af1">
    <w:name w:val="Emphasis"/>
    <w:basedOn w:val="a0"/>
    <w:uiPriority w:val="20"/>
    <w:qFormat/>
    <w:rPr>
      <w:i/>
      <w:iCs/>
    </w:rPr>
  </w:style>
  <w:style w:type="character" w:styleId="af2">
    <w:name w:val="Hyperlink"/>
    <w:uiPriority w:val="99"/>
    <w:qFormat/>
    <w:rPr>
      <w:color w:val="0000FF"/>
      <w:u w:val="single"/>
    </w:rPr>
  </w:style>
  <w:style w:type="character" w:styleId="af3">
    <w:name w:val="annotation reference"/>
    <w:basedOn w:val="a0"/>
    <w:qFormat/>
    <w:rPr>
      <w:sz w:val="16"/>
      <w:szCs w:val="16"/>
    </w:rPr>
  </w:style>
  <w:style w:type="character" w:styleId="af4">
    <w:name w:val="footnote reference"/>
    <w:basedOn w:val="a0"/>
    <w:qFormat/>
    <w:rPr>
      <w:b/>
      <w:position w:val="6"/>
      <w:sz w:val="16"/>
    </w:rPr>
  </w:style>
  <w:style w:type="paragraph" w:customStyle="1" w:styleId="CRCoverPage">
    <w:name w:val="CR Cover Page"/>
    <w:link w:val="CRCoverPageChar"/>
    <w:qFormat/>
    <w:pPr>
      <w:spacing w:after="120" w:line="259" w:lineRule="auto"/>
      <w:jc w:val="both"/>
    </w:pPr>
    <w:rPr>
      <w:rFonts w:ascii="Arial" w:eastAsia="Malgun Gothic" w:hAnsi="Arial"/>
      <w:lang w:val="en-GB" w:eastAsia="en-US"/>
    </w:rPr>
  </w:style>
  <w:style w:type="character" w:customStyle="1" w:styleId="CRCoverPageChar">
    <w:name w:val="CR Cover Page Char"/>
    <w:link w:val="CRCoverPage"/>
    <w:qFormat/>
    <w:rPr>
      <w:rFonts w:ascii="Arial" w:eastAsia="Malgun Gothic" w:hAnsi="Arial" w:cs="Times New Roman"/>
      <w:sz w:val="20"/>
      <w:szCs w:val="20"/>
      <w:lang w:val="en-GB" w:eastAsia="en-US"/>
    </w:rPr>
  </w:style>
  <w:style w:type="character" w:customStyle="1" w:styleId="1Char">
    <w:name w:val="标题 1 Char"/>
    <w:basedOn w:val="a0"/>
    <w:link w:val="1"/>
    <w:qFormat/>
    <w:rPr>
      <w:rFonts w:ascii="Arial" w:eastAsia="Malgun Gothic" w:hAnsi="Arial" w:cs="Times New Roman"/>
      <w:sz w:val="36"/>
      <w:szCs w:val="20"/>
      <w:lang w:val="en-GB" w:eastAsia="en-US"/>
    </w:rPr>
  </w:style>
  <w:style w:type="character" w:customStyle="1" w:styleId="2Char">
    <w:name w:val="标题 2 Char"/>
    <w:basedOn w:val="a0"/>
    <w:link w:val="2"/>
    <w:qFormat/>
    <w:rPr>
      <w:rFonts w:ascii="Arial" w:eastAsia="Malgun Gothic" w:hAnsi="Arial" w:cs="Times New Roman"/>
      <w:sz w:val="32"/>
      <w:szCs w:val="20"/>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ind w:left="1622" w:hanging="363"/>
    </w:pPr>
    <w:rPr>
      <w:rFonts w:ascii="Arial" w:eastAsiaTheme="minorEastAsia" w:hAnsi="Arial" w:cstheme="minorBidi"/>
      <w:sz w:val="22"/>
      <w:lang w:eastAsia="en-GB"/>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b"/>
    <w:uiPriority w:val="99"/>
    <w:qFormat/>
    <w:rPr>
      <w:rFonts w:ascii="Times New Roman" w:eastAsia="Malgun Gothic" w:hAnsi="Times New Roman" w:cs="Times New Roman"/>
      <w:sz w:val="20"/>
      <w:szCs w:val="20"/>
      <w:lang w:val="en-GB" w:eastAsia="en-US"/>
    </w:rPr>
  </w:style>
  <w:style w:type="character" w:customStyle="1" w:styleId="Char3">
    <w:name w:val="页脚 Char"/>
    <w:basedOn w:val="a0"/>
    <w:link w:val="aa"/>
    <w:qFormat/>
    <w:rPr>
      <w:rFonts w:ascii="Times New Roman" w:eastAsia="Malgun Gothic" w:hAnsi="Times New Roman" w:cs="Times New Roman"/>
      <w:sz w:val="20"/>
      <w:szCs w:val="20"/>
      <w:lang w:val="en-GB" w:eastAsia="en-US"/>
    </w:rPr>
  </w:style>
  <w:style w:type="character" w:customStyle="1" w:styleId="3Char">
    <w:name w:val="标题 3 Char"/>
    <w:basedOn w:val="a0"/>
    <w:link w:val="3"/>
    <w:qFormat/>
    <w:rPr>
      <w:rFonts w:asciiTheme="majorHAnsi" w:eastAsiaTheme="majorEastAsia" w:hAnsiTheme="majorHAnsi" w:cstheme="majorBidi"/>
      <w:color w:val="1F3864" w:themeColor="accent1" w:themeShade="80"/>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Theme="majorHAnsi" w:eastAsiaTheme="majorEastAsia" w:hAnsiTheme="majorHAnsi" w:cstheme="majorBidi"/>
      <w:i/>
      <w:iCs/>
      <w:color w:val="2F5496" w:themeColor="accent1" w:themeShade="BF"/>
      <w:sz w:val="20"/>
      <w:szCs w:val="20"/>
      <w:lang w:val="en-GB" w:eastAsia="en-US"/>
    </w:rPr>
  </w:style>
  <w:style w:type="character" w:customStyle="1" w:styleId="5Char">
    <w:name w:val="标题 5 Char"/>
    <w:basedOn w:val="a0"/>
    <w:link w:val="5"/>
    <w:qFormat/>
    <w:rPr>
      <w:rFonts w:ascii="Arial" w:eastAsia="Times New Roman" w:hAnsi="Arial" w:cs="Times New Roman"/>
      <w:szCs w:val="20"/>
      <w:lang w:val="en-GB" w:eastAsia="ja-JP"/>
    </w:rPr>
  </w:style>
  <w:style w:type="character" w:customStyle="1" w:styleId="6Char">
    <w:name w:val="标题 6 Char"/>
    <w:basedOn w:val="a0"/>
    <w:link w:val="6"/>
    <w:qFormat/>
    <w:rPr>
      <w:rFonts w:ascii="Arial" w:eastAsia="Times New Roman" w:hAnsi="Arial" w:cs="Times New Roman"/>
      <w:sz w:val="20"/>
      <w:szCs w:val="20"/>
      <w:lang w:val="en-GB" w:eastAsia="ja-JP"/>
    </w:rPr>
  </w:style>
  <w:style w:type="character" w:customStyle="1" w:styleId="7Char">
    <w:name w:val="标题 7 Char"/>
    <w:basedOn w:val="a0"/>
    <w:link w:val="7"/>
    <w:qFormat/>
    <w:rPr>
      <w:rFonts w:ascii="Arial" w:eastAsia="Times New Roman" w:hAnsi="Arial" w:cs="Times New Roman"/>
      <w:sz w:val="20"/>
      <w:szCs w:val="20"/>
      <w:lang w:val="en-GB" w:eastAsia="ja-JP"/>
    </w:rPr>
  </w:style>
  <w:style w:type="character" w:customStyle="1" w:styleId="8Char">
    <w:name w:val="标题 8 Char"/>
    <w:basedOn w:val="a0"/>
    <w:link w:val="8"/>
    <w:qFormat/>
    <w:rPr>
      <w:rFonts w:ascii="Arial" w:eastAsia="Times New Roman" w:hAnsi="Arial" w:cs="Times New Roman"/>
      <w:sz w:val="36"/>
      <w:szCs w:val="20"/>
      <w:lang w:val="en-GB" w:eastAsia="ja-JP"/>
    </w:rPr>
  </w:style>
  <w:style w:type="character" w:customStyle="1" w:styleId="9Char">
    <w:name w:val="标题 9 Char"/>
    <w:basedOn w:val="a0"/>
    <w:link w:val="9"/>
    <w:qFormat/>
    <w:rPr>
      <w:rFonts w:ascii="Arial" w:eastAsia="Times New Roman" w:hAnsi="Arial" w:cs="Times New Roman"/>
      <w:sz w:val="36"/>
      <w:szCs w:val="20"/>
      <w:lang w:val="en-GB" w:eastAsia="ja-JP"/>
    </w:rPr>
  </w:style>
  <w:style w:type="paragraph" w:customStyle="1" w:styleId="EQ">
    <w:name w:val="EQ"/>
    <w:basedOn w:val="a"/>
    <w:next w:val="a"/>
    <w:qFormat/>
    <w:pPr>
      <w:keepLines/>
      <w:tabs>
        <w:tab w:val="center" w:pos="4536"/>
        <w:tab w:val="right" w:pos="9072"/>
      </w:tabs>
      <w:overflowPunct w:val="0"/>
      <w:autoSpaceDE w:val="0"/>
      <w:autoSpaceDN w:val="0"/>
      <w:adjustRightInd w:val="0"/>
      <w:textAlignment w:val="baseline"/>
    </w:pPr>
    <w:rPr>
      <w:lang w:eastAsia="ja-JP"/>
    </w:rPr>
  </w:style>
  <w:style w:type="character" w:customStyle="1" w:styleId="ZGSM">
    <w:name w:val="ZGSM"/>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verflowPunct w:val="0"/>
      <w:autoSpaceDE w:val="0"/>
      <w:autoSpaceDN w:val="0"/>
      <w:adjustRightInd w:val="0"/>
      <w:spacing w:line="240" w:lineRule="auto"/>
      <w:jc w:val="left"/>
      <w:textAlignment w:val="baseline"/>
      <w:outlineLvl w:val="9"/>
    </w:pPr>
    <w:rPr>
      <w:rFonts w:eastAsia="Times New Roman"/>
      <w:lang w:eastAsia="ja-JP"/>
    </w:rPr>
  </w:style>
  <w:style w:type="paragraph" w:customStyle="1" w:styleId="NO">
    <w:name w:val="NO"/>
    <w:basedOn w:val="a"/>
    <w:link w:val="NOChar"/>
    <w:qFormat/>
    <w:pPr>
      <w:keepLines/>
      <w:overflowPunct w:val="0"/>
      <w:autoSpaceDE w:val="0"/>
      <w:autoSpaceDN w:val="0"/>
      <w:adjustRightInd w:val="0"/>
      <w:ind w:left="1135" w:hanging="851"/>
      <w:textAlignment w:val="baseline"/>
    </w:pPr>
    <w:rPr>
      <w:lang w:eastAsia="ja-JP"/>
    </w:rPr>
  </w:style>
  <w:style w:type="character" w:customStyle="1" w:styleId="NOChar">
    <w:name w:val="NO Char"/>
    <w:link w:val="NO"/>
    <w:qFormat/>
    <w:rPr>
      <w:rFonts w:ascii="Times New Roman" w:eastAsia="Times New Roman" w:hAnsi="Times New Roman" w:cs="Times New Roman"/>
      <w:sz w:val="20"/>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lang w:eastAsia="ja-JP"/>
    </w:rPr>
  </w:style>
  <w:style w:type="character" w:customStyle="1" w:styleId="TALCar">
    <w:name w:val="TAL Car"/>
    <w:link w:val="TAL"/>
    <w:qFormat/>
    <w:rPr>
      <w:rFonts w:ascii="Arial" w:eastAsia="Times New Roman" w:hAnsi="Arial" w:cs="Times New Roman"/>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cs="Times New Roman"/>
      <w:sz w:val="18"/>
      <w:szCs w:val="20"/>
      <w:lang w:val="en-GB" w:eastAsia="ja-JP"/>
    </w:rPr>
  </w:style>
  <w:style w:type="character" w:customStyle="1" w:styleId="TAHCar">
    <w:name w:val="TAH Car"/>
    <w:link w:val="TAH"/>
    <w:qFormat/>
    <w:locked/>
    <w:rPr>
      <w:rFonts w:ascii="Arial" w:eastAsia="Times New Roman" w:hAnsi="Arial" w:cs="Times New Roman"/>
      <w:b/>
      <w:sz w:val="18"/>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overflowPunct w:val="0"/>
      <w:autoSpaceDE w:val="0"/>
      <w:autoSpaceDN w:val="0"/>
      <w:adjustRightInd w:val="0"/>
      <w:ind w:left="1702" w:hanging="1418"/>
      <w:textAlignment w:val="baseline"/>
    </w:pPr>
    <w:rPr>
      <w:lang w:eastAsia="ja-JP"/>
    </w:rPr>
  </w:style>
  <w:style w:type="paragraph" w:customStyle="1" w:styleId="FP">
    <w:name w:val="FP"/>
    <w:basedOn w:val="a"/>
    <w:qFormat/>
    <w:pPr>
      <w:overflowPunct w:val="0"/>
      <w:autoSpaceDE w:val="0"/>
      <w:autoSpaceDN w:val="0"/>
      <w:adjustRightInd w:val="0"/>
      <w:textAlignment w:val="baseline"/>
    </w:pPr>
    <w:rPr>
      <w:lang w:eastAsia="ja-JP"/>
    </w:rPr>
  </w:style>
  <w:style w:type="paragraph" w:customStyle="1" w:styleId="EW">
    <w:name w:val="EW"/>
    <w:basedOn w:val="EX"/>
    <w:qFormat/>
  </w:style>
  <w:style w:type="paragraph" w:customStyle="1" w:styleId="B1">
    <w:name w:val="B1"/>
    <w:basedOn w:val="a3"/>
    <w:link w:val="B1Char1"/>
    <w:qFormat/>
  </w:style>
  <w:style w:type="character" w:customStyle="1" w:styleId="B1Char1">
    <w:name w:val="B1 Char1"/>
    <w:link w:val="B1"/>
    <w:qFormat/>
    <w:rPr>
      <w:rFonts w:ascii="Times New Roman" w:eastAsia="Times New Roman" w:hAnsi="Times New Roman" w:cs="Times New Roman"/>
      <w:sz w:val="20"/>
      <w:szCs w:val="20"/>
      <w:lang w:val="en-GB" w:eastAsia="ja-JP"/>
    </w:rPr>
  </w:style>
  <w:style w:type="paragraph" w:customStyle="1" w:styleId="EditorsNote">
    <w:name w:val="Editor's Note"/>
    <w:aliases w:val="Editor's Noteormal,EN"/>
    <w:basedOn w:val="NO"/>
    <w:link w:val="EditorsNoteChar"/>
    <w:qFormat/>
    <w:rPr>
      <w:color w:val="FF0000"/>
    </w:rPr>
  </w:style>
  <w:style w:type="character" w:customStyle="1" w:styleId="EditorsNoteChar">
    <w:name w:val="Editor's Note Char"/>
    <w:aliases w:val="EN Char"/>
    <w:link w:val="EditorsNote"/>
    <w:qFormat/>
    <w:rPr>
      <w:rFonts w:ascii="Times New Roman" w:eastAsia="Times New Roman" w:hAnsi="Times New Roman" w:cs="Times New Roman"/>
      <w:color w:val="FF0000"/>
      <w:sz w:val="20"/>
      <w:szCs w:val="20"/>
      <w:lang w:val="en-GB" w:eastAsia="ja-JP"/>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Pr>
      <w:rFonts w:ascii="Arial" w:eastAsia="Times New Roman" w:hAnsi="Arial" w:cs="Times New Roman"/>
      <w:b/>
      <w:sz w:val="20"/>
      <w:szCs w:val="2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B3">
    <w:name w:val="B3"/>
    <w:basedOn w:val="30"/>
    <w:link w:val="B3Char2"/>
    <w:qFormat/>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42"/>
    <w:link w:val="B4Char"/>
    <w:qFormat/>
  </w:style>
  <w:style w:type="character" w:customStyle="1" w:styleId="B4Char">
    <w:name w:val="B4 Char"/>
    <w:link w:val="B4"/>
    <w:qFormat/>
    <w:rPr>
      <w:rFonts w:ascii="Times New Roman" w:eastAsia="Times New Roman" w:hAnsi="Times New Roman" w:cs="Times New Roman"/>
      <w:sz w:val="20"/>
      <w:szCs w:val="20"/>
      <w:lang w:val="en-GB" w:eastAsia="ja-JP"/>
    </w:rPr>
  </w:style>
  <w:style w:type="paragraph" w:customStyle="1" w:styleId="B5">
    <w:name w:val="B5"/>
    <w:basedOn w:val="52"/>
    <w:link w:val="B5Char"/>
    <w:qFormat/>
  </w:style>
  <w:style w:type="character" w:customStyle="1" w:styleId="B5Char">
    <w:name w:val="B5 Char"/>
    <w:link w:val="B5"/>
    <w:qFormat/>
    <w:rPr>
      <w:rFonts w:ascii="Times New Roman" w:eastAsia="Times New Roman" w:hAnsi="Times New Roman" w:cs="Times New Roman"/>
      <w:sz w:val="20"/>
      <w:szCs w:val="20"/>
      <w:lang w:val="en-GB" w:eastAsia="ja-JP"/>
    </w:rPr>
  </w:style>
  <w:style w:type="character" w:customStyle="1" w:styleId="Char5">
    <w:name w:val="脚注文本 Char"/>
    <w:basedOn w:val="a0"/>
    <w:link w:val="ac"/>
    <w:qFormat/>
    <w:rPr>
      <w:rFonts w:ascii="Times New Roman" w:eastAsia="Times New Roman" w:hAnsi="Times New Roman" w:cs="Times New Roman"/>
      <w:sz w:val="16"/>
      <w:szCs w:val="20"/>
      <w:lang w:val="en-GB"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eastAsia="Times New Roman" w:hAnsi="Times New Roman" w:cs="Times New Roman"/>
      <w:sz w:val="20"/>
      <w:szCs w:val="20"/>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s="Times New Roman"/>
      <w:sz w:val="20"/>
      <w:szCs w:val="20"/>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style>
  <w:style w:type="paragraph" w:customStyle="1" w:styleId="NF">
    <w:name w:val="NF"/>
    <w:basedOn w:val="NO"/>
    <w:qFormat/>
    <w:pPr>
      <w:keepNext/>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cs="Times New Roman"/>
      <w:sz w:val="20"/>
      <w:szCs w:val="20"/>
      <w:lang w:val="en-GB" w:eastAsia="ja-JP"/>
    </w:rPr>
  </w:style>
  <w:style w:type="character" w:customStyle="1" w:styleId="EXChar">
    <w:name w:val="EX Char"/>
    <w:link w:val="EX"/>
    <w:qFormat/>
    <w:locked/>
    <w:rPr>
      <w:rFonts w:ascii="Times New Roman" w:eastAsia="Times New Roman" w:hAnsi="Times New Roman" w:cs="Times New Roman"/>
      <w:sz w:val="20"/>
      <w:szCs w:val="20"/>
      <w:lang w:val="en-GB" w:eastAsia="ja-JP"/>
    </w:rPr>
  </w:style>
  <w:style w:type="character" w:customStyle="1" w:styleId="Char2">
    <w:name w:val="批注框文本 Char"/>
    <w:basedOn w:val="a0"/>
    <w:link w:val="a9"/>
    <w:semiHidden/>
    <w:qFormat/>
    <w:rPr>
      <w:rFonts w:ascii="Segoe UI" w:eastAsia="Times New Roman" w:hAnsi="Segoe UI" w:cs="Segoe UI"/>
      <w:sz w:val="18"/>
      <w:szCs w:val="18"/>
      <w:lang w:val="en-GB" w:eastAsia="ja-JP"/>
    </w:rPr>
  </w:style>
  <w:style w:type="character" w:customStyle="1" w:styleId="CRCoverPageZchn">
    <w:name w:val="CR Cover Page Zchn"/>
    <w:qFormat/>
    <w:locked/>
    <w:rPr>
      <w:rFonts w:ascii="Arial" w:eastAsia="Times New Roman" w:hAnsi="Arial"/>
      <w:lang w:val="en-GB" w:eastAsia="en-US"/>
    </w:rPr>
  </w:style>
  <w:style w:type="character" w:customStyle="1" w:styleId="Char">
    <w:name w:val="批注文字 Char"/>
    <w:basedOn w:val="a0"/>
    <w:link w:val="a6"/>
    <w:uiPriority w:val="99"/>
    <w:qFormat/>
    <w:rPr>
      <w:rFonts w:ascii="Times New Roman" w:eastAsia="Times New Roman" w:hAnsi="Times New Roman" w:cs="Times New Roman"/>
      <w:sz w:val="20"/>
      <w:szCs w:val="20"/>
      <w:lang w:val="en-GB" w:eastAsia="ja-JP"/>
    </w:rPr>
  </w:style>
  <w:style w:type="character" w:customStyle="1" w:styleId="Char6">
    <w:name w:val="批注主题 Char"/>
    <w:basedOn w:val="Char"/>
    <w:link w:val="ae"/>
    <w:qFormat/>
    <w:rPr>
      <w:rFonts w:ascii="Times New Roman" w:eastAsia="Times New Roman" w:hAnsi="Times New Roman" w:cs="Times New Roman"/>
      <w:b/>
      <w:bCs/>
      <w:sz w:val="20"/>
      <w:szCs w:val="20"/>
      <w:lang w:val="en-GB" w:eastAsia="ja-JP"/>
    </w:rPr>
  </w:style>
  <w:style w:type="paragraph" w:styleId="af5">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Bullet,列表段落"/>
    <w:basedOn w:val="a"/>
    <w:link w:val="Char7"/>
    <w:uiPriority w:val="34"/>
    <w:qFormat/>
    <w:pPr>
      <w:overflowPunct w:val="0"/>
      <w:autoSpaceDE w:val="0"/>
      <w:autoSpaceDN w:val="0"/>
      <w:adjustRightInd w:val="0"/>
      <w:ind w:left="720"/>
      <w:contextualSpacing/>
      <w:textAlignment w:val="baseline"/>
    </w:pPr>
    <w:rPr>
      <w:lang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7"/>
    <w:link w:val="3GPPNormalTextChar"/>
    <w:qFormat/>
    <w:pPr>
      <w:overflowPunct/>
      <w:autoSpaceDE/>
      <w:autoSpaceDN/>
      <w:adjustRightInd/>
      <w:spacing w:line="259" w:lineRule="auto"/>
      <w:ind w:hanging="22"/>
      <w:jc w:val="both"/>
      <w:textAlignment w:val="auto"/>
    </w:pPr>
    <w:rPr>
      <w:rFonts w:ascii="Arial" w:eastAsia="MS Mincho" w:hAnsi="Arial"/>
      <w:lang w:eastAsia="en-US"/>
    </w:rPr>
  </w:style>
  <w:style w:type="character" w:customStyle="1" w:styleId="3GPPNormalTextChar">
    <w:name w:val="3GPP Normal Text Char"/>
    <w:link w:val="3GPPNormalText"/>
    <w:qFormat/>
    <w:rPr>
      <w:rFonts w:ascii="Arial" w:eastAsia="MS Mincho" w:hAnsi="Arial" w:cs="Times New Roman"/>
      <w:sz w:val="24"/>
      <w:szCs w:val="24"/>
      <w:lang w:val="en-GB" w:eastAsia="en-US"/>
    </w:rPr>
  </w:style>
  <w:style w:type="character" w:customStyle="1" w:styleId="Char0">
    <w:name w:val="正文文本 Char"/>
    <w:basedOn w:val="a0"/>
    <w:link w:val="a7"/>
    <w:qFormat/>
    <w:rPr>
      <w:rFonts w:ascii="Times New Roman" w:eastAsia="Times New Roman" w:hAnsi="Times New Roman" w:cs="Times New Roman"/>
      <w:sz w:val="20"/>
      <w:szCs w:val="20"/>
      <w:lang w:val="en-GB" w:eastAsia="ja-JP"/>
    </w:rPr>
  </w:style>
  <w:style w:type="character" w:customStyle="1" w:styleId="TALChar">
    <w:name w:val="TAL Char"/>
    <w:qFormat/>
    <w:locked/>
    <w:rPr>
      <w:rFonts w:ascii="Arial" w:hAnsi="Arial"/>
      <w:sz w:val="18"/>
      <w:lang w:val="en-GB" w:eastAsia="en-US"/>
    </w:rPr>
  </w:style>
  <w:style w:type="character" w:customStyle="1" w:styleId="Char1">
    <w:name w:val="纯文本 Char"/>
    <w:basedOn w:val="a0"/>
    <w:link w:val="a8"/>
    <w:uiPriority w:val="99"/>
    <w:rPr>
      <w:rFonts w:ascii="Courier New" w:eastAsiaTheme="minorHAnsi" w:hAnsi="Courier New"/>
      <w:lang w:val="nb-NO" w:eastAsia="en-US"/>
    </w:rPr>
  </w:style>
  <w:style w:type="character" w:customStyle="1" w:styleId="Char7">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5"/>
    <w:uiPriority w:val="34"/>
    <w:qFormat/>
    <w:rPr>
      <w:rFonts w:ascii="Times New Roman" w:eastAsia="Times New Roman" w:hAnsi="Times New Roman" w:cs="Times New Roman"/>
      <w:sz w:val="20"/>
      <w:szCs w:val="20"/>
      <w:lang w:val="en-GB" w:eastAsia="ja-JP"/>
    </w:rPr>
  </w:style>
  <w:style w:type="character" w:customStyle="1" w:styleId="B3Car">
    <w:name w:val="B3 Car"/>
    <w:qFormat/>
    <w:rPr>
      <w:rFonts w:ascii="Times New Roman" w:hAnsi="Times New Roman"/>
      <w:lang w:val="en-GB" w:eastAsia="en-US"/>
    </w:rPr>
  </w:style>
  <w:style w:type="table" w:customStyle="1" w:styleId="TableGrid1">
    <w:name w:val="Table Grid1"/>
    <w:basedOn w:val="a1"/>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pPr>
      <w:numPr>
        <w:numId w:val="1"/>
      </w:numPr>
      <w:spacing w:before="60"/>
    </w:pPr>
    <w:rPr>
      <w:rFonts w:ascii="Arial" w:eastAsia="MS Mincho" w:hAnsi="Arial"/>
      <w:b/>
      <w:lang w:eastAsia="en-GB"/>
    </w:rPr>
  </w:style>
  <w:style w:type="character" w:customStyle="1" w:styleId="15">
    <w:name w:val="15"/>
    <w:basedOn w:val="a0"/>
    <w:qFormat/>
    <w:rPr>
      <w:rFonts w:ascii="Times New Roman" w:hAnsi="Times New Roman" w:cs="Times New Roman" w:hint="default"/>
    </w:rPr>
  </w:style>
  <w:style w:type="character" w:customStyle="1" w:styleId="cf01">
    <w:name w:val="cf01"/>
    <w:basedOn w:val="a0"/>
    <w:qFormat/>
    <w:rPr>
      <w:rFonts w:ascii="Segoe UI" w:hAnsi="Segoe UI" w:cs="Segoe UI" w:hint="default"/>
      <w:sz w:val="18"/>
      <w:szCs w:val="18"/>
    </w:rPr>
  </w:style>
  <w:style w:type="numbering" w:customStyle="1" w:styleId="13">
    <w:name w:val="无列表1"/>
    <w:next w:val="a2"/>
    <w:uiPriority w:val="99"/>
    <w:semiHidden/>
    <w:unhideWhenUsed/>
    <w:rsid w:val="00466246"/>
  </w:style>
  <w:style w:type="paragraph" w:styleId="af6">
    <w:name w:val="Revision"/>
    <w:hidden/>
    <w:uiPriority w:val="99"/>
    <w:semiHidden/>
    <w:qFormat/>
    <w:rsid w:val="00466246"/>
    <w:rPr>
      <w:lang w:val="en-GB" w:eastAsia="en-US"/>
    </w:rPr>
  </w:style>
  <w:style w:type="paragraph" w:styleId="33">
    <w:name w:val="Body Text 3"/>
    <w:basedOn w:val="a"/>
    <w:link w:val="3Char0"/>
    <w:qFormat/>
    <w:rsid w:val="00466246"/>
    <w:pPr>
      <w:overflowPunct w:val="0"/>
      <w:autoSpaceDE w:val="0"/>
      <w:autoSpaceDN w:val="0"/>
      <w:adjustRightInd w:val="0"/>
      <w:spacing w:after="120"/>
      <w:textAlignment w:val="baseline"/>
    </w:pPr>
    <w:rPr>
      <w:sz w:val="16"/>
      <w:szCs w:val="16"/>
      <w:lang w:eastAsia="ja-JP"/>
    </w:rPr>
  </w:style>
  <w:style w:type="character" w:customStyle="1" w:styleId="3Char0">
    <w:name w:val="正文文本 3 Char"/>
    <w:basedOn w:val="a0"/>
    <w:link w:val="33"/>
    <w:qFormat/>
    <w:rsid w:val="00466246"/>
    <w:rPr>
      <w:rFonts w:eastAsia="Times New Roman"/>
      <w:sz w:val="16"/>
      <w:szCs w:val="16"/>
      <w:lang w:val="en-GB" w:eastAsia="ja-JP"/>
    </w:rPr>
  </w:style>
  <w:style w:type="character" w:customStyle="1" w:styleId="2Char0">
    <w:name w:val="列表项目符号 2 Char"/>
    <w:link w:val="23"/>
    <w:qFormat/>
    <w:rsid w:val="00466246"/>
    <w:rPr>
      <w:rFonts w:eastAsia="Times New Roman"/>
      <w:lang w:val="en-GB" w:eastAsia="ja-JP"/>
    </w:rPr>
  </w:style>
  <w:style w:type="character" w:customStyle="1" w:styleId="ui-provider">
    <w:name w:val="ui-provider"/>
    <w:basedOn w:val="a0"/>
    <w:rsid w:val="00466246"/>
  </w:style>
  <w:style w:type="character" w:styleId="af7">
    <w:name w:val="page number"/>
    <w:qFormat/>
    <w:rsid w:val="00466246"/>
  </w:style>
  <w:style w:type="character" w:customStyle="1" w:styleId="TAHChar">
    <w:name w:val="TAH Char"/>
    <w:qFormat/>
    <w:rsid w:val="00466246"/>
    <w:rPr>
      <w:rFonts w:ascii="Arial" w:hAnsi="Arial"/>
      <w:b/>
      <w:sz w:val="18"/>
    </w:rPr>
  </w:style>
  <w:style w:type="paragraph" w:customStyle="1" w:styleId="Note-Boxed">
    <w:name w:val="Note - Boxed"/>
    <w:basedOn w:val="a"/>
    <w:next w:val="a"/>
    <w:rsid w:val="0046624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4">
    <w:name w:val="网格型1"/>
    <w:basedOn w:val="a1"/>
    <w:next w:val="af"/>
    <w:qFormat/>
    <w:rsid w:val="0046624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
    <w:qFormat/>
    <w:rsid w:val="0046624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
    <w:qFormat/>
    <w:rsid w:val="0046624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466246"/>
    <w:rPr>
      <w:rFonts w:eastAsia="MS Mincho" w:cs="Times New Roman"/>
      <w:sz w:val="20"/>
      <w:lang w:val="en-GB"/>
    </w:rPr>
  </w:style>
  <w:style w:type="table" w:customStyle="1" w:styleId="43">
    <w:name w:val="网格型4"/>
    <w:basedOn w:val="a1"/>
    <w:next w:val="af"/>
    <w:uiPriority w:val="39"/>
    <w:rsid w:val="00466246"/>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11">
    <w:name w:val="cf11"/>
    <w:basedOn w:val="a0"/>
    <w:rsid w:val="00466246"/>
    <w:rPr>
      <w:rFonts w:ascii="Segoe UI" w:hAnsi="Segoe UI" w:cs="Segoe UI" w:hint="default"/>
      <w:i/>
      <w:iCs/>
      <w:sz w:val="18"/>
      <w:szCs w:val="18"/>
    </w:rPr>
  </w:style>
  <w:style w:type="paragraph" w:customStyle="1" w:styleId="pl0">
    <w:name w:val="pl"/>
    <w:basedOn w:val="a"/>
    <w:qFormat/>
    <w:rsid w:val="00466246"/>
    <w:pPr>
      <w:spacing w:before="100" w:beforeAutospacing="1" w:after="100" w:afterAutospacing="1"/>
    </w:pPr>
    <w:rPr>
      <w:lang w:eastAsia="en-GB"/>
    </w:rPr>
  </w:style>
  <w:style w:type="paragraph" w:customStyle="1" w:styleId="Editorsnote0">
    <w:name w:val="Editor´s note"/>
    <w:basedOn w:val="52"/>
    <w:next w:val="EditorsNote"/>
    <w:link w:val="EditorsnoteChar0"/>
    <w:qFormat/>
    <w:rsid w:val="00466246"/>
  </w:style>
  <w:style w:type="character" w:customStyle="1" w:styleId="EditorsnoteChar0">
    <w:name w:val="Editor´s note Char"/>
    <w:link w:val="Editorsnote0"/>
    <w:qFormat/>
    <w:rsid w:val="00466246"/>
    <w:rPr>
      <w:rFonts w:eastAsia="Times New Roman"/>
      <w:lang w:val="en-GB" w:eastAsia="ja-JP"/>
    </w:rPr>
  </w:style>
  <w:style w:type="paragraph" w:customStyle="1" w:styleId="16">
    <w:name w:val="正文1"/>
    <w:rsid w:val="00466246"/>
    <w:pPr>
      <w:jc w:val="both"/>
    </w:pPr>
    <w:rPr>
      <w:rFonts w:ascii="Calibri" w:eastAsia="宋体" w:hAnsi="Calibri" w:cs="Calibri"/>
      <w:kern w:val="2"/>
      <w:sz w:val="21"/>
      <w:szCs w:val="21"/>
    </w:rPr>
  </w:style>
  <w:style w:type="character" w:customStyle="1" w:styleId="Char20">
    <w:name w:val="列出段落 Char2"/>
    <w:uiPriority w:val="34"/>
    <w:qFormat/>
    <w:locked/>
    <w:rsid w:val="004027E2"/>
    <w:rPr>
      <w:rFonts w:ascii="Times New Roman" w:eastAsia="宋体" w:hAnsi="Times New Roman" w:cs="Times New Roman"/>
      <w:kern w:val="0"/>
      <w:sz w:val="20"/>
      <w:szCs w:val="20"/>
      <w:lang w:val="en-GB" w:eastAsia="ja-JP"/>
    </w:rPr>
  </w:style>
  <w:style w:type="paragraph" w:customStyle="1" w:styleId="Doc-title">
    <w:name w:val="Doc-title"/>
    <w:basedOn w:val="a"/>
    <w:next w:val="Doc-text2"/>
    <w:link w:val="Doc-titleChar"/>
    <w:qFormat/>
    <w:rsid w:val="001F0D5D"/>
    <w:pPr>
      <w:spacing w:before="60"/>
      <w:ind w:left="1259" w:hanging="1259"/>
    </w:pPr>
    <w:rPr>
      <w:rFonts w:ascii="Arial" w:eastAsia="MS Mincho" w:hAnsi="Arial"/>
      <w:noProof/>
      <w:lang w:eastAsia="en-GB"/>
    </w:rPr>
  </w:style>
  <w:style w:type="character" w:customStyle="1" w:styleId="Doc-titleChar">
    <w:name w:val="Doc-title Char"/>
    <w:link w:val="Doc-title"/>
    <w:qFormat/>
    <w:rsid w:val="001F0D5D"/>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43126">
      <w:bodyDiv w:val="1"/>
      <w:marLeft w:val="0"/>
      <w:marRight w:val="0"/>
      <w:marTop w:val="0"/>
      <w:marBottom w:val="0"/>
      <w:divBdr>
        <w:top w:val="none" w:sz="0" w:space="0" w:color="auto"/>
        <w:left w:val="none" w:sz="0" w:space="0" w:color="auto"/>
        <w:bottom w:val="none" w:sz="0" w:space="0" w:color="auto"/>
        <w:right w:val="none" w:sz="0" w:space="0" w:color="auto"/>
      </w:divBdr>
      <w:divsChild>
        <w:div w:id="1496190352">
          <w:marLeft w:val="0"/>
          <w:marRight w:val="0"/>
          <w:marTop w:val="0"/>
          <w:marBottom w:val="0"/>
          <w:divBdr>
            <w:top w:val="none" w:sz="0" w:space="0" w:color="auto"/>
            <w:left w:val="none" w:sz="0" w:space="0" w:color="auto"/>
            <w:bottom w:val="none" w:sz="0" w:space="0" w:color="auto"/>
            <w:right w:val="none" w:sz="0" w:space="0" w:color="auto"/>
          </w:divBdr>
        </w:div>
        <w:div w:id="1373729206">
          <w:marLeft w:val="0"/>
          <w:marRight w:val="0"/>
          <w:marTop w:val="0"/>
          <w:marBottom w:val="0"/>
          <w:divBdr>
            <w:top w:val="none" w:sz="0" w:space="0" w:color="auto"/>
            <w:left w:val="none" w:sz="0" w:space="0" w:color="auto"/>
            <w:bottom w:val="none" w:sz="0" w:space="0" w:color="auto"/>
            <w:right w:val="none" w:sz="0" w:space="0" w:color="auto"/>
          </w:divBdr>
        </w:div>
        <w:div w:id="148637473">
          <w:marLeft w:val="0"/>
          <w:marRight w:val="0"/>
          <w:marTop w:val="0"/>
          <w:marBottom w:val="0"/>
          <w:divBdr>
            <w:top w:val="none" w:sz="0" w:space="0" w:color="auto"/>
            <w:left w:val="none" w:sz="0" w:space="0" w:color="auto"/>
            <w:bottom w:val="none" w:sz="0" w:space="0" w:color="auto"/>
            <w:right w:val="none" w:sz="0" w:space="0" w:color="auto"/>
          </w:divBdr>
        </w:div>
        <w:div w:id="139618938">
          <w:marLeft w:val="0"/>
          <w:marRight w:val="0"/>
          <w:marTop w:val="0"/>
          <w:marBottom w:val="0"/>
          <w:divBdr>
            <w:top w:val="none" w:sz="0" w:space="0" w:color="auto"/>
            <w:left w:val="none" w:sz="0" w:space="0" w:color="auto"/>
            <w:bottom w:val="none" w:sz="0" w:space="0" w:color="auto"/>
            <w:right w:val="none" w:sz="0" w:space="0" w:color="auto"/>
          </w:divBdr>
        </w:div>
      </w:divsChild>
    </w:div>
    <w:div w:id="703099234">
      <w:bodyDiv w:val="1"/>
      <w:marLeft w:val="0"/>
      <w:marRight w:val="0"/>
      <w:marTop w:val="0"/>
      <w:marBottom w:val="0"/>
      <w:divBdr>
        <w:top w:val="none" w:sz="0" w:space="0" w:color="auto"/>
        <w:left w:val="none" w:sz="0" w:space="0" w:color="auto"/>
        <w:bottom w:val="none" w:sz="0" w:space="0" w:color="auto"/>
        <w:right w:val="none" w:sz="0" w:space="0" w:color="auto"/>
      </w:divBdr>
      <w:divsChild>
        <w:div w:id="208953496">
          <w:marLeft w:val="0"/>
          <w:marRight w:val="0"/>
          <w:marTop w:val="0"/>
          <w:marBottom w:val="0"/>
          <w:divBdr>
            <w:top w:val="none" w:sz="0" w:space="0" w:color="auto"/>
            <w:left w:val="none" w:sz="0" w:space="0" w:color="auto"/>
            <w:bottom w:val="none" w:sz="0" w:space="0" w:color="auto"/>
            <w:right w:val="none" w:sz="0" w:space="0" w:color="auto"/>
          </w:divBdr>
        </w:div>
        <w:div w:id="1146432982">
          <w:marLeft w:val="0"/>
          <w:marRight w:val="0"/>
          <w:marTop w:val="0"/>
          <w:marBottom w:val="0"/>
          <w:divBdr>
            <w:top w:val="none" w:sz="0" w:space="0" w:color="auto"/>
            <w:left w:val="none" w:sz="0" w:space="0" w:color="auto"/>
            <w:bottom w:val="none" w:sz="0" w:space="0" w:color="auto"/>
            <w:right w:val="none" w:sz="0" w:space="0" w:color="auto"/>
          </w:divBdr>
        </w:div>
        <w:div w:id="104815028">
          <w:marLeft w:val="0"/>
          <w:marRight w:val="0"/>
          <w:marTop w:val="0"/>
          <w:marBottom w:val="0"/>
          <w:divBdr>
            <w:top w:val="none" w:sz="0" w:space="0" w:color="auto"/>
            <w:left w:val="none" w:sz="0" w:space="0" w:color="auto"/>
            <w:bottom w:val="none" w:sz="0" w:space="0" w:color="auto"/>
            <w:right w:val="none" w:sz="0" w:space="0" w:color="auto"/>
          </w:divBdr>
        </w:div>
        <w:div w:id="1748500709">
          <w:marLeft w:val="0"/>
          <w:marRight w:val="0"/>
          <w:marTop w:val="0"/>
          <w:marBottom w:val="0"/>
          <w:divBdr>
            <w:top w:val="none" w:sz="0" w:space="0" w:color="auto"/>
            <w:left w:val="none" w:sz="0" w:space="0" w:color="auto"/>
            <w:bottom w:val="none" w:sz="0" w:space="0" w:color="auto"/>
            <w:right w:val="none" w:sz="0" w:space="0" w:color="auto"/>
          </w:divBdr>
        </w:div>
      </w:divsChild>
    </w:div>
    <w:div w:id="715130107">
      <w:bodyDiv w:val="1"/>
      <w:marLeft w:val="0"/>
      <w:marRight w:val="0"/>
      <w:marTop w:val="0"/>
      <w:marBottom w:val="0"/>
      <w:divBdr>
        <w:top w:val="none" w:sz="0" w:space="0" w:color="auto"/>
        <w:left w:val="none" w:sz="0" w:space="0" w:color="auto"/>
        <w:bottom w:val="none" w:sz="0" w:space="0" w:color="auto"/>
        <w:right w:val="none" w:sz="0" w:space="0" w:color="auto"/>
      </w:divBdr>
    </w:div>
    <w:div w:id="796526855">
      <w:bodyDiv w:val="1"/>
      <w:marLeft w:val="0"/>
      <w:marRight w:val="0"/>
      <w:marTop w:val="0"/>
      <w:marBottom w:val="0"/>
      <w:divBdr>
        <w:top w:val="none" w:sz="0" w:space="0" w:color="auto"/>
        <w:left w:val="none" w:sz="0" w:space="0" w:color="auto"/>
        <w:bottom w:val="none" w:sz="0" w:space="0" w:color="auto"/>
        <w:right w:val="none" w:sz="0" w:space="0" w:color="auto"/>
      </w:divBdr>
    </w:div>
    <w:div w:id="1282960460">
      <w:bodyDiv w:val="1"/>
      <w:marLeft w:val="0"/>
      <w:marRight w:val="0"/>
      <w:marTop w:val="0"/>
      <w:marBottom w:val="0"/>
      <w:divBdr>
        <w:top w:val="none" w:sz="0" w:space="0" w:color="auto"/>
        <w:left w:val="none" w:sz="0" w:space="0" w:color="auto"/>
        <w:bottom w:val="none" w:sz="0" w:space="0" w:color="auto"/>
        <w:right w:val="none" w:sz="0" w:space="0" w:color="auto"/>
      </w:divBdr>
    </w:div>
    <w:div w:id="1292173623">
      <w:bodyDiv w:val="1"/>
      <w:marLeft w:val="0"/>
      <w:marRight w:val="0"/>
      <w:marTop w:val="0"/>
      <w:marBottom w:val="0"/>
      <w:divBdr>
        <w:top w:val="none" w:sz="0" w:space="0" w:color="auto"/>
        <w:left w:val="none" w:sz="0" w:space="0" w:color="auto"/>
        <w:bottom w:val="none" w:sz="0" w:space="0" w:color="auto"/>
        <w:right w:val="none" w:sz="0" w:space="0" w:color="auto"/>
      </w:divBdr>
      <w:divsChild>
        <w:div w:id="846946146">
          <w:marLeft w:val="0"/>
          <w:marRight w:val="0"/>
          <w:marTop w:val="0"/>
          <w:marBottom w:val="0"/>
          <w:divBdr>
            <w:top w:val="none" w:sz="0" w:space="0" w:color="auto"/>
            <w:left w:val="none" w:sz="0" w:space="0" w:color="auto"/>
            <w:bottom w:val="none" w:sz="0" w:space="0" w:color="auto"/>
            <w:right w:val="none" w:sz="0" w:space="0" w:color="auto"/>
          </w:divBdr>
        </w:div>
        <w:div w:id="1410734126">
          <w:marLeft w:val="0"/>
          <w:marRight w:val="0"/>
          <w:marTop w:val="0"/>
          <w:marBottom w:val="0"/>
          <w:divBdr>
            <w:top w:val="none" w:sz="0" w:space="0" w:color="auto"/>
            <w:left w:val="none" w:sz="0" w:space="0" w:color="auto"/>
            <w:bottom w:val="none" w:sz="0" w:space="0" w:color="auto"/>
            <w:right w:val="none" w:sz="0" w:space="0" w:color="auto"/>
          </w:divBdr>
        </w:div>
        <w:div w:id="1011302626">
          <w:marLeft w:val="0"/>
          <w:marRight w:val="0"/>
          <w:marTop w:val="0"/>
          <w:marBottom w:val="0"/>
          <w:divBdr>
            <w:top w:val="none" w:sz="0" w:space="0" w:color="auto"/>
            <w:left w:val="none" w:sz="0" w:space="0" w:color="auto"/>
            <w:bottom w:val="none" w:sz="0" w:space="0" w:color="auto"/>
            <w:right w:val="none" w:sz="0" w:space="0" w:color="auto"/>
          </w:divBdr>
        </w:div>
        <w:div w:id="914436579">
          <w:marLeft w:val="0"/>
          <w:marRight w:val="0"/>
          <w:marTop w:val="0"/>
          <w:marBottom w:val="0"/>
          <w:divBdr>
            <w:top w:val="none" w:sz="0" w:space="0" w:color="auto"/>
            <w:left w:val="none" w:sz="0" w:space="0" w:color="auto"/>
            <w:bottom w:val="none" w:sz="0" w:space="0" w:color="auto"/>
            <w:right w:val="none" w:sz="0" w:space="0" w:color="auto"/>
          </w:divBdr>
        </w:div>
      </w:divsChild>
    </w:div>
    <w:div w:id="1375887164">
      <w:bodyDiv w:val="1"/>
      <w:marLeft w:val="0"/>
      <w:marRight w:val="0"/>
      <w:marTop w:val="0"/>
      <w:marBottom w:val="0"/>
      <w:divBdr>
        <w:top w:val="none" w:sz="0" w:space="0" w:color="auto"/>
        <w:left w:val="none" w:sz="0" w:space="0" w:color="auto"/>
        <w:bottom w:val="none" w:sz="0" w:space="0" w:color="auto"/>
        <w:right w:val="none" w:sz="0" w:space="0" w:color="auto"/>
      </w:divBdr>
    </w:div>
    <w:div w:id="15139532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8529CA-7A15-4787-B13F-75840D673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1088</TotalTime>
  <Pages>4</Pages>
  <Words>1203</Words>
  <Characters>6859</Characters>
  <Application>Microsoft Office Word</Application>
  <DocSecurity>0</DocSecurity>
  <Lines>57</Lines>
  <Paragraphs>16</Paragraphs>
  <ScaleCrop>false</ScaleCrop>
  <Company>ZTE</Company>
  <LinksUpToDate>false</LinksUpToDate>
  <CharactersWithSpaces>8046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 - Yumin Wu</dc:creator>
  <cp:lastModifiedBy>ZTE</cp:lastModifiedBy>
  <cp:revision>7</cp:revision>
  <dcterms:created xsi:type="dcterms:W3CDTF">2024-11-07T07:23:00Z</dcterms:created>
  <dcterms:modified xsi:type="dcterms:W3CDTF">2024-11-08T08:51:00Z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adfc0b0425c11ee80001d4800001d48">
    <vt:lpwstr>CWMHkzjP0b8G+COL0mhPrOL6t1AaN9H46cFHBJ4u1M1wmMfTWsBRbI9Cka1OOKoiExPzMjCxC1MRQ7UF9J79+hd2g==</vt:lpwstr>
  </property>
  <property fmtid="{D5CDD505-2E9C-101B-9397-08002B2CF9AE}" pid="3" name="KSOProductBuildVer">
    <vt:lpwstr>2052-11.8.2.10393</vt:lpwstr>
  </property>
</Properties>
</file>