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 xml:space="preserve">Note: The validation may consider all existing scenarios: </w:t>
            </w:r>
            <w:proofErr w:type="spellStart"/>
            <w:r>
              <w:rPr>
                <w:rFonts w:ascii="Times New Roman" w:eastAsia="SimSun" w:hAnsi="Times New Roman" w:cs="Times New Roman"/>
                <w:i/>
                <w:iCs/>
                <w:szCs w:val="20"/>
                <w:lang w:bidi="ar"/>
              </w:rPr>
              <w:t>UMi</w:t>
            </w:r>
            <w:proofErr w:type="spellEnd"/>
            <w:r>
              <w:rPr>
                <w:rFonts w:ascii="Times New Roman" w:eastAsia="SimSun" w:hAnsi="Times New Roman" w:cs="Times New Roman"/>
                <w:i/>
                <w:iCs/>
                <w:szCs w:val="20"/>
                <w:lang w:bidi="ar"/>
              </w:rPr>
              <w:t xml:space="preserve">-street canyon, </w:t>
            </w:r>
            <w:proofErr w:type="spellStart"/>
            <w:r>
              <w:rPr>
                <w:rFonts w:ascii="Times New Roman" w:eastAsia="SimSun" w:hAnsi="Times New Roman" w:cs="Times New Roman"/>
                <w:i/>
                <w:iCs/>
                <w:szCs w:val="20"/>
                <w:lang w:bidi="ar"/>
              </w:rPr>
              <w:t>UMa</w:t>
            </w:r>
            <w:proofErr w:type="spellEnd"/>
            <w:r>
              <w:rPr>
                <w:rFonts w:ascii="Times New Roman" w:eastAsia="SimSun" w:hAnsi="Times New Roman" w:cs="Times New Roman"/>
                <w:i/>
                <w:iCs/>
                <w:szCs w:val="20"/>
                <w:lang w:bidi="ar"/>
              </w:rPr>
              <w:t xml:space="preserve">, Indoor-Office, </w:t>
            </w:r>
            <w:proofErr w:type="spellStart"/>
            <w:r>
              <w:rPr>
                <w:rFonts w:ascii="Times New Roman" w:eastAsia="SimSun" w:hAnsi="Times New Roman" w:cs="Times New Roman"/>
                <w:i/>
                <w:iCs/>
                <w:szCs w:val="20"/>
                <w:lang w:bidi="ar"/>
              </w:rPr>
              <w:t>RMa</w:t>
            </w:r>
            <w:proofErr w:type="spellEnd"/>
            <w:r>
              <w:rPr>
                <w:rFonts w:ascii="Times New Roman" w:eastAsia="SimSun" w:hAnsi="Times New Roman" w:cs="Times New Roman"/>
                <w:i/>
                <w:iCs/>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 xml:space="preserve">Channel model for Near field </w:t>
      </w:r>
      <w:proofErr w:type="gramStart"/>
      <w:r>
        <w:t>propagation</w:t>
      </w:r>
      <w:proofErr w:type="gramEnd"/>
    </w:p>
    <w:p w14:paraId="04382B7B" w14:textId="77777777" w:rsidR="00E51C28" w:rsidRDefault="00D04239">
      <w:pPr>
        <w:pStyle w:val="ListParagraph"/>
        <w:numPr>
          <w:ilvl w:val="0"/>
          <w:numId w:val="13"/>
        </w:numPr>
      </w:pPr>
      <w:r>
        <w:t>Channel model for Spatial non-</w:t>
      </w:r>
      <w:proofErr w:type="spellStart"/>
      <w:proofErr w:type="gramStart"/>
      <w:r>
        <w:t>stationar</w:t>
      </w:r>
      <w:proofErr w:type="spellEnd"/>
      <w:r>
        <w:rPr>
          <w:rFonts w:eastAsia="SimSun" w:hint="eastAsia"/>
          <w:lang w:val="en-US"/>
        </w:rPr>
        <w:t>it</w:t>
      </w:r>
      <w:r>
        <w:t>y</w:t>
      </w:r>
      <w:proofErr w:type="gramEnd"/>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LGE, Intel, Ericsson, Samsung, vivo, ZTE, Apple, Lenovo, CATT, NVIDIA, MTK, Qualcomm, CEWiT] highlight the spherical wavefront terminology when discussing the near-field modeling. [Qualcomm] proposes to study the impact of spherical wavefront modeling comparing to planar wavefront </w:t>
      </w:r>
      <w:proofErr w:type="gramStart"/>
      <w:r>
        <w:rPr>
          <w:rFonts w:ascii="Times New Roman" w:hAnsi="Times New Roman" w:cs="Times New Roman"/>
          <w:szCs w:val="20"/>
        </w:rPr>
        <w:t>modeling,</w:t>
      </w:r>
      <w:proofErr w:type="gramEnd"/>
      <w:r>
        <w:rPr>
          <w:rFonts w:ascii="Times New Roman" w:hAnsi="Times New Roman" w:cs="Times New Roman"/>
          <w:szCs w:val="20"/>
        </w:rPr>
        <w:t xml:space="preserve">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hint="eastAsia"/>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hint="eastAsia"/>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lastRenderedPageBreak/>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w:t>
            </w:r>
            <w:r w:rsidR="00363315">
              <w:rPr>
                <w:rFonts w:cs="Times New Roman"/>
                <w:szCs w:val="20"/>
              </w:rPr>
              <w:lastRenderedPageBreak/>
              <w:t>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lastRenderedPageBreak/>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hint="eastAsia"/>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hint="eastAsia"/>
                <w:szCs w:val="20"/>
              </w:rPr>
            </w:pPr>
            <w:r>
              <w:rPr>
                <w:rFonts w:cs="Times New Roman"/>
                <w:szCs w:val="20"/>
              </w:rPr>
              <w:t xml:space="preserve">Similar view as QC and CATT regarding antenna aperture size for </w:t>
            </w:r>
            <w:proofErr w:type="spellStart"/>
            <w:r>
              <w:rPr>
                <w:rFonts w:cs="Times New Roman"/>
                <w:szCs w:val="20"/>
              </w:rPr>
              <w:t>UMi</w:t>
            </w:r>
            <w:proofErr w:type="spellEnd"/>
            <w:r>
              <w:rPr>
                <w:rFonts w:cs="Times New Roman"/>
                <w:szCs w:val="20"/>
              </w:rPr>
              <w:t xml:space="preserve"> and indoor scenarios. Indoor scenarios do not show a strong frequency dependence in excess loss that would motivate larger antenna apertures.</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Additionally, regarding the </w:t>
      </w:r>
      <w:proofErr w:type="spellStart"/>
      <w:r>
        <w:rPr>
          <w:rFonts w:eastAsia="SimSun" w:hint="eastAsia"/>
          <w:lang w:val="en-US"/>
        </w:rPr>
        <w:t>RMa</w:t>
      </w:r>
      <w:proofErr w:type="spellEnd"/>
      <w:r>
        <w:rPr>
          <w:rFonts w:eastAsia="SimSun"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Default="00704AE7" w:rsidP="00704AE7">
            <w:pPr>
              <w:rPr>
                <w:rFonts w:cs="Times New Roman"/>
                <w:szCs w:val="20"/>
              </w:rPr>
            </w:pPr>
            <w:r>
              <w:rPr>
                <w:rFonts w:cs="Times New Roman" w:hint="eastAsia"/>
                <w:szCs w:val="20"/>
              </w:rPr>
              <w:t>F</w:t>
            </w:r>
            <w:r>
              <w:rPr>
                <w:rFonts w:cs="Times New Roman"/>
                <w:szCs w:val="20"/>
              </w:rPr>
              <w:t xml:space="preserve">ine to deprioritize </w:t>
            </w:r>
            <w:proofErr w:type="spellStart"/>
            <w:r>
              <w:rPr>
                <w:rFonts w:cs="Times New Roman"/>
                <w:szCs w:val="20"/>
              </w:rPr>
              <w:t>RMa</w:t>
            </w:r>
            <w:proofErr w:type="spellEnd"/>
            <w:r>
              <w:rPr>
                <w:rFonts w:cs="Times New Roman"/>
                <w:szCs w:val="20"/>
              </w:rPr>
              <w:t xml:space="preserve">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lastRenderedPageBreak/>
        <w:t xml:space="preserve">[Apple] proposes that the impact on large scale parameters is </w:t>
      </w:r>
      <w:proofErr w:type="gramStart"/>
      <w:r>
        <w:t>negligible</w:t>
      </w:r>
      <w:proofErr w:type="gramEnd"/>
      <w:r>
        <w:t xml:space="preserv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w:t>
            </w:r>
            <w:r w:rsidRPr="00A03A97">
              <w:rPr>
                <w:rFonts w:cs="Times New Roman"/>
                <w:szCs w:val="20"/>
              </w:rPr>
              <w:lastRenderedPageBreak/>
              <w:t>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lastRenderedPageBreak/>
              <w:t>vivo</w:t>
            </w:r>
          </w:p>
        </w:tc>
        <w:tc>
          <w:tcPr>
            <w:tcW w:w="6472" w:type="dxa"/>
          </w:tcPr>
          <w:p w14:paraId="21EB92D4" w14:textId="4526EDD4" w:rsidR="008745D2" w:rsidRPr="00A03A97" w:rsidRDefault="008745D2" w:rsidP="008745D2">
            <w:pPr>
              <w:ind w:firstLineChars="50" w:firstLine="110"/>
              <w:rPr>
                <w:rFonts w:cs="Times New Roman"/>
                <w:szCs w:val="20"/>
              </w:rPr>
            </w:pPr>
            <w:r>
              <w:rPr>
                <w:rFonts w:eastAsia="MS Mincho" w:cs="Times New Roman" w:hint="eastAsia"/>
                <w:szCs w:val="20"/>
              </w:rPr>
              <w:t>Support</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lastRenderedPageBreak/>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lastRenderedPageBreak/>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w:t>
            </w:r>
            <w:r>
              <w:rPr>
                <w:rFonts w:ascii="Times New Roman" w:eastAsia="MS Mincho" w:hAnsi="Times New Roman" w:cs="Times New Roman" w:hint="eastAsia"/>
                <w:sz w:val="20"/>
                <w:szCs w:val="20"/>
              </w:rPr>
              <w:lastRenderedPageBreak/>
              <w:t xml:space="preserve">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lastRenderedPageBreak/>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lastRenderedPageBreak/>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lastRenderedPageBreak/>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5769EABC" w14:textId="7C883717" w:rsidR="008745D2" w:rsidRPr="00D83A3C" w:rsidRDefault="008745D2" w:rsidP="008745D2">
            <w:pPr>
              <w:spacing w:before="120" w:after="120"/>
              <w:ind w:firstLineChars="50" w:firstLine="11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CEWiT]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 xml:space="preserve">We are not sure whether we need a region to differentiate the near-field and far-field in a unified channel modeling. It can be discussed later. </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lastRenderedPageBreak/>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lastRenderedPageBreak/>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bl>
    <w:p w14:paraId="22A354A7" w14:textId="77777777"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 xml:space="preserve">We are not sure whether we need a region to differentiate the near-field and far-field in a unified channel modeling. It can be discussed </w:t>
            </w:r>
            <w:r>
              <w:rPr>
                <w:rFonts w:eastAsia="MS Mincho" w:cs="Times New Roman" w:hint="eastAsia"/>
                <w:szCs w:val="20"/>
              </w:rPr>
              <w:lastRenderedPageBreak/>
              <w:t>later.</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lastRenderedPageBreak/>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 xml:space="preserve">spherical waves in the near field region require consideration of both angle and distance unlike the far-field region’s plane wave approximation. This is because not all antenna </w:t>
            </w:r>
            <w:r w:rsidRPr="004F5C95">
              <w:rPr>
                <w:rFonts w:cs="Times New Roman"/>
                <w:szCs w:val="20"/>
              </w:rPr>
              <w:lastRenderedPageBreak/>
              <w:t>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lastRenderedPageBreak/>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t>
      </w:r>
      <w:proofErr w:type="gramStart"/>
      <w:r>
        <w:rPr>
          <w:lang w:val="en-US"/>
        </w:rPr>
        <w:t>with regard to</w:t>
      </w:r>
      <w:proofErr w:type="gramEnd"/>
      <w:r>
        <w:rPr>
          <w:lang w:val="en-US"/>
        </w:rPr>
        <w:t xml:space="preserve"> max(Pm)-Pm</w:t>
      </w:r>
      <w:r>
        <w:rPr>
          <w:rFonts w:hint="eastAsia"/>
          <w:lang w:val="en-US"/>
        </w:rPr>
        <w:t>.</w:t>
      </w:r>
    </w:p>
    <w:p w14:paraId="0A8F77E4" w14:textId="77777777" w:rsidR="00E51C28" w:rsidRDefault="00D04239">
      <w:pPr>
        <w:pStyle w:val="ListParagraph"/>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lastRenderedPageBreak/>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000000">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lastRenderedPageBreak/>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lastRenderedPageBreak/>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lastRenderedPageBreak/>
        <w:t xml:space="preserve">Moreover, [BUPT, CMCC, vivo] also propose to study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w:t>
      </w:r>
      <w:r>
        <w:rPr>
          <w:rFonts w:ascii="Times New Roman" w:hAnsi="Times New Roman" w:cs="Times New Roman"/>
          <w:szCs w:val="20"/>
        </w:rPr>
        <w:lastRenderedPageBreak/>
        <w:t>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[BUPT, CMCC, vivo]: Determines the visible region of each cluster in the antenna array, the size of the visible region depends on the distance between the TRP and that cluster. In addition, it is necessary to consider the shape of the VR,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lastRenderedPageBreak/>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Cs w:val="20"/>
              </w:rPr>
            </w:pPr>
          </w:p>
        </w:tc>
        <w:tc>
          <w:tcPr>
            <w:tcW w:w="6472" w:type="dxa"/>
          </w:tcPr>
          <w:p w14:paraId="6A2C5752" w14:textId="77777777" w:rsidR="00704AE7" w:rsidRDefault="00704AE7" w:rsidP="00704AE7">
            <w:pPr>
              <w:spacing w:before="120" w:after="120"/>
              <w:rPr>
                <w:rFonts w:ascii="Times New Roman" w:hAnsi="Times New Roman" w:cs="Times New Roman"/>
                <w:szCs w:val="20"/>
              </w:rPr>
            </w:pP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lastRenderedPageBreak/>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he distribution method is also needed to 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Cs w:val="20"/>
              </w:rPr>
            </w:pPr>
          </w:p>
        </w:tc>
        <w:tc>
          <w:tcPr>
            <w:tcW w:w="6472" w:type="dxa"/>
          </w:tcPr>
          <w:p w14:paraId="0F13BA33" w14:textId="77777777" w:rsidR="00ED023A" w:rsidRDefault="00ED023A" w:rsidP="00ED023A">
            <w:pPr>
              <w:spacing w:before="120" w:after="120"/>
              <w:rPr>
                <w:rFonts w:ascii="Times New Roman" w:hAnsi="Times New Roman" w:cs="Times New Roman"/>
                <w:szCs w:val="20"/>
              </w:rPr>
            </w:pP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lastRenderedPageBreak/>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lastRenderedPageBreak/>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2D11BC">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w:lastRenderedPageBreak/>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0" distR="0" wp14:anchorId="362F3C5E" wp14:editId="421D3CAE">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068BF406">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1858" w14:textId="77777777" w:rsidR="00FB7AC0" w:rsidRDefault="00FB7AC0">
      <w:r>
        <w:separator/>
      </w:r>
    </w:p>
  </w:endnote>
  <w:endnote w:type="continuationSeparator" w:id="0">
    <w:p w14:paraId="5D9EA42B" w14:textId="77777777" w:rsidR="00FB7AC0" w:rsidRDefault="00F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altName w:val="URW Bookma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D82B" w14:textId="77777777" w:rsidR="00FB7AC0" w:rsidRDefault="00FB7AC0">
      <w:r>
        <w:separator/>
      </w:r>
    </w:p>
  </w:footnote>
  <w:footnote w:type="continuationSeparator" w:id="0">
    <w:p w14:paraId="07CA0F32" w14:textId="77777777" w:rsidR="00FB7AC0" w:rsidRDefault="00FB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1BC"/>
    <w:rPr>
      <w:rFonts w:asciiTheme="minorHAnsi" w:eastAsiaTheme="minorHAnsi" w:hAnsiTheme="minorHAnsi" w:cstheme="minorBidi"/>
      <w:sz w:val="22"/>
      <w:szCs w:val="22"/>
      <w:lang w:eastAsia="en-US"/>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2D11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1BC"/>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36</Pages>
  <Words>9729</Words>
  <Characters>55460</Characters>
  <Application>Microsoft Office Word</Application>
  <DocSecurity>0</DocSecurity>
  <Lines>462</Lines>
  <Paragraphs>130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65059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Kevin Wanuga (Nokia)</cp:lastModifiedBy>
  <cp:revision>2</cp:revision>
  <cp:lastPrinted>2011-11-11T01:49:00Z</cp:lastPrinted>
  <dcterms:created xsi:type="dcterms:W3CDTF">2024-05-20T02:48:00Z</dcterms:created>
  <dcterms:modified xsi:type="dcterms:W3CDTF">2024-05-20T02:48:00Z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