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BodyText"/>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TableGrid"/>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w:t>
            </w:r>
            <w:proofErr w:type="gramStart"/>
            <w:r w:rsidRPr="002F764C">
              <w:t>tracing based</w:t>
            </w:r>
            <w:proofErr w:type="gramEnd"/>
            <w:r w:rsidRPr="002F764C">
              <w:t xml:space="preserve">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Heading4"/>
        <w:rPr>
          <w:rFonts w:eastAsia="SimSun"/>
          <w:lang w:eastAsia="zh-CN"/>
        </w:rPr>
      </w:pPr>
      <w:r w:rsidRPr="00FE11E4">
        <w:rPr>
          <w:rFonts w:eastAsia="SimSun"/>
          <w:lang w:eastAsia="zh-CN"/>
        </w:rPr>
        <w:t>Summary of Issues</w:t>
      </w:r>
    </w:p>
    <w:p w14:paraId="57C866D0" w14:textId="6CF0D880" w:rsidR="00F94201" w:rsidRDefault="00F94201" w:rsidP="00EF5F8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BodyText"/>
        <w:spacing w:after="0"/>
        <w:rPr>
          <w:rFonts w:ascii="Times New Roman" w:eastAsiaTheme="minorEastAsia" w:hAnsi="Times New Roman"/>
          <w:szCs w:val="20"/>
          <w:lang w:eastAsia="ko-KR"/>
        </w:rPr>
      </w:pPr>
    </w:p>
    <w:p w14:paraId="3FDD1A7D" w14:textId="77777777" w:rsidR="00EE5325" w:rsidRDefault="00EE5325" w:rsidP="00EF5F8F">
      <w:pPr>
        <w:pStyle w:val="BodyText"/>
        <w:spacing w:after="0"/>
        <w:rPr>
          <w:rFonts w:ascii="Times New Roman" w:eastAsiaTheme="minorEastAsia" w:hAnsi="Times New Roman"/>
          <w:szCs w:val="20"/>
          <w:lang w:eastAsia="ko-KR"/>
        </w:rPr>
      </w:pPr>
    </w:p>
    <w:p w14:paraId="7EC85C02" w14:textId="358A77CB" w:rsidR="00EE5325" w:rsidRDefault="00EE5325" w:rsidP="00EE5325">
      <w:pPr>
        <w:pStyle w:val="Heading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BodyText"/>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BodyText"/>
              <w:spacing w:after="0"/>
              <w:rPr>
                <w:rFonts w:ascii="Times New Roman" w:eastAsiaTheme="minorEastAsia" w:hAnsi="Times New Roman"/>
                <w:szCs w:val="20"/>
                <w:lang w:eastAsia="ko-KR"/>
              </w:rPr>
            </w:pPr>
          </w:p>
        </w:tc>
      </w:tr>
    </w:tbl>
    <w:p w14:paraId="709DC3D4" w14:textId="77777777" w:rsidR="00EE5325" w:rsidRDefault="00EE5325" w:rsidP="00EF5F8F">
      <w:pPr>
        <w:pStyle w:val="BodyText"/>
        <w:spacing w:after="0"/>
        <w:rPr>
          <w:rFonts w:ascii="Times New Roman" w:eastAsiaTheme="minorEastAsia" w:hAnsi="Times New Roman"/>
          <w:szCs w:val="20"/>
          <w:lang w:eastAsia="ko-KR"/>
        </w:rPr>
      </w:pPr>
    </w:p>
    <w:p w14:paraId="7F639992" w14:textId="77777777" w:rsidR="00EE5325" w:rsidRPr="00F94201" w:rsidRDefault="00EE5325" w:rsidP="00EF5F8F">
      <w:pPr>
        <w:pStyle w:val="BodyText"/>
        <w:spacing w:after="0"/>
        <w:rPr>
          <w:rFonts w:ascii="Times New Roman" w:eastAsiaTheme="minorEastAsia" w:hAnsi="Times New Roman"/>
          <w:szCs w:val="20"/>
          <w:lang w:eastAsia="ko-KR"/>
        </w:rPr>
      </w:pPr>
    </w:p>
    <w:p w14:paraId="5BE6435B" w14:textId="77777777" w:rsidR="00125C59" w:rsidRDefault="00125C59">
      <w:pPr>
        <w:pStyle w:val="BodyText"/>
        <w:spacing w:after="0"/>
        <w:rPr>
          <w:rFonts w:ascii="Times New Roman" w:eastAsiaTheme="minorEastAsia" w:hAnsi="Times New Roman"/>
          <w:szCs w:val="20"/>
          <w:lang w:eastAsia="ko-KR"/>
        </w:rPr>
      </w:pPr>
    </w:p>
    <w:p w14:paraId="3E77F866" w14:textId="775BDB2F" w:rsidR="00AA6349" w:rsidRPr="00031682" w:rsidRDefault="00AA6349" w:rsidP="00AA6349">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Norm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Norm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BodyText"/>
        <w:spacing w:after="0"/>
        <w:rPr>
          <w:rFonts w:ascii="Times New Roman" w:eastAsiaTheme="minorEastAsia" w:hAnsi="Times New Roman"/>
          <w:szCs w:val="20"/>
          <w:lang w:eastAsia="ko-KR"/>
        </w:rPr>
      </w:pPr>
    </w:p>
    <w:p w14:paraId="5FEDDC8B" w14:textId="77777777" w:rsidR="00834D3B" w:rsidRDefault="00834D3B" w:rsidP="00AA6349">
      <w:pPr>
        <w:pStyle w:val="BodyText"/>
        <w:spacing w:after="0"/>
        <w:rPr>
          <w:rFonts w:ascii="Times New Roman" w:eastAsiaTheme="minorEastAsia" w:hAnsi="Times New Roman"/>
          <w:szCs w:val="20"/>
          <w:lang w:eastAsia="ko-KR"/>
        </w:rPr>
      </w:pPr>
    </w:p>
    <w:p w14:paraId="328CDB8F"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BodyText"/>
        <w:spacing w:after="0"/>
        <w:rPr>
          <w:rFonts w:ascii="Times New Roman" w:eastAsiaTheme="minorEastAsia" w:hAnsi="Times New Roman"/>
          <w:szCs w:val="20"/>
          <w:lang w:eastAsia="ko-KR"/>
        </w:rPr>
      </w:pPr>
    </w:p>
    <w:p w14:paraId="5869D537" w14:textId="095DDF0F" w:rsidR="006F421B" w:rsidRDefault="006F421B" w:rsidP="000B609A">
      <w:pPr>
        <w:pStyle w:val="Heading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BodyText"/>
        <w:spacing w:after="0"/>
        <w:rPr>
          <w:rFonts w:ascii="Times New Roman" w:eastAsiaTheme="minorEastAsia" w:hAnsi="Times New Roman"/>
          <w:szCs w:val="20"/>
          <w:lang w:eastAsia="ko-KR"/>
        </w:rPr>
      </w:pPr>
    </w:p>
    <w:p w14:paraId="66BDC109" w14:textId="77777777" w:rsidR="00EE5325" w:rsidRDefault="00EE5325" w:rsidP="00EE5325">
      <w:pPr>
        <w:pStyle w:val="Heading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D67607" w14:paraId="54A8A037" w14:textId="77777777" w:rsidTr="00DD5094">
        <w:tc>
          <w:tcPr>
            <w:tcW w:w="1795" w:type="dxa"/>
          </w:tcPr>
          <w:p w14:paraId="4590F59E" w14:textId="1E40FB55" w:rsidR="00D67607" w:rsidRDefault="00D676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2B9965" w14:textId="6AA37B69" w:rsidR="00D67607" w:rsidRDefault="00F1619B"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bl>
    <w:p w14:paraId="4B18DF8C" w14:textId="77777777" w:rsidR="00EE5325" w:rsidRDefault="00EE5325" w:rsidP="00EE5325">
      <w:pPr>
        <w:pStyle w:val="BodyText"/>
        <w:spacing w:after="0"/>
        <w:rPr>
          <w:rFonts w:ascii="Times New Roman" w:eastAsiaTheme="minorEastAsia" w:hAnsi="Times New Roman"/>
          <w:szCs w:val="20"/>
          <w:lang w:eastAsia="ko-KR"/>
        </w:rPr>
      </w:pPr>
    </w:p>
    <w:p w14:paraId="0809DCBB" w14:textId="77777777" w:rsidR="000B609A" w:rsidRDefault="000B609A" w:rsidP="00AA6349">
      <w:pPr>
        <w:pStyle w:val="BodyText"/>
        <w:spacing w:after="0"/>
        <w:rPr>
          <w:rFonts w:ascii="Times New Roman" w:eastAsiaTheme="minorEastAsia" w:hAnsi="Times New Roman"/>
          <w:szCs w:val="20"/>
          <w:lang w:eastAsia="ko-KR"/>
        </w:rPr>
      </w:pPr>
    </w:p>
    <w:p w14:paraId="3D5CB7C7" w14:textId="77777777" w:rsidR="000B609A" w:rsidRDefault="000B609A" w:rsidP="00AA6349">
      <w:pPr>
        <w:pStyle w:val="BodyText"/>
        <w:spacing w:after="0"/>
        <w:rPr>
          <w:rFonts w:ascii="Times New Roman" w:eastAsiaTheme="minorEastAsia" w:hAnsi="Times New Roman"/>
          <w:szCs w:val="20"/>
          <w:lang w:eastAsia="ko-KR"/>
        </w:rPr>
      </w:pPr>
    </w:p>
    <w:p w14:paraId="294C5A00" w14:textId="743DFA05"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TableGrid"/>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NormalWeb"/>
              <w:spacing w:before="0" w:beforeAutospacing="0" w:after="0" w:afterAutospacing="0" w:line="240" w:lineRule="auto"/>
              <w:rPr>
                <w:b/>
                <w:bCs/>
                <w:sz w:val="20"/>
                <w:szCs w:val="20"/>
              </w:rPr>
            </w:pPr>
          </w:p>
          <w:p w14:paraId="27A52B18" w14:textId="1A9697BF"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Norm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Norm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3GPP TR 38.901 (2.49/2). Just looking at 7-24 GHz it may seem like further investigation is required to model </w:t>
            </w:r>
            <w:r w:rsidRPr="00DD3D65">
              <w:rPr>
                <w:sz w:val="20"/>
                <w:szCs w:val="20"/>
              </w:rPr>
              <w:lastRenderedPageBreak/>
              <w:t>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Norm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Norm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Norm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Norm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marginal difference compared to pathloss for UMi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RAN1 discuss whether the updates of pathloss in UMi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lastRenderedPageBreak/>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Caption"/>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Caption"/>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BodyText"/>
        <w:spacing w:after="0"/>
        <w:rPr>
          <w:rFonts w:ascii="Times New Roman" w:eastAsiaTheme="minorEastAsia" w:hAnsi="Times New Roman"/>
          <w:szCs w:val="20"/>
          <w:lang w:eastAsia="ko-KR"/>
        </w:rPr>
      </w:pPr>
    </w:p>
    <w:p w14:paraId="4F5D080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27FDF294" w14:textId="28401C5E" w:rsidR="005F281F"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UMi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63289C38" w14:textId="28DF18F7" w:rsidR="005F281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BodyText"/>
        <w:spacing w:after="0"/>
        <w:rPr>
          <w:rFonts w:ascii="Times New Roman" w:eastAsiaTheme="minorEastAsia" w:hAnsi="Times New Roman"/>
          <w:szCs w:val="20"/>
          <w:lang w:eastAsia="ko-KR"/>
        </w:rPr>
      </w:pPr>
    </w:p>
    <w:p w14:paraId="11E52DC8" w14:textId="08090A02" w:rsidR="00B510B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So far companies seems to generally </w:t>
      </w:r>
      <w:proofErr w:type="gramStart"/>
      <w:r>
        <w:rPr>
          <w:rFonts w:ascii="Times New Roman" w:eastAsiaTheme="minorEastAsia" w:hAnsi="Times New Roman"/>
          <w:szCs w:val="20"/>
          <w:lang w:eastAsia="ko-KR"/>
        </w:rPr>
        <w:t>providing</w:t>
      </w:r>
      <w:proofErr w:type="gramEnd"/>
      <w:r>
        <w:rPr>
          <w:rFonts w:ascii="Times New Roman" w:eastAsiaTheme="minorEastAsia" w:hAnsi="Times New Roman"/>
          <w:szCs w:val="20"/>
          <w:lang w:eastAsia="ko-KR"/>
        </w:rPr>
        <w:t xml:space="preserve"> inputs that pathloss update may not be needed. There are several inputs that may not strictly fall under existing scenarios (e.g. SMa), which will be discussed under Section 4.3.</w:t>
      </w:r>
    </w:p>
    <w:p w14:paraId="5039C030" w14:textId="77777777" w:rsidR="00B510BF" w:rsidRDefault="00B510BF" w:rsidP="00AA6349">
      <w:pPr>
        <w:pStyle w:val="BodyText"/>
        <w:spacing w:after="0"/>
        <w:rPr>
          <w:rFonts w:ascii="Times New Roman" w:eastAsiaTheme="minorEastAsia" w:hAnsi="Times New Roman"/>
          <w:szCs w:val="20"/>
          <w:lang w:eastAsia="ko-KR"/>
        </w:rPr>
      </w:pPr>
    </w:p>
    <w:p w14:paraId="707335A7" w14:textId="280F6FAD" w:rsidR="00B510BF" w:rsidRDefault="00B510BF" w:rsidP="00B510BF">
      <w:pPr>
        <w:pStyle w:val="Heading5"/>
        <w:rPr>
          <w:rFonts w:eastAsiaTheme="minorEastAsia"/>
          <w:lang w:eastAsia="ko-KR"/>
        </w:rPr>
      </w:pPr>
      <w:r>
        <w:rPr>
          <w:rFonts w:eastAsiaTheme="minorEastAsia" w:hint="eastAsia"/>
          <w:lang w:eastAsia="ko-KR"/>
        </w:rPr>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F1FFE73" w14:textId="4C2E8F99" w:rsidR="00223910" w:rsidRPr="00B510BF" w:rsidRDefault="00223910" w:rsidP="0022391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9022BF" w14:textId="319AFFE6"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BodyText"/>
        <w:spacing w:after="0"/>
        <w:rPr>
          <w:rFonts w:ascii="Times New Roman" w:eastAsiaTheme="minorEastAsia" w:hAnsi="Times New Roman"/>
          <w:szCs w:val="20"/>
          <w:lang w:eastAsia="ko-KR"/>
        </w:rPr>
      </w:pPr>
    </w:p>
    <w:p w14:paraId="41D5ABD9" w14:textId="77777777" w:rsidR="00EE5325" w:rsidRDefault="00EE5325" w:rsidP="00AA6349">
      <w:pPr>
        <w:pStyle w:val="BodyText"/>
        <w:spacing w:after="0"/>
        <w:rPr>
          <w:rFonts w:ascii="Times New Roman" w:eastAsiaTheme="minorEastAsia" w:hAnsi="Times New Roman"/>
          <w:szCs w:val="20"/>
          <w:lang w:eastAsia="ko-KR"/>
        </w:rPr>
      </w:pPr>
    </w:p>
    <w:p w14:paraId="47B08663" w14:textId="77777777" w:rsidR="00EE5325" w:rsidRDefault="00EE5325" w:rsidP="00EE5325">
      <w:pPr>
        <w:pStyle w:val="Heading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3B779A" w14:paraId="299968A3" w14:textId="77777777" w:rsidTr="003B779A">
        <w:tc>
          <w:tcPr>
            <w:tcW w:w="1795" w:type="dxa"/>
          </w:tcPr>
          <w:p w14:paraId="06E2F225" w14:textId="37D69CBE" w:rsidR="003B779A" w:rsidRDefault="00407D6E" w:rsidP="00EC7D9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E8CEC3" w14:textId="1258EE16" w:rsid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B702DCA" w14:textId="31F4BC4E" w:rsidR="00EF3BC0" w:rsidRP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B6172" w14:paraId="65D08703" w14:textId="77777777" w:rsidTr="003B779A">
        <w:tc>
          <w:tcPr>
            <w:tcW w:w="1795" w:type="dxa"/>
          </w:tcPr>
          <w:p w14:paraId="4D5AE631" w14:textId="57C28DEF" w:rsidR="008B6172" w:rsidRDefault="008B6172" w:rsidP="00EC7D9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09F69A7" w14:textId="77777777" w:rsidR="00BB2617" w:rsidRDefault="00BF624E" w:rsidP="008B6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r w:rsidR="00BB2617">
              <w:rPr>
                <w:rFonts w:ascii="Times New Roman" w:eastAsiaTheme="minorEastAsia" w:hAnsi="Times New Roman"/>
                <w:szCs w:val="20"/>
                <w:lang w:eastAsia="ko-KR"/>
              </w:rPr>
              <w:t>.</w:t>
            </w:r>
          </w:p>
          <w:p w14:paraId="333DD2E6" w14:textId="1240CE84" w:rsidR="008B6172" w:rsidRDefault="00BB2617" w:rsidP="008B6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w:t>
            </w:r>
            <w:r>
              <w:rPr>
                <w:rFonts w:ascii="Times New Roman" w:eastAsiaTheme="minorEastAsia" w:hAnsi="Times New Roman"/>
                <w:szCs w:val="20"/>
                <w:lang w:eastAsia="ko-KR"/>
              </w:rPr>
              <w:t>path loss</w:t>
            </w:r>
            <w:r>
              <w:rPr>
                <w:rFonts w:ascii="Times New Roman" w:eastAsiaTheme="minorEastAsia" w:hAnsi="Times New Roman"/>
                <w:szCs w:val="20"/>
                <w:lang w:eastAsia="ko-KR"/>
              </w:rPr>
              <w:t>.</w:t>
            </w:r>
            <w:r w:rsidR="002F17F5">
              <w:rPr>
                <w:rFonts w:ascii="Times New Roman" w:eastAsiaTheme="minorEastAsia" w:hAnsi="Times New Roman"/>
                <w:szCs w:val="20"/>
                <w:lang w:eastAsia="ko-KR"/>
              </w:rPr>
              <w:t xml:space="preserve"> </w:t>
            </w:r>
          </w:p>
        </w:tc>
      </w:tr>
    </w:tbl>
    <w:p w14:paraId="001A97F4" w14:textId="77777777" w:rsidR="00EE5325" w:rsidRDefault="00EE5325" w:rsidP="00EE5325">
      <w:pPr>
        <w:pStyle w:val="BodyText"/>
        <w:spacing w:after="0"/>
        <w:rPr>
          <w:rFonts w:ascii="Times New Roman" w:eastAsiaTheme="minorEastAsia" w:hAnsi="Times New Roman"/>
          <w:szCs w:val="20"/>
          <w:lang w:eastAsia="ko-KR"/>
        </w:rPr>
      </w:pPr>
    </w:p>
    <w:p w14:paraId="3B0847A0" w14:textId="77777777" w:rsidR="00EE5325" w:rsidRDefault="00EE5325" w:rsidP="00AA6349">
      <w:pPr>
        <w:pStyle w:val="BodyText"/>
        <w:spacing w:after="0"/>
        <w:rPr>
          <w:rFonts w:ascii="Times New Roman" w:eastAsiaTheme="minorEastAsia" w:hAnsi="Times New Roman"/>
          <w:szCs w:val="20"/>
          <w:lang w:eastAsia="ko-KR"/>
        </w:rPr>
      </w:pPr>
    </w:p>
    <w:p w14:paraId="22888C69" w14:textId="77777777" w:rsidR="00B510BF" w:rsidRDefault="00B510BF" w:rsidP="00AA6349">
      <w:pPr>
        <w:pStyle w:val="BodyText"/>
        <w:spacing w:after="0"/>
        <w:rPr>
          <w:rFonts w:ascii="Times New Roman" w:eastAsiaTheme="minorEastAsia" w:hAnsi="Times New Roman"/>
          <w:szCs w:val="20"/>
          <w:lang w:eastAsia="ko-KR"/>
        </w:rPr>
      </w:pPr>
    </w:p>
    <w:p w14:paraId="08BE4BDE" w14:textId="01862C82" w:rsidR="00441F3B" w:rsidRPr="00031682" w:rsidRDefault="00441F3B" w:rsidP="00441F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TableGrid"/>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[1] Huawei, HiSilicon</w:t>
            </w:r>
          </w:p>
        </w:tc>
        <w:tc>
          <w:tcPr>
            <w:tcW w:w="8730" w:type="dxa"/>
            <w:vAlign w:val="center"/>
          </w:tcPr>
          <w:p w14:paraId="1A1A785C" w14:textId="77777777" w:rsidR="009C4F86" w:rsidRPr="00407C5F" w:rsidRDefault="009C4F86" w:rsidP="00407C5F">
            <w:pPr>
              <w:pStyle w:val="Caption"/>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2"/>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ListParagraph"/>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ListParagraph"/>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rsidRPr="00F7488F">
              <w:t>GHz, and</w:t>
            </w:r>
            <w:proofErr w:type="gramEnd"/>
            <w:r w:rsidRPr="00F7488F">
              <w:t xml:space="preserve">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lastRenderedPageBreak/>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UMi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Caption"/>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r w:rsidRPr="00FB192D">
                    <w:t>UMi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r w:rsidRPr="00FB192D">
                    <w:t>UMi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Caption"/>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BodyText"/>
        <w:spacing w:after="0"/>
        <w:rPr>
          <w:rFonts w:ascii="Times New Roman" w:eastAsiaTheme="minorEastAsia" w:hAnsi="Times New Roman"/>
          <w:szCs w:val="20"/>
          <w:lang w:eastAsia="ko-KR"/>
        </w:rPr>
      </w:pPr>
    </w:p>
    <w:p w14:paraId="0E0945FE" w14:textId="77777777" w:rsidR="00441F3B" w:rsidRDefault="00441F3B" w:rsidP="00AA6349">
      <w:pPr>
        <w:pStyle w:val="BodyText"/>
        <w:spacing w:after="0"/>
        <w:rPr>
          <w:rFonts w:ascii="Times New Roman" w:eastAsiaTheme="minorEastAsia" w:hAnsi="Times New Roman"/>
          <w:szCs w:val="20"/>
          <w:lang w:eastAsia="ko-KR"/>
        </w:rPr>
      </w:pPr>
    </w:p>
    <w:p w14:paraId="500D974B" w14:textId="1871DA5A" w:rsidR="00D16955" w:rsidRPr="00095EC2" w:rsidRDefault="00D16955" w:rsidP="00095EC2">
      <w:pPr>
        <w:pStyle w:val="Heading4"/>
        <w:rPr>
          <w:rFonts w:eastAsia="SimSun"/>
          <w:lang w:eastAsia="zh-CN"/>
        </w:rPr>
      </w:pPr>
      <w:r w:rsidRPr="00FE11E4">
        <w:rPr>
          <w:rFonts w:eastAsia="SimSun"/>
          <w:lang w:eastAsia="zh-CN"/>
        </w:rPr>
        <w:t>Summary of Issues</w:t>
      </w:r>
    </w:p>
    <w:p w14:paraId="1B1F8426" w14:textId="2BC2B4CB" w:rsidR="00874087" w:rsidRDefault="00117284" w:rsidP="00874087">
      <w:pPr>
        <w:pStyle w:val="BodyText"/>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UMi LOS (Keysight)</w:t>
      </w:r>
    </w:p>
    <w:p w14:paraId="15E04384" w14:textId="62FFBB45" w:rsidR="00117284" w:rsidRPr="005419F6" w:rsidRDefault="00117284" w:rsidP="005419F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BodyText"/>
        <w:spacing w:after="0"/>
        <w:rPr>
          <w:rFonts w:ascii="Times New Roman" w:eastAsiaTheme="minorEastAsia" w:hAnsi="Times New Roman"/>
          <w:szCs w:val="20"/>
          <w:lang w:eastAsia="ko-KR"/>
        </w:rPr>
      </w:pPr>
    </w:p>
    <w:p w14:paraId="0381560F" w14:textId="2BD71E6D" w:rsidR="002D3E68" w:rsidRDefault="00117284" w:rsidP="008740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1AA0DC72" w14:textId="17BC3DA2"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BodyText"/>
        <w:spacing w:after="0"/>
        <w:rPr>
          <w:rFonts w:ascii="Times New Roman" w:eastAsiaTheme="minorEastAsia" w:hAnsi="Times New Roman"/>
          <w:szCs w:val="20"/>
          <w:lang w:eastAsia="ko-KR"/>
        </w:rPr>
      </w:pPr>
    </w:p>
    <w:p w14:paraId="0F7BCACB" w14:textId="77777777" w:rsidR="00874087" w:rsidRDefault="00874087" w:rsidP="00AA6349">
      <w:pPr>
        <w:pStyle w:val="BodyText"/>
        <w:spacing w:after="0"/>
        <w:rPr>
          <w:rFonts w:ascii="Times New Roman" w:eastAsiaTheme="minorEastAsia" w:hAnsi="Times New Roman"/>
          <w:szCs w:val="20"/>
          <w:lang w:eastAsia="ko-KR"/>
        </w:rPr>
      </w:pPr>
    </w:p>
    <w:p w14:paraId="2A228FF6" w14:textId="6FFAFE14" w:rsidR="002451AD" w:rsidRDefault="002451AD" w:rsidP="002451AD">
      <w:pPr>
        <w:pStyle w:val="Heading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B53BB17" w14:textId="58523FF8" w:rsidR="002451AD" w:rsidRPr="00B510BF"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63D1D3A" w14:textId="5F29B4CC"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3D6D0B" w14:textId="77777777" w:rsidR="00184798" w:rsidRPr="005419F6"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5695EFA6"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BodyText"/>
        <w:spacing w:after="0"/>
        <w:rPr>
          <w:rFonts w:ascii="Times New Roman" w:eastAsiaTheme="minorEastAsia" w:hAnsi="Times New Roman"/>
          <w:szCs w:val="20"/>
          <w:lang w:eastAsia="ko-KR"/>
        </w:rPr>
      </w:pPr>
    </w:p>
    <w:p w14:paraId="52482B8C" w14:textId="77777777" w:rsidR="00EE5325" w:rsidRDefault="00EE5325" w:rsidP="00EE5325">
      <w:pPr>
        <w:pStyle w:val="Heading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8B274B7" w14:textId="68A0D18D" w:rsidR="00EF3BC0" w:rsidRDefault="00EF3BC0" w:rsidP="00EF3BC0">
            <w:pPr>
              <w:pStyle w:val="BodyText"/>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18D206A" w14:textId="2ADAF142" w:rsidR="003B779A"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982F81" w14:paraId="04B2398A" w14:textId="77777777" w:rsidTr="00DD5094">
        <w:tc>
          <w:tcPr>
            <w:tcW w:w="1795" w:type="dxa"/>
          </w:tcPr>
          <w:p w14:paraId="0200253F" w14:textId="337CF748" w:rsidR="00982F81" w:rsidRDefault="00982F8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A4094AE" w14:textId="77777777" w:rsidR="00982F81" w:rsidRDefault="00982F81" w:rsidP="00982F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w:t>
            </w:r>
            <w:r w:rsidRPr="00956C04">
              <w:rPr>
                <w:rFonts w:ascii="Times New Roman" w:eastAsiaTheme="minorEastAsia" w:hAnsi="Times New Roman"/>
                <w:szCs w:val="20"/>
                <w:lang w:eastAsia="ko-KR"/>
              </w:rPr>
              <w:t>R1-2402613</w:t>
            </w:r>
            <w:r>
              <w:rPr>
                <w:rFonts w:ascii="Times New Roman" w:eastAsiaTheme="minorEastAsia" w:hAnsi="Times New Roman"/>
                <w:szCs w:val="20"/>
                <w:lang w:eastAsia="ko-KR"/>
              </w:rPr>
              <w:t xml:space="preserve"> we performed measurements and concluded that the delay spread in UMa LOS/NLOS/O2I was not in need of an update. </w:t>
            </w:r>
          </w:p>
          <w:p w14:paraId="5AA19A88" w14:textId="2A94B4A6" w:rsidR="00982F81" w:rsidRDefault="00982F81" w:rsidP="00982F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bl>
    <w:p w14:paraId="5D582455" w14:textId="77777777" w:rsidR="00EE5325" w:rsidRDefault="00EE5325" w:rsidP="00EE5325">
      <w:pPr>
        <w:pStyle w:val="BodyText"/>
        <w:spacing w:after="0"/>
        <w:rPr>
          <w:rFonts w:ascii="Times New Roman" w:eastAsiaTheme="minorEastAsia" w:hAnsi="Times New Roman"/>
          <w:szCs w:val="20"/>
          <w:lang w:eastAsia="ko-KR"/>
        </w:rPr>
      </w:pPr>
    </w:p>
    <w:p w14:paraId="76B67F8D" w14:textId="77777777" w:rsidR="00EE5325" w:rsidRDefault="00EE5325" w:rsidP="00AA6349">
      <w:pPr>
        <w:pStyle w:val="BodyText"/>
        <w:spacing w:after="0"/>
        <w:rPr>
          <w:rFonts w:ascii="Times New Roman" w:eastAsiaTheme="minorEastAsia" w:hAnsi="Times New Roman"/>
          <w:szCs w:val="20"/>
          <w:lang w:eastAsia="ko-KR"/>
        </w:rPr>
      </w:pPr>
    </w:p>
    <w:p w14:paraId="7645EFA0" w14:textId="77777777" w:rsidR="005419F6" w:rsidRDefault="005419F6" w:rsidP="00AA6349">
      <w:pPr>
        <w:pStyle w:val="BodyText"/>
        <w:spacing w:after="0"/>
        <w:rPr>
          <w:rFonts w:ascii="Times New Roman" w:eastAsiaTheme="minorEastAsia" w:hAnsi="Times New Roman"/>
          <w:szCs w:val="20"/>
          <w:lang w:eastAsia="ko-KR"/>
        </w:rPr>
      </w:pPr>
    </w:p>
    <w:p w14:paraId="072D42FF" w14:textId="4FC940DA"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TableGrid"/>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[1] Huawei, HiSilicon</w:t>
            </w:r>
          </w:p>
        </w:tc>
        <w:tc>
          <w:tcPr>
            <w:tcW w:w="8682" w:type="dxa"/>
            <w:vAlign w:val="center"/>
          </w:tcPr>
          <w:p w14:paraId="72EF15A5" w14:textId="77777777" w:rsidR="009C4F86" w:rsidRPr="00FB192D" w:rsidRDefault="009C4F86" w:rsidP="00FB192D">
            <w:pPr>
              <w:pStyle w:val="Caption"/>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2"/>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
                <w:i/>
                <w:szCs w:val="20"/>
              </w:rPr>
            </w:pPr>
            <w:r w:rsidRPr="00FB192D">
              <w:rPr>
                <w:bCs/>
                <w:iCs/>
                <w:szCs w:val="20"/>
              </w:rPr>
              <w:t>AoA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r w:rsidRPr="00FB192D">
                    <w:t>UMi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r w:rsidRPr="00FB192D">
                    <w:t>UMi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UMi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Caption"/>
              <w:spacing w:before="0" w:after="0" w:line="240" w:lineRule="auto"/>
              <w:rPr>
                <w:b w:val="0"/>
                <w:bCs w:val="0"/>
                <w:sz w:val="20"/>
                <w:szCs w:val="20"/>
                <w:lang w:val="en-GB"/>
              </w:rPr>
            </w:pPr>
            <w:bookmarkStart w:id="14" w:name="_Ref171516694"/>
            <w:r w:rsidRPr="00FB192D">
              <w:rPr>
                <w:b w:val="0"/>
                <w:bCs w:val="0"/>
                <w:sz w:val="20"/>
                <w:szCs w:val="20"/>
                <w:lang w:val="en-GB"/>
              </w:rPr>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r w:rsidRPr="00FB192D">
                    <w:t>UMi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r w:rsidRPr="00FB192D">
                    <w:t>UMi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r w:rsidRPr="00FB192D">
                    <w:t>UMi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r w:rsidRPr="00FB192D">
                    <w:t>UMi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lastRenderedPageBreak/>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Caption"/>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Slight difference compared to mean and standard deviation of ASD for UMi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Significant difference compared to mean and standard deviation of ASA for UMi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RAN1 discuss whether the updates of azimuth spread of departure/arrival angles in UMi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Caption"/>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r>
                  <w:r w:rsidR="00D67607"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19.65pt;mso-width-percent:0;mso-height-percent:0;mso-width-percent:0;mso-height-percent:0" o:ole="">
                        <v:imagedata r:id="rId15" o:title=""/>
                      </v:shape>
                      <o:OLEObject Type="Embed" ProgID="Equation.3" ShapeID="_x0000_i1025" DrawAspect="Content" ObjectID="_1785527512"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Caption"/>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TableGrid"/>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r w:rsidRPr="00FB192D">
                    <w:t>log(Delay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r w:rsidRPr="00FB192D">
                    <w:t>log(ASA/1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r w:rsidRPr="00FB192D">
                    <w:t>log(ZSA/1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BodyText"/>
        <w:spacing w:after="0"/>
        <w:rPr>
          <w:rFonts w:ascii="Times New Roman" w:eastAsiaTheme="minorEastAsia" w:hAnsi="Times New Roman"/>
          <w:szCs w:val="20"/>
          <w:lang w:eastAsia="ko-KR"/>
        </w:rPr>
      </w:pPr>
    </w:p>
    <w:p w14:paraId="60C13905" w14:textId="77777777" w:rsidR="00441F3B" w:rsidRDefault="00441F3B" w:rsidP="00AA6349">
      <w:pPr>
        <w:pStyle w:val="BodyText"/>
        <w:spacing w:after="0"/>
        <w:rPr>
          <w:rFonts w:ascii="Times New Roman" w:eastAsiaTheme="minorEastAsia" w:hAnsi="Times New Roman"/>
          <w:szCs w:val="20"/>
          <w:lang w:eastAsia="ko-KR"/>
        </w:rPr>
      </w:pPr>
    </w:p>
    <w:p w14:paraId="1218956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6678034C" w14:textId="52219F9A" w:rsidR="004E7F26" w:rsidRDefault="004E7F26" w:rsidP="004E7F26">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3134B488" w14:textId="3C4815E1" w:rsidR="00FF13DA" w:rsidRDefault="00FF13DA" w:rsidP="00FF13DA">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BodyText"/>
        <w:spacing w:after="0"/>
        <w:rPr>
          <w:rFonts w:ascii="Times New Roman" w:eastAsiaTheme="minorEastAsia" w:hAnsi="Times New Roman"/>
          <w:szCs w:val="20"/>
          <w:lang w:eastAsia="ko-KR"/>
        </w:rPr>
      </w:pPr>
    </w:p>
    <w:p w14:paraId="36986A83" w14:textId="77777777" w:rsidR="004E7F26" w:rsidRDefault="004E7F26" w:rsidP="004E7F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8C755C1" w14:textId="713E174C" w:rsidR="004E7F26" w:rsidRDefault="004E7F26" w:rsidP="004E7F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EB06D9F" w14:textId="73ED1218"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BodyText"/>
        <w:spacing w:after="0"/>
        <w:rPr>
          <w:rFonts w:ascii="Times New Roman" w:eastAsiaTheme="minorEastAsia" w:hAnsi="Times New Roman"/>
          <w:szCs w:val="20"/>
          <w:lang w:eastAsia="ko-KR"/>
        </w:rPr>
      </w:pPr>
    </w:p>
    <w:p w14:paraId="3E3B6775" w14:textId="77777777" w:rsidR="00EE5325" w:rsidRDefault="00EE5325" w:rsidP="00EE5325">
      <w:pPr>
        <w:pStyle w:val="Heading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413F56D" w14:textId="3E3D0164" w:rsidR="00EF3BC0" w:rsidRPr="00EF3BC0"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EA2358" w14:paraId="6DBB6022" w14:textId="77777777" w:rsidTr="00DD5094">
        <w:tc>
          <w:tcPr>
            <w:tcW w:w="1795" w:type="dxa"/>
          </w:tcPr>
          <w:p w14:paraId="0F295365" w14:textId="090CE4D1" w:rsidR="00EA2358" w:rsidRDefault="00EA2358"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F710436" w14:textId="4EB2D6C7" w:rsidR="00EA2358" w:rsidRPr="00EF3BC0" w:rsidRDefault="00EA2358" w:rsidP="00EF3B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bl>
    <w:p w14:paraId="719AE496" w14:textId="77777777" w:rsidR="00EE5325" w:rsidRDefault="00EE5325" w:rsidP="00EE5325">
      <w:pPr>
        <w:pStyle w:val="BodyText"/>
        <w:spacing w:after="0"/>
        <w:rPr>
          <w:rFonts w:ascii="Times New Roman" w:eastAsiaTheme="minorEastAsia" w:hAnsi="Times New Roman"/>
          <w:szCs w:val="20"/>
          <w:lang w:eastAsia="ko-KR"/>
        </w:rPr>
      </w:pPr>
    </w:p>
    <w:p w14:paraId="1258ED5A" w14:textId="77777777" w:rsidR="00EE5325" w:rsidRDefault="00EE5325" w:rsidP="00AA6349">
      <w:pPr>
        <w:pStyle w:val="BodyText"/>
        <w:spacing w:after="0"/>
        <w:rPr>
          <w:rFonts w:ascii="Times New Roman" w:eastAsiaTheme="minorEastAsia" w:hAnsi="Times New Roman"/>
          <w:szCs w:val="20"/>
          <w:lang w:eastAsia="ko-KR"/>
        </w:rPr>
      </w:pPr>
    </w:p>
    <w:p w14:paraId="396DA40D" w14:textId="77777777" w:rsidR="00EE5325" w:rsidRDefault="00EE5325" w:rsidP="00AA6349">
      <w:pPr>
        <w:pStyle w:val="BodyText"/>
        <w:spacing w:after="0"/>
        <w:rPr>
          <w:rFonts w:ascii="Times New Roman" w:eastAsiaTheme="minorEastAsia" w:hAnsi="Times New Roman"/>
          <w:szCs w:val="20"/>
          <w:lang w:eastAsia="ko-KR"/>
        </w:rPr>
      </w:pPr>
    </w:p>
    <w:p w14:paraId="0211BF62" w14:textId="3401FE34"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TableGrid"/>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[1] Huawei, HiSilicon</w:t>
            </w:r>
          </w:p>
        </w:tc>
        <w:tc>
          <w:tcPr>
            <w:tcW w:w="8238" w:type="dxa"/>
            <w:vAlign w:val="center"/>
          </w:tcPr>
          <w:p w14:paraId="2B6B710C" w14:textId="77777777" w:rsidR="009C4F86" w:rsidRPr="00F7488F" w:rsidRDefault="009C4F86" w:rsidP="00F7488F">
            <w:pPr>
              <w:pStyle w:val="Caption"/>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2"/>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Caption"/>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lastRenderedPageBreak/>
              <w:t xml:space="preserve">Table </w:t>
            </w:r>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r w:rsidRPr="00FB192D">
                    <w:t>UMi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Caption"/>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lastRenderedPageBreak/>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BodyText"/>
        <w:spacing w:after="0"/>
        <w:rPr>
          <w:rFonts w:ascii="Times New Roman" w:eastAsiaTheme="minorEastAsia" w:hAnsi="Times New Roman"/>
          <w:szCs w:val="20"/>
          <w:lang w:eastAsia="ko-KR"/>
        </w:rPr>
      </w:pPr>
    </w:p>
    <w:p w14:paraId="33E09397" w14:textId="77777777" w:rsidR="00A46C7E" w:rsidRDefault="00A46C7E" w:rsidP="00AA6349">
      <w:pPr>
        <w:pStyle w:val="BodyText"/>
        <w:spacing w:after="0"/>
        <w:rPr>
          <w:rFonts w:ascii="Times New Roman" w:eastAsiaTheme="minorEastAsia" w:hAnsi="Times New Roman"/>
          <w:szCs w:val="20"/>
          <w:lang w:eastAsia="ko-KR"/>
        </w:rPr>
      </w:pPr>
    </w:p>
    <w:p w14:paraId="5AEE05A8"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4187E4FF" w14:textId="2BF3041A" w:rsidR="00733AC0" w:rsidRDefault="00733AC0" w:rsidP="00733AC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Pr="00D67607" w:rsidRDefault="004C254E" w:rsidP="004C254E">
      <w:pPr>
        <w:pStyle w:val="BodyText"/>
        <w:numPr>
          <w:ilvl w:val="0"/>
          <w:numId w:val="12"/>
        </w:numPr>
        <w:spacing w:after="0"/>
        <w:rPr>
          <w:rFonts w:ascii="Times New Roman" w:eastAsiaTheme="minorEastAsia" w:hAnsi="Times New Roman"/>
          <w:szCs w:val="20"/>
          <w:lang w:val="sv-SE" w:eastAsia="ko-KR"/>
        </w:rPr>
      </w:pPr>
      <w:r w:rsidRPr="00D67607">
        <w:rPr>
          <w:rFonts w:ascii="Times New Roman" w:eastAsiaTheme="minorEastAsia" w:hAnsi="Times New Roman"/>
          <w:szCs w:val="20"/>
          <w:lang w:val="sv-SE" w:eastAsia="ko-KR"/>
        </w:rPr>
        <w:t>UMa LOS/NLOS (BUPT/Spark NZ)</w:t>
      </w:r>
    </w:p>
    <w:p w14:paraId="5881B99F" w14:textId="6D5CBB2A"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BodyText"/>
        <w:spacing w:after="0"/>
        <w:rPr>
          <w:rFonts w:ascii="Times New Roman" w:eastAsiaTheme="minorEastAsia" w:hAnsi="Times New Roman"/>
          <w:szCs w:val="20"/>
          <w:lang w:eastAsia="ko-KR"/>
        </w:rPr>
      </w:pPr>
    </w:p>
    <w:p w14:paraId="059DFAE7" w14:textId="6BC3BB99" w:rsidR="00733AC0" w:rsidRDefault="004C254E" w:rsidP="00733A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BodyText"/>
        <w:spacing w:after="0"/>
        <w:rPr>
          <w:rFonts w:ascii="Times New Roman" w:eastAsiaTheme="minorEastAsia" w:hAnsi="Times New Roman"/>
          <w:szCs w:val="20"/>
          <w:lang w:eastAsia="ko-KR"/>
        </w:rPr>
      </w:pPr>
    </w:p>
    <w:p w14:paraId="29C0B0A1" w14:textId="139DDF47" w:rsidR="00733AC0" w:rsidRDefault="00733AC0" w:rsidP="00733AC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449F4A1" w14:textId="0E8EEAE8" w:rsidR="00332253" w:rsidRPr="00733AC0" w:rsidRDefault="00733AC0" w:rsidP="00C92882">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E7BBA6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BodyText"/>
        <w:spacing w:after="0"/>
        <w:rPr>
          <w:rFonts w:ascii="Times New Roman" w:eastAsiaTheme="minorEastAsia" w:hAnsi="Times New Roman"/>
          <w:szCs w:val="20"/>
          <w:lang w:eastAsia="ko-KR"/>
        </w:rPr>
      </w:pPr>
    </w:p>
    <w:p w14:paraId="41D5FAED" w14:textId="77777777" w:rsidR="004C254E" w:rsidRDefault="004C254E" w:rsidP="00AA6349">
      <w:pPr>
        <w:pStyle w:val="BodyText"/>
        <w:spacing w:after="0"/>
        <w:rPr>
          <w:rFonts w:ascii="Times New Roman" w:eastAsiaTheme="minorEastAsia" w:hAnsi="Times New Roman"/>
          <w:szCs w:val="20"/>
          <w:lang w:eastAsia="ko-KR"/>
        </w:rPr>
      </w:pPr>
    </w:p>
    <w:p w14:paraId="492EB0F2" w14:textId="77777777" w:rsidR="00EE5325" w:rsidRDefault="00EE5325" w:rsidP="00EE5325">
      <w:pPr>
        <w:pStyle w:val="Heading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8D4CD3" w14:paraId="491FC115" w14:textId="77777777" w:rsidTr="00DD5094">
        <w:tc>
          <w:tcPr>
            <w:tcW w:w="1795" w:type="dxa"/>
          </w:tcPr>
          <w:p w14:paraId="499BBADA" w14:textId="663AD6D5" w:rsidR="008D4CD3" w:rsidRDefault="008D4CD3" w:rsidP="008D4C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5C2C63" w14:textId="096D8E1B" w:rsidR="008D4CD3" w:rsidRDefault="008D4CD3" w:rsidP="008D4C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bl>
    <w:p w14:paraId="623F2ADA" w14:textId="77777777" w:rsidR="00EE5325" w:rsidRDefault="00EE5325" w:rsidP="00EE5325">
      <w:pPr>
        <w:pStyle w:val="BodyText"/>
        <w:spacing w:after="0"/>
        <w:rPr>
          <w:rFonts w:ascii="Times New Roman" w:eastAsiaTheme="minorEastAsia" w:hAnsi="Times New Roman"/>
          <w:szCs w:val="20"/>
          <w:lang w:eastAsia="ko-KR"/>
        </w:rPr>
      </w:pPr>
    </w:p>
    <w:p w14:paraId="388C9F03" w14:textId="77777777" w:rsidR="00EE5325" w:rsidRDefault="00EE5325" w:rsidP="00AA6349">
      <w:pPr>
        <w:pStyle w:val="BodyText"/>
        <w:spacing w:after="0"/>
        <w:rPr>
          <w:rFonts w:ascii="Times New Roman" w:eastAsiaTheme="minorEastAsia" w:hAnsi="Times New Roman"/>
          <w:szCs w:val="20"/>
          <w:lang w:eastAsia="ko-KR"/>
        </w:rPr>
      </w:pPr>
    </w:p>
    <w:p w14:paraId="41B14847" w14:textId="77777777" w:rsidR="00EE5325" w:rsidRDefault="00EE5325" w:rsidP="00AA6349">
      <w:pPr>
        <w:pStyle w:val="BodyText"/>
        <w:spacing w:after="0"/>
        <w:rPr>
          <w:rFonts w:ascii="Times New Roman" w:eastAsiaTheme="minorEastAsia" w:hAnsi="Times New Roman"/>
          <w:szCs w:val="20"/>
          <w:lang w:eastAsia="ko-KR"/>
        </w:rPr>
      </w:pPr>
    </w:p>
    <w:p w14:paraId="52579C03" w14:textId="52AC52E1" w:rsidR="00BA3E78" w:rsidRPr="00031682" w:rsidRDefault="00BA3E78" w:rsidP="00BA3E78">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TableGrid"/>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BodyText"/>
        <w:spacing w:after="0"/>
        <w:rPr>
          <w:rFonts w:ascii="Times New Roman" w:eastAsiaTheme="minorEastAsia" w:hAnsi="Times New Roman"/>
          <w:szCs w:val="20"/>
          <w:lang w:eastAsia="ko-KR"/>
        </w:rPr>
      </w:pPr>
    </w:p>
    <w:p w14:paraId="0671AF1D" w14:textId="77777777" w:rsidR="00BA3E78" w:rsidRDefault="00BA3E78" w:rsidP="00AA6349">
      <w:pPr>
        <w:pStyle w:val="BodyText"/>
        <w:spacing w:after="0"/>
        <w:rPr>
          <w:rFonts w:ascii="Times New Roman" w:eastAsiaTheme="minorEastAsia" w:hAnsi="Times New Roman"/>
          <w:szCs w:val="20"/>
          <w:lang w:eastAsia="ko-KR"/>
        </w:rPr>
      </w:pPr>
    </w:p>
    <w:p w14:paraId="1C7345B4"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0160EE36" w14:textId="7E9F4E94" w:rsid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FB86EBC" w14:textId="77777777" w:rsidR="00184798" w:rsidRDefault="00184798" w:rsidP="00184798">
      <w:pPr>
        <w:pStyle w:val="BodyText"/>
        <w:spacing w:after="0"/>
        <w:rPr>
          <w:rFonts w:ascii="Times New Roman" w:eastAsiaTheme="minorEastAsia" w:hAnsi="Times New Roman"/>
          <w:szCs w:val="20"/>
          <w:lang w:eastAsia="ko-KR"/>
        </w:rPr>
      </w:pPr>
    </w:p>
    <w:p w14:paraId="517CFEC2" w14:textId="726869C6"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F81278" w14:textId="77777777" w:rsidR="005E1A72" w:rsidRDefault="005E1A72" w:rsidP="00AA6349">
      <w:pPr>
        <w:pStyle w:val="BodyText"/>
        <w:spacing w:after="0"/>
        <w:rPr>
          <w:rFonts w:ascii="Times New Roman" w:eastAsiaTheme="minorEastAsia" w:hAnsi="Times New Roman"/>
          <w:szCs w:val="20"/>
          <w:lang w:eastAsia="ko-KR"/>
        </w:rPr>
      </w:pPr>
    </w:p>
    <w:p w14:paraId="0B404EBB" w14:textId="77777777" w:rsidR="00EE5325" w:rsidRDefault="00EE5325" w:rsidP="00EE5325">
      <w:pPr>
        <w:pStyle w:val="Heading4"/>
        <w:rPr>
          <w:rFonts w:eastAsia="SimSun"/>
          <w:lang w:eastAsia="zh-CN"/>
        </w:rPr>
      </w:pPr>
      <w:r w:rsidRPr="00EE5325">
        <w:rPr>
          <w:rFonts w:eastAsia="SimSun"/>
          <w:lang w:eastAsia="zh-CN"/>
        </w:rPr>
        <w:lastRenderedPageBreak/>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F64A11" w14:paraId="56867660" w14:textId="77777777" w:rsidTr="00DD5094">
        <w:tc>
          <w:tcPr>
            <w:tcW w:w="1795" w:type="dxa"/>
          </w:tcPr>
          <w:p w14:paraId="647584C2" w14:textId="1B7199B6" w:rsidR="00F64A11" w:rsidRDefault="00F64A1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7304A9" w14:textId="43F8C687" w:rsidR="00F64A11" w:rsidRDefault="00F64A1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713A8D8E" w14:textId="77777777" w:rsidR="00EE5325" w:rsidRDefault="00EE5325" w:rsidP="00EE5325">
      <w:pPr>
        <w:pStyle w:val="BodyText"/>
        <w:spacing w:after="0"/>
        <w:rPr>
          <w:rFonts w:ascii="Times New Roman" w:eastAsiaTheme="minorEastAsia" w:hAnsi="Times New Roman"/>
          <w:szCs w:val="20"/>
          <w:lang w:eastAsia="ko-KR"/>
        </w:rPr>
      </w:pPr>
    </w:p>
    <w:p w14:paraId="121D5B32" w14:textId="77777777" w:rsidR="00EE5325" w:rsidRDefault="00EE5325" w:rsidP="00AA6349">
      <w:pPr>
        <w:pStyle w:val="BodyText"/>
        <w:spacing w:after="0"/>
        <w:rPr>
          <w:rFonts w:ascii="Times New Roman" w:eastAsiaTheme="minorEastAsia" w:hAnsi="Times New Roman"/>
          <w:szCs w:val="20"/>
          <w:lang w:eastAsia="ko-KR"/>
        </w:rPr>
      </w:pPr>
    </w:p>
    <w:p w14:paraId="5C78468B" w14:textId="36BA33CC" w:rsidR="005E1A72" w:rsidRPr="00031682" w:rsidRDefault="005E1A72" w:rsidP="005E1A72">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TableGrid"/>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D67607"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Norm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BodyText"/>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BodyText"/>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2F5A61"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m:t>
                                      </m:r>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m:t>
                                      </m:r>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2F5A61"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2F5A61"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m:t>
                                      </m:r>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t>[3] Interdigital</w:t>
            </w:r>
          </w:p>
        </w:tc>
        <w:tc>
          <w:tcPr>
            <w:tcW w:w="8501" w:type="dxa"/>
            <w:vAlign w:val="center"/>
          </w:tcPr>
          <w:p w14:paraId="231C2B0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lastRenderedPageBreak/>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lastRenderedPageBreak/>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Caption"/>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i.i.d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2F5A61"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2F5A61"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m:t>
                                  </m:r>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sidRPr="00BA284A">
              <w:rPr>
                <w:vertAlign w:val="superscript"/>
              </w:rPr>
              <w:t>th</w:t>
            </w:r>
            <w:r>
              <w:t xml:space="preserve"> percentile difference around 3 dB.</w:t>
            </w:r>
            <w:r w:rsidR="00DE49EB">
              <w:t xml:space="preserve"> P</w:t>
            </w:r>
            <w:proofErr w:type="spellStart"/>
            <w:r>
              <w:rPr>
                <w:lang w:val="en-GB"/>
              </w:rPr>
              <w:t>olarization</w:t>
            </w:r>
            <w:proofErr w:type="spellEnd"/>
            <w:r>
              <w:rPr>
                <w:lang w:val="en-GB"/>
              </w:rPr>
              <w:t xml:space="preserve">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BodyText"/>
        <w:spacing w:after="0"/>
        <w:rPr>
          <w:rFonts w:ascii="Times New Roman" w:eastAsiaTheme="minorEastAsia" w:hAnsi="Times New Roman"/>
          <w:szCs w:val="20"/>
          <w:lang w:eastAsia="ko-KR"/>
        </w:rPr>
      </w:pPr>
    </w:p>
    <w:p w14:paraId="3577376E" w14:textId="77777777" w:rsidR="005E1A72" w:rsidRDefault="005E1A72" w:rsidP="005E1A72">
      <w:pPr>
        <w:pStyle w:val="BodyText"/>
        <w:spacing w:after="0"/>
        <w:rPr>
          <w:rFonts w:ascii="Times New Roman" w:eastAsiaTheme="minorEastAsia" w:hAnsi="Times New Roman"/>
          <w:szCs w:val="20"/>
          <w:lang w:eastAsia="ko-KR"/>
        </w:rPr>
      </w:pPr>
    </w:p>
    <w:p w14:paraId="39964D34" w14:textId="77777777" w:rsidR="005E1A72" w:rsidRDefault="005E1A72" w:rsidP="005E1A72">
      <w:pPr>
        <w:pStyle w:val="BodyText"/>
        <w:spacing w:after="0"/>
        <w:rPr>
          <w:rFonts w:ascii="Times New Roman" w:eastAsiaTheme="minorEastAsia" w:hAnsi="Times New Roman"/>
          <w:szCs w:val="20"/>
          <w:lang w:eastAsia="ko-KR"/>
        </w:rPr>
      </w:pPr>
    </w:p>
    <w:p w14:paraId="561CA05A" w14:textId="77777777" w:rsidR="005E1A72" w:rsidRPr="00386933" w:rsidRDefault="005E1A72" w:rsidP="005E1A72">
      <w:pPr>
        <w:pStyle w:val="Heading4"/>
        <w:rPr>
          <w:rFonts w:eastAsia="SimSun"/>
          <w:lang w:eastAsia="zh-CN"/>
        </w:rPr>
      </w:pPr>
      <w:r w:rsidRPr="00FE11E4">
        <w:rPr>
          <w:rFonts w:eastAsia="SimSun"/>
          <w:lang w:eastAsia="zh-CN"/>
        </w:rPr>
        <w:t>Summary of Issues</w:t>
      </w:r>
    </w:p>
    <w:p w14:paraId="25E02470" w14:textId="653F4FF0"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BodyText"/>
        <w:spacing w:after="0"/>
        <w:rPr>
          <w:rFonts w:ascii="Times New Roman" w:eastAsiaTheme="minorEastAsia" w:hAnsi="Times New Roman"/>
          <w:szCs w:val="20"/>
          <w:lang w:eastAsia="ko-KR"/>
        </w:rPr>
      </w:pPr>
    </w:p>
    <w:p w14:paraId="19FFC115" w14:textId="49C38913"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ListParagraph"/>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ListParagraph"/>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2F5A61"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m:t>
                                </m:r>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m:t>
                                </m:r>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2F5A61"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2F5A61" w:rsidP="00593B25">
      <w:pPr>
        <w:pStyle w:val="BodyText"/>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m:t>
                                </m:r>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BodyText"/>
        <w:spacing w:after="0"/>
        <w:rPr>
          <w:lang w:val="fr-FR"/>
        </w:rPr>
      </w:pPr>
    </w:p>
    <w:p w14:paraId="0B4F4661" w14:textId="66345347" w:rsidR="00593B25" w:rsidRPr="00593B25" w:rsidRDefault="00593B25" w:rsidP="00593B25">
      <w:pPr>
        <w:pStyle w:val="ListParagraph"/>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2F5A61"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2F5A61"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2F5A61"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m:t>
                            </m:r>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BodyText"/>
        <w:spacing w:after="0"/>
        <w:rPr>
          <w:lang w:val="fr-FR"/>
        </w:rPr>
      </w:pPr>
    </w:p>
    <w:p w14:paraId="0AA135A7" w14:textId="77777777" w:rsidR="00593B25" w:rsidRPr="003B779A" w:rsidRDefault="00593B25" w:rsidP="00593B25">
      <w:pPr>
        <w:pStyle w:val="BodyText"/>
        <w:spacing w:after="0"/>
        <w:rPr>
          <w:lang w:val="fr-FR"/>
        </w:rPr>
      </w:pPr>
    </w:p>
    <w:p w14:paraId="6EA3DEC1" w14:textId="77777777" w:rsidR="00EE5325" w:rsidRDefault="00EE5325" w:rsidP="00EE5325">
      <w:pPr>
        <w:pStyle w:val="Heading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28FD5698" w:rsidR="00EE5325" w:rsidRDefault="003C642E" w:rsidP="003C642E">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995" w:type="dxa"/>
          </w:tcPr>
          <w:p w14:paraId="6E480983" w14:textId="1000F982"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583598" w14:paraId="6DE00E9A" w14:textId="77777777" w:rsidTr="00DD5094">
        <w:tc>
          <w:tcPr>
            <w:tcW w:w="1795" w:type="dxa"/>
          </w:tcPr>
          <w:p w14:paraId="406A19CA" w14:textId="0BCB905F" w:rsidR="00583598" w:rsidRDefault="00583598" w:rsidP="003C642E">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16C2BFB" w14:textId="58BB00C3" w:rsidR="00583598" w:rsidRDefault="00583598"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455FE21F" w14:textId="77777777" w:rsidR="00EE5325" w:rsidRDefault="00EE5325" w:rsidP="00EE5325">
      <w:pPr>
        <w:pStyle w:val="BodyText"/>
        <w:spacing w:after="0"/>
        <w:rPr>
          <w:rFonts w:ascii="Times New Roman" w:eastAsiaTheme="minorEastAsia" w:hAnsi="Times New Roman"/>
          <w:szCs w:val="20"/>
          <w:lang w:eastAsia="ko-KR"/>
        </w:rPr>
      </w:pPr>
    </w:p>
    <w:p w14:paraId="7B978F45" w14:textId="77777777" w:rsidR="00593B25" w:rsidRDefault="00593B25" w:rsidP="00593B25">
      <w:pPr>
        <w:pStyle w:val="BodyText"/>
        <w:spacing w:after="0"/>
        <w:rPr>
          <w:rFonts w:ascii="Times New Roman" w:eastAsiaTheme="minorEastAsia" w:hAnsi="Times New Roman"/>
          <w:szCs w:val="20"/>
          <w:lang w:eastAsia="ko-KR"/>
        </w:rPr>
      </w:pPr>
    </w:p>
    <w:p w14:paraId="3564948E" w14:textId="77777777" w:rsidR="00EE5325" w:rsidRDefault="00EE5325" w:rsidP="00593B25">
      <w:pPr>
        <w:pStyle w:val="BodyText"/>
        <w:spacing w:after="0"/>
        <w:rPr>
          <w:rFonts w:ascii="Times New Roman" w:eastAsiaTheme="minorEastAsia" w:hAnsi="Times New Roman"/>
          <w:szCs w:val="20"/>
          <w:lang w:eastAsia="ko-KR"/>
        </w:rPr>
      </w:pPr>
    </w:p>
    <w:p w14:paraId="407BF484" w14:textId="7D035CF9" w:rsidR="00C01D38" w:rsidRPr="00031682" w:rsidRDefault="00C01D38" w:rsidP="00C01D38">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TableGrid"/>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Norm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Caption"/>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r w:rsidRPr="00FB192D">
                    <w:t>UMi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Caption"/>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r w:rsidRPr="00DE49EB">
                    <w:t>UMi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r w:rsidRPr="00DE49EB">
                    <w:t>UMi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r w:rsidRPr="00DE49EB">
                    <w:t>UMi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r w:rsidRPr="00DE49EB">
                    <w:t>UMi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Caption"/>
              <w:spacing w:before="0" w:after="0" w:line="240" w:lineRule="auto"/>
              <w:rPr>
                <w:b w:val="0"/>
                <w:bCs w:val="0"/>
                <w:lang w:val="en-GB"/>
              </w:rPr>
            </w:pPr>
          </w:p>
          <w:p w14:paraId="3B99D726" w14:textId="77777777" w:rsidR="00C01D38" w:rsidRPr="00DE49EB" w:rsidRDefault="00C01D38" w:rsidP="0084318D">
            <w:pPr>
              <w:pStyle w:val="Caption"/>
              <w:spacing w:before="0" w:after="0" w:line="240" w:lineRule="auto"/>
              <w:rPr>
                <w:b w:val="0"/>
                <w:bCs w:val="0"/>
                <w:lang w:val="en-GB"/>
              </w:rPr>
            </w:pPr>
            <w:r w:rsidRPr="00DE49EB">
              <w:rPr>
                <w:b w:val="0"/>
                <w:bCs w:val="0"/>
                <w:lang w:val="en-GB"/>
              </w:rPr>
              <w:lastRenderedPageBreak/>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Norm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BodyText"/>
        <w:spacing w:after="0"/>
        <w:rPr>
          <w:rFonts w:ascii="Times New Roman" w:eastAsiaTheme="minorEastAsia" w:hAnsi="Times New Roman"/>
          <w:szCs w:val="20"/>
          <w:lang w:eastAsia="ko-KR"/>
        </w:rPr>
      </w:pPr>
    </w:p>
    <w:p w14:paraId="7080AECB" w14:textId="77777777" w:rsidR="00C01D38" w:rsidRDefault="00C01D38" w:rsidP="00C01D38">
      <w:pPr>
        <w:pStyle w:val="BodyText"/>
        <w:spacing w:after="0"/>
        <w:rPr>
          <w:rFonts w:ascii="Times New Roman" w:eastAsiaTheme="minorEastAsia" w:hAnsi="Times New Roman"/>
          <w:szCs w:val="20"/>
          <w:lang w:eastAsia="ko-KR"/>
        </w:rPr>
      </w:pPr>
    </w:p>
    <w:p w14:paraId="13BE8900" w14:textId="77777777" w:rsidR="00C01D38" w:rsidRDefault="00C01D38" w:rsidP="00C01D38">
      <w:pPr>
        <w:pStyle w:val="BodyText"/>
        <w:spacing w:after="0"/>
        <w:rPr>
          <w:rFonts w:ascii="Times New Roman" w:eastAsiaTheme="minorEastAsia" w:hAnsi="Times New Roman"/>
          <w:szCs w:val="20"/>
          <w:lang w:eastAsia="ko-KR"/>
        </w:rPr>
      </w:pPr>
    </w:p>
    <w:p w14:paraId="0F9A842B" w14:textId="77777777" w:rsidR="00C01D38" w:rsidRPr="00386933" w:rsidRDefault="00C01D38" w:rsidP="00C01D38">
      <w:pPr>
        <w:pStyle w:val="Heading4"/>
        <w:rPr>
          <w:rFonts w:eastAsia="SimSun"/>
          <w:lang w:eastAsia="zh-CN"/>
        </w:rPr>
      </w:pPr>
      <w:r w:rsidRPr="00FE11E4">
        <w:rPr>
          <w:rFonts w:eastAsia="SimSun"/>
          <w:lang w:eastAsia="zh-CN"/>
        </w:rPr>
        <w:t>Summary of Issues</w:t>
      </w:r>
    </w:p>
    <w:p w14:paraId="5D0B0FC9" w14:textId="417978FC"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BodyText"/>
        <w:spacing w:after="0"/>
        <w:rPr>
          <w:rFonts w:ascii="Times New Roman" w:eastAsiaTheme="minorEastAsia" w:hAnsi="Times New Roman"/>
          <w:szCs w:val="20"/>
          <w:lang w:eastAsia="ko-KR"/>
        </w:rPr>
      </w:pPr>
    </w:p>
    <w:p w14:paraId="0EAC3F08" w14:textId="5B4AEB8B" w:rsidR="000B1EB9" w:rsidRDefault="000B1EB9" w:rsidP="000B1EB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BodyText"/>
        <w:spacing w:after="0"/>
        <w:rPr>
          <w:rFonts w:ascii="Times New Roman" w:eastAsiaTheme="minorEastAsia" w:hAnsi="Times New Roman"/>
          <w:szCs w:val="20"/>
          <w:lang w:eastAsia="ko-KR"/>
        </w:rPr>
      </w:pPr>
    </w:p>
    <w:p w14:paraId="7ED6A174" w14:textId="2683CD40" w:rsidR="00184798" w:rsidRDefault="005C7935" w:rsidP="0018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BodyText"/>
        <w:spacing w:after="0"/>
        <w:rPr>
          <w:rFonts w:ascii="Times New Roman" w:eastAsiaTheme="minorEastAsia" w:hAnsi="Times New Roman"/>
          <w:szCs w:val="20"/>
          <w:lang w:eastAsia="ko-KR"/>
        </w:rPr>
      </w:pPr>
    </w:p>
    <w:p w14:paraId="0AFCDB86" w14:textId="6505AA31"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B9825B9"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6EC053E" w14:textId="321C2D46"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6B341300"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269534C7"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090C8EEC"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BodyText"/>
        <w:spacing w:after="0"/>
        <w:rPr>
          <w:rFonts w:ascii="Times New Roman" w:eastAsiaTheme="minorEastAsia" w:hAnsi="Times New Roman"/>
          <w:szCs w:val="20"/>
          <w:lang w:eastAsia="ko-KR"/>
        </w:rPr>
      </w:pPr>
    </w:p>
    <w:p w14:paraId="575A0ED9" w14:textId="77777777" w:rsidR="00EE5325" w:rsidRDefault="00EE5325" w:rsidP="00EE5325">
      <w:pPr>
        <w:pStyle w:val="Heading4"/>
        <w:rPr>
          <w:rFonts w:eastAsia="SimSun"/>
          <w:lang w:eastAsia="zh-CN"/>
        </w:rPr>
      </w:pPr>
      <w:r w:rsidRPr="00EE5325">
        <w:rPr>
          <w:rFonts w:eastAsia="SimSun"/>
          <w:lang w:eastAsia="zh-CN"/>
        </w:rPr>
        <w:lastRenderedPageBreak/>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59DE2B0" w14:textId="4E62047D"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2831D1" w14:paraId="31B5CA38" w14:textId="77777777" w:rsidTr="00DD5094">
        <w:tc>
          <w:tcPr>
            <w:tcW w:w="1795" w:type="dxa"/>
          </w:tcPr>
          <w:p w14:paraId="040168F9" w14:textId="6E3C95F2" w:rsidR="002831D1" w:rsidRDefault="002831D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24D96B" w14:textId="255161F9" w:rsidR="002831D1" w:rsidRDefault="002831D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bl>
    <w:p w14:paraId="23239A49" w14:textId="77777777" w:rsidR="00EE5325" w:rsidRDefault="00EE5325" w:rsidP="00EE5325">
      <w:pPr>
        <w:pStyle w:val="BodyText"/>
        <w:spacing w:after="0"/>
        <w:rPr>
          <w:rFonts w:ascii="Times New Roman" w:eastAsiaTheme="minorEastAsia" w:hAnsi="Times New Roman"/>
          <w:szCs w:val="20"/>
          <w:lang w:eastAsia="ko-KR"/>
        </w:rPr>
      </w:pPr>
    </w:p>
    <w:p w14:paraId="24C67778" w14:textId="77777777" w:rsidR="00EE5325" w:rsidRDefault="00EE5325" w:rsidP="00AA6349">
      <w:pPr>
        <w:pStyle w:val="BodyText"/>
        <w:spacing w:after="0"/>
        <w:rPr>
          <w:rFonts w:ascii="Times New Roman" w:eastAsiaTheme="minorEastAsia" w:hAnsi="Times New Roman"/>
          <w:szCs w:val="20"/>
          <w:lang w:eastAsia="ko-KR"/>
        </w:rPr>
      </w:pPr>
    </w:p>
    <w:p w14:paraId="32B7FC62" w14:textId="77777777" w:rsidR="00EE5325" w:rsidRDefault="00EE5325" w:rsidP="00AA6349">
      <w:pPr>
        <w:pStyle w:val="BodyText"/>
        <w:spacing w:after="0"/>
        <w:rPr>
          <w:rFonts w:ascii="Times New Roman" w:eastAsiaTheme="minorEastAsia" w:hAnsi="Times New Roman"/>
          <w:szCs w:val="20"/>
          <w:lang w:eastAsia="ko-KR"/>
        </w:rPr>
      </w:pPr>
    </w:p>
    <w:p w14:paraId="36D5D2E7" w14:textId="074CCDD0" w:rsidR="00FB5E57" w:rsidRPr="00031682" w:rsidRDefault="00FB5E57" w:rsidP="00FB5E57">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TableGrid"/>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r w:rsidRPr="00DE49EB">
                    <w:t>UMi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r w:rsidRPr="00DE49EB">
                    <w:t>UMi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r w:rsidRPr="00DE49EB">
                    <w:t>UMi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r w:rsidRPr="00DE49EB">
                    <w:t>UMi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Caption"/>
              <w:spacing w:before="0" w:after="0" w:line="240" w:lineRule="auto"/>
              <w:rPr>
                <w:b w:val="0"/>
                <w:bCs w:val="0"/>
                <w:lang w:val="en-GB"/>
              </w:rPr>
            </w:pPr>
            <w:bookmarkStart w:id="22" w:name="_Ref171516699"/>
          </w:p>
          <w:p w14:paraId="3DCAD9F0" w14:textId="6946D11E"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BodyText"/>
        <w:spacing w:after="0"/>
        <w:rPr>
          <w:rFonts w:ascii="Times New Roman" w:eastAsiaTheme="minorEastAsia" w:hAnsi="Times New Roman"/>
          <w:szCs w:val="20"/>
          <w:lang w:eastAsia="ko-KR"/>
        </w:rPr>
      </w:pPr>
    </w:p>
    <w:p w14:paraId="7B6240D3" w14:textId="77777777" w:rsidR="00FB5E57" w:rsidRDefault="00FB5E57" w:rsidP="00AA6349">
      <w:pPr>
        <w:pStyle w:val="BodyText"/>
        <w:spacing w:after="0"/>
        <w:rPr>
          <w:rFonts w:ascii="Times New Roman" w:eastAsiaTheme="minorEastAsia" w:hAnsi="Times New Roman"/>
          <w:szCs w:val="20"/>
          <w:lang w:eastAsia="ko-KR"/>
        </w:rPr>
      </w:pPr>
    </w:p>
    <w:p w14:paraId="43BCA369" w14:textId="77777777" w:rsidR="00FB5E57" w:rsidRDefault="00FB5E57" w:rsidP="00AA6349">
      <w:pPr>
        <w:pStyle w:val="BodyText"/>
        <w:spacing w:after="0"/>
        <w:rPr>
          <w:rFonts w:ascii="Times New Roman" w:eastAsiaTheme="minorEastAsia" w:hAnsi="Times New Roman"/>
          <w:szCs w:val="20"/>
          <w:lang w:eastAsia="ko-KR"/>
        </w:rPr>
      </w:pPr>
    </w:p>
    <w:p w14:paraId="6E0DDA8D" w14:textId="77777777" w:rsidR="000F0033" w:rsidRPr="00386933" w:rsidRDefault="000F0033" w:rsidP="00CC1A77">
      <w:pPr>
        <w:pStyle w:val="Heading4"/>
        <w:rPr>
          <w:rFonts w:eastAsia="SimSun"/>
          <w:lang w:eastAsia="zh-CN"/>
        </w:rPr>
      </w:pPr>
      <w:r w:rsidRPr="00FE11E4">
        <w:rPr>
          <w:rFonts w:eastAsia="SimSun"/>
          <w:lang w:eastAsia="zh-CN"/>
        </w:rPr>
        <w:t>Summary of Issues</w:t>
      </w:r>
    </w:p>
    <w:p w14:paraId="00F421B3" w14:textId="77777777" w:rsidR="00D84140" w:rsidRDefault="00D84140" w:rsidP="00D84140">
      <w:pPr>
        <w:pStyle w:val="BodyText"/>
        <w:spacing w:after="0"/>
        <w:rPr>
          <w:rFonts w:ascii="Times New Roman" w:eastAsiaTheme="minorEastAsia" w:hAnsi="Times New Roman"/>
          <w:szCs w:val="20"/>
          <w:lang w:eastAsia="ko-KR"/>
        </w:rPr>
      </w:pPr>
    </w:p>
    <w:p w14:paraId="30BD7964" w14:textId="327AEB67" w:rsidR="00D84140" w:rsidRDefault="00D84140" w:rsidP="00D8414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BodyText"/>
        <w:spacing w:after="0"/>
        <w:rPr>
          <w:rFonts w:ascii="Times New Roman" w:eastAsiaTheme="minorEastAsia" w:hAnsi="Times New Roman"/>
          <w:szCs w:val="20"/>
          <w:lang w:eastAsia="ko-KR"/>
        </w:rPr>
      </w:pPr>
    </w:p>
    <w:p w14:paraId="4C44ECC0" w14:textId="77777777" w:rsidR="00D84140" w:rsidRDefault="00D84140" w:rsidP="00D84140">
      <w:pPr>
        <w:pStyle w:val="BodyText"/>
        <w:spacing w:after="0"/>
        <w:rPr>
          <w:rFonts w:ascii="Times New Roman" w:eastAsiaTheme="minorEastAsia" w:hAnsi="Times New Roman"/>
          <w:szCs w:val="20"/>
          <w:lang w:eastAsia="ko-KR"/>
        </w:rPr>
      </w:pPr>
    </w:p>
    <w:p w14:paraId="0B3B645C" w14:textId="1046A45A"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864FA7" w14:textId="77777777" w:rsidR="00D84140" w:rsidRPr="00B510BF"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AAA7401" w14:textId="1295A398"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4F57D8B7"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BodyText"/>
        <w:spacing w:after="0"/>
        <w:rPr>
          <w:rFonts w:ascii="Times New Roman" w:eastAsiaTheme="minorEastAsia" w:hAnsi="Times New Roman"/>
          <w:szCs w:val="20"/>
          <w:lang w:val="en-GB" w:eastAsia="ko-KR"/>
        </w:rPr>
      </w:pPr>
    </w:p>
    <w:p w14:paraId="50832F44" w14:textId="77777777" w:rsidR="00EE5325" w:rsidRDefault="00EE5325" w:rsidP="00EE5325">
      <w:pPr>
        <w:pStyle w:val="Heading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10D092D" w14:textId="1FC48681"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7D9311F1" w14:textId="77777777" w:rsidR="00EE5325" w:rsidRDefault="00EE5325" w:rsidP="00EE5325">
      <w:pPr>
        <w:pStyle w:val="BodyText"/>
        <w:spacing w:after="0"/>
        <w:rPr>
          <w:rFonts w:ascii="Times New Roman" w:eastAsiaTheme="minorEastAsia" w:hAnsi="Times New Roman"/>
          <w:szCs w:val="20"/>
          <w:lang w:eastAsia="ko-KR"/>
        </w:rPr>
      </w:pPr>
    </w:p>
    <w:p w14:paraId="2B16F650" w14:textId="77777777" w:rsidR="00EE5325" w:rsidRDefault="00EE5325">
      <w:pPr>
        <w:pStyle w:val="BodyText"/>
        <w:spacing w:after="0"/>
        <w:rPr>
          <w:rFonts w:ascii="Times New Roman" w:eastAsiaTheme="minorEastAsia" w:hAnsi="Times New Roman"/>
          <w:szCs w:val="20"/>
          <w:lang w:val="en-GB" w:eastAsia="ko-KR"/>
        </w:rPr>
      </w:pPr>
    </w:p>
    <w:p w14:paraId="72F2325E" w14:textId="77777777" w:rsidR="00EE5325" w:rsidRDefault="00EE5325">
      <w:pPr>
        <w:pStyle w:val="BodyText"/>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TableGrid"/>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BodyText"/>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BodyText"/>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BodyText"/>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BodyText"/>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ListParagraph"/>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2F5A61"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desired</m:t>
                  </m:r>
                </m:sub>
              </m:sSub>
            </m:oMath>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2F5A61"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intermediate</m:t>
                  </m:r>
                </m:sub>
              </m:sSub>
              <m:r>
                <w:rPr>
                  <w:rFonts w:ascii="Cambria Math" w:hAnsi="Cambria Math"/>
                  <w:color w:val="FF0000"/>
                </w:rPr>
                <m:t>=</m:t>
              </m:r>
              <m:r>
                <w:rPr>
                  <w:rFonts w:ascii="Cambria Math" w:hAnsi="Cambria Math"/>
                  <w:color w:val="FF0000"/>
                  <w:lang w:eastAsia="ja-JP"/>
                </w:rPr>
                <m:t>ScalingFactor</m:t>
              </m:r>
              <m:r>
                <w:rPr>
                  <w:rFonts w:ascii="Cambria Math" w:hAnsi="Cambria Math"/>
                  <w:color w:val="FF0000"/>
                  <w:lang w:eastAsia="ja-JP"/>
                </w:rPr>
                <m:t>(</m:t>
              </m:r>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t>
                      </m:r>
                      <m:r>
                        <w:rPr>
                          <w:rFonts w:ascii="Cambria Math" w:hAnsi="Cambria Math"/>
                          <w:color w:val="FF0000"/>
                        </w:rPr>
                        <m:t>,</m:t>
                      </m:r>
                      <m:r>
                        <w:rPr>
                          <w:rFonts w:ascii="Cambria Math" w:hAnsi="Cambria Math"/>
                          <w:color w:val="FF0000"/>
                        </w:rPr>
                        <m:t>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rPr>
                        <m:t>,</m:t>
                      </m:r>
                      <m:r>
                        <w:rPr>
                          <w:rFonts w:ascii="Cambria Math" w:hAnsi="Cambria Math"/>
                          <w:color w:val="FF0000"/>
                        </w:rPr>
                        <m:t>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w:lastRenderedPageBreak/>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r w:rsidRPr="00DE49EB">
                    <w:t>UMi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r w:rsidRPr="00DE49EB">
                    <w:t>UMi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r w:rsidRPr="00DE49EB">
                    <w:t>UMi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r w:rsidRPr="00DE49EB">
                    <w:t>UMi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Caption"/>
              <w:spacing w:before="0" w:after="0" w:line="240" w:lineRule="auto"/>
              <w:rPr>
                <w:b w:val="0"/>
                <w:bCs w:val="0"/>
                <w:lang w:val="en-GB"/>
              </w:rPr>
            </w:pPr>
          </w:p>
          <w:p w14:paraId="5F7E065B"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2F5A61"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2F5A61"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intermediate</m:t>
                    </m:r>
                  </m:sub>
                </m:sSub>
                <m:r>
                  <w:rPr>
                    <w:rFonts w:ascii="Cambria Math" w:hAnsi="Cambria Math"/>
                    <w:lang w:val="en-GB"/>
                  </w:rPr>
                  <m:t>=</m:t>
                </m:r>
                <m:r>
                  <w:rPr>
                    <w:rFonts w:ascii="Cambria Math" w:hAnsi="Cambria Math"/>
                    <w:lang w:val="en-GB"/>
                  </w:rPr>
                  <m:t>s</m:t>
                </m:r>
                <m:r>
                  <w:rPr>
                    <w:rFonts w:ascii="Cambria Math" w:hAnsi="Cambria Math"/>
                    <w:lang w:val="en-GB"/>
                  </w:rPr>
                  <m:t>*</m:t>
                </m:r>
                <m:r>
                  <w:rPr>
                    <w:rFonts w:ascii="Cambria Math" w:hAnsi="Cambria Math"/>
                    <w:lang w:val="en-GB"/>
                  </w:rPr>
                  <m:t xml:space="preserve">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t>
                        </m:r>
                        <m:r>
                          <w:rPr>
                            <w:rFonts w:ascii="Cambria Math" w:hAnsi="Cambria Math"/>
                            <w:lang w:val="en-GB"/>
                          </w:rPr>
                          <m:t>,</m:t>
                        </m:r>
                        <m:r>
                          <w:rPr>
                            <w:rFonts w:ascii="Cambria Math" w:hAnsi="Cambria Math"/>
                            <w:lang w:val="en-GB"/>
                          </w:rPr>
                          <m:t>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t>
                        </m:r>
                        <m:r>
                          <w:rPr>
                            <w:rFonts w:ascii="Cambria Math" w:hAnsi="Cambria Math"/>
                            <w:lang w:val="en-GB"/>
                          </w:rPr>
                          <m:t>,</m:t>
                        </m:r>
                        <m:r>
                          <w:rPr>
                            <w:rFonts w:ascii="Cambria Math" w:hAnsi="Cambria Math"/>
                            <w:lang w:val="en-GB"/>
                          </w:rPr>
                          <m:t>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Norm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BodyText"/>
        <w:spacing w:after="0"/>
        <w:rPr>
          <w:rFonts w:ascii="Times New Roman" w:eastAsiaTheme="minorEastAsia" w:hAnsi="Times New Roman"/>
          <w:szCs w:val="20"/>
          <w:lang w:eastAsia="ko-KR"/>
        </w:rPr>
      </w:pPr>
    </w:p>
    <w:p w14:paraId="437964C3" w14:textId="77777777" w:rsidR="00D84140" w:rsidRDefault="00D84140" w:rsidP="00D84140">
      <w:pPr>
        <w:pStyle w:val="BodyText"/>
        <w:spacing w:after="0"/>
        <w:rPr>
          <w:rFonts w:ascii="Times New Roman" w:eastAsiaTheme="minorEastAsia" w:hAnsi="Times New Roman"/>
          <w:szCs w:val="20"/>
          <w:lang w:eastAsia="ko-KR"/>
        </w:rPr>
      </w:pPr>
    </w:p>
    <w:p w14:paraId="231B657B" w14:textId="77777777" w:rsidR="00D84140" w:rsidRDefault="00D84140" w:rsidP="00D84140">
      <w:pPr>
        <w:pStyle w:val="BodyText"/>
        <w:spacing w:after="0"/>
        <w:rPr>
          <w:rFonts w:ascii="Times New Roman" w:eastAsiaTheme="minorEastAsia" w:hAnsi="Times New Roman"/>
          <w:szCs w:val="20"/>
          <w:lang w:eastAsia="ko-KR"/>
        </w:rPr>
      </w:pPr>
    </w:p>
    <w:p w14:paraId="6D10F4F3" w14:textId="77777777" w:rsidR="00D84140" w:rsidRPr="00386933" w:rsidRDefault="00D84140" w:rsidP="00D84140">
      <w:pPr>
        <w:pStyle w:val="Heading4"/>
        <w:rPr>
          <w:rFonts w:eastAsia="SimSun"/>
          <w:lang w:eastAsia="zh-CN"/>
        </w:rPr>
      </w:pPr>
      <w:r w:rsidRPr="00FE11E4">
        <w:rPr>
          <w:rFonts w:eastAsia="SimSun"/>
          <w:lang w:eastAsia="zh-CN"/>
        </w:rPr>
        <w:t>Summary of Issues</w:t>
      </w:r>
    </w:p>
    <w:p w14:paraId="3E92033E" w14:textId="77777777" w:rsidR="00D84140" w:rsidRDefault="00D84140" w:rsidP="00D8414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Angle calculations for CDL channel model:</w:t>
      </w:r>
    </w:p>
    <w:p w14:paraId="62B88EB8" w14:textId="77777777" w:rsidR="00D84140" w:rsidRPr="005C7935" w:rsidRDefault="00D84140" w:rsidP="00D84140">
      <w:pPr>
        <w:pStyle w:val="BodyText"/>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BodyText"/>
        <w:spacing w:after="0"/>
        <w:rPr>
          <w:rFonts w:ascii="Times New Roman" w:eastAsiaTheme="minorEastAsia" w:hAnsi="Times New Roman"/>
          <w:szCs w:val="20"/>
          <w:lang w:eastAsia="ko-KR"/>
        </w:rPr>
      </w:pPr>
    </w:p>
    <w:p w14:paraId="3DF7CC93" w14:textId="77777777" w:rsidR="00D84140" w:rsidRDefault="00D84140" w:rsidP="00D84140">
      <w:pPr>
        <w:pStyle w:val="BodyText"/>
        <w:spacing w:after="0"/>
        <w:rPr>
          <w:rFonts w:ascii="Times New Roman" w:eastAsiaTheme="minorEastAsia" w:hAnsi="Times New Roman"/>
          <w:szCs w:val="20"/>
          <w:lang w:eastAsia="ko-KR"/>
        </w:rPr>
      </w:pPr>
    </w:p>
    <w:p w14:paraId="66700A6D" w14:textId="23388161"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2F5A61"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                  (7.7-5)</w:t>
      </w:r>
    </w:p>
    <w:p w14:paraId="03BB58D5"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2F5A61"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2F5A61"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2F5A61"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BodyText"/>
        <w:spacing w:after="0"/>
        <w:rPr>
          <w:rFonts w:ascii="Times New Roman" w:eastAsiaTheme="minorEastAsia" w:hAnsi="Times New Roman"/>
          <w:szCs w:val="20"/>
          <w:lang w:val="en-GB" w:eastAsia="ko-KR"/>
        </w:rPr>
      </w:pPr>
    </w:p>
    <w:p w14:paraId="3810B2D9" w14:textId="77777777" w:rsidR="00EE5325" w:rsidRDefault="00EE5325" w:rsidP="00EE5325">
      <w:pPr>
        <w:pStyle w:val="Heading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84767B" w14:textId="6AB840A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D3454" w14:paraId="33C896F5" w14:textId="77777777" w:rsidTr="00DD5094">
        <w:tc>
          <w:tcPr>
            <w:tcW w:w="1795" w:type="dxa"/>
          </w:tcPr>
          <w:p w14:paraId="171B1E94" w14:textId="4E238235" w:rsidR="008D3454" w:rsidRDefault="008D3454"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670E332" w14:textId="5771BB1C" w:rsidR="008D3454" w:rsidRDefault="008D3454"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w:t>
            </w:r>
            <w:r w:rsidR="001F44C8">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to </w:t>
            </w:r>
            <w:r w:rsidR="001F44C8">
              <w:rPr>
                <w:rFonts w:ascii="Times New Roman" w:eastAsiaTheme="minorEastAsia" w:hAnsi="Times New Roman"/>
                <w:szCs w:val="20"/>
                <w:lang w:eastAsia="ko-KR"/>
              </w:rPr>
              <w:t>further study</w:t>
            </w:r>
            <w:r w:rsidR="00E47218">
              <w:rPr>
                <w:rFonts w:ascii="Times New Roman" w:eastAsiaTheme="minorEastAsia" w:hAnsi="Times New Roman"/>
                <w:szCs w:val="20"/>
                <w:lang w:eastAsia="ko-KR"/>
              </w:rPr>
              <w:t>.</w:t>
            </w:r>
          </w:p>
        </w:tc>
      </w:tr>
    </w:tbl>
    <w:p w14:paraId="0435075A" w14:textId="77777777" w:rsidR="00EE5325" w:rsidRDefault="00EE5325" w:rsidP="00EE5325">
      <w:pPr>
        <w:pStyle w:val="BodyText"/>
        <w:spacing w:after="0"/>
        <w:rPr>
          <w:rFonts w:ascii="Times New Roman" w:eastAsiaTheme="minorEastAsia" w:hAnsi="Times New Roman"/>
          <w:szCs w:val="20"/>
          <w:lang w:eastAsia="ko-KR"/>
        </w:rPr>
      </w:pPr>
    </w:p>
    <w:p w14:paraId="229C826C" w14:textId="77777777" w:rsidR="00D84140" w:rsidRDefault="00D84140" w:rsidP="00D84140">
      <w:pPr>
        <w:pStyle w:val="BodyText"/>
        <w:spacing w:after="0"/>
        <w:rPr>
          <w:rFonts w:ascii="Times New Roman" w:eastAsiaTheme="minorEastAsia" w:hAnsi="Times New Roman"/>
          <w:szCs w:val="20"/>
          <w:lang w:eastAsia="ko-KR"/>
        </w:rPr>
      </w:pPr>
    </w:p>
    <w:p w14:paraId="6DAC9AE7" w14:textId="77777777" w:rsidR="00D84140" w:rsidRPr="00D84140" w:rsidRDefault="00D84140">
      <w:pPr>
        <w:pStyle w:val="BodyText"/>
        <w:spacing w:after="0"/>
        <w:rPr>
          <w:rFonts w:ascii="Times New Roman" w:eastAsiaTheme="minorEastAsia" w:hAnsi="Times New Roman"/>
          <w:szCs w:val="20"/>
          <w:lang w:val="en-GB" w:eastAsia="ko-KR"/>
        </w:rPr>
      </w:pPr>
    </w:p>
    <w:p w14:paraId="2902EF33" w14:textId="77777777" w:rsidR="00220244" w:rsidRDefault="00220244">
      <w:pPr>
        <w:pStyle w:val="BodyText"/>
        <w:spacing w:after="0"/>
        <w:rPr>
          <w:rFonts w:ascii="Times New Roman" w:eastAsiaTheme="minorEastAsia" w:hAnsi="Times New Roman"/>
          <w:szCs w:val="20"/>
          <w:lang w:eastAsia="ko-KR"/>
        </w:rPr>
      </w:pPr>
    </w:p>
    <w:p w14:paraId="5FB07C33" w14:textId="5D7A4715" w:rsidR="00220244" w:rsidRPr="00031682" w:rsidRDefault="00220244" w:rsidP="0022024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Discussions on SMa</w:t>
      </w:r>
    </w:p>
    <w:tbl>
      <w:tblPr>
        <w:tblStyle w:val="TableGrid"/>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ListParagraph"/>
              <w:widowControl w:val="0"/>
              <w:spacing w:before="0" w:line="240" w:lineRule="auto"/>
              <w:rPr>
                <w:rStyle w:val="CommentReference"/>
                <w:sz w:val="20"/>
                <w:szCs w:val="20"/>
                <w:lang w:eastAsia="zh-CN"/>
              </w:rPr>
            </w:pPr>
            <w:r w:rsidRPr="00F7488F">
              <w:rPr>
                <w:rStyle w:val="CommentReference"/>
                <w:rFonts w:hint="eastAsia"/>
                <w:b/>
                <w:bCs/>
                <w:sz w:val="20"/>
                <w:szCs w:val="20"/>
                <w:lang w:eastAsia="zh-CN"/>
              </w:rPr>
              <w:t xml:space="preserve">Observation </w:t>
            </w:r>
            <w:r w:rsidRPr="00F7488F">
              <w:rPr>
                <w:rStyle w:val="CommentReference"/>
                <w:b/>
                <w:bCs/>
                <w:sz w:val="20"/>
                <w:szCs w:val="20"/>
                <w:lang w:eastAsia="zh-CN"/>
              </w:rPr>
              <w:t>1</w:t>
            </w:r>
            <w:r w:rsidRPr="00F7488F">
              <w:rPr>
                <w:rStyle w:val="CommentReference"/>
                <w:rFonts w:hint="eastAsia"/>
                <w:b/>
                <w:bCs/>
                <w:sz w:val="20"/>
                <w:szCs w:val="20"/>
                <w:lang w:eastAsia="zh-CN"/>
              </w:rPr>
              <w:t>:</w:t>
            </w:r>
            <w:r w:rsidRPr="00F7488F">
              <w:rPr>
                <w:rStyle w:val="CommentReference"/>
                <w:rFonts w:hint="eastAsia"/>
                <w:sz w:val="20"/>
                <w:szCs w:val="20"/>
                <w:lang w:eastAsia="zh-CN"/>
              </w:rPr>
              <w:t xml:space="preserve"> </w:t>
            </w:r>
            <w:r w:rsidRPr="00F7488F">
              <w:rPr>
                <w:rStyle w:val="CommentReference"/>
                <w:sz w:val="20"/>
                <w:szCs w:val="20"/>
                <w:lang w:eastAsia="zh-CN"/>
              </w:rPr>
              <w:t>T</w:t>
            </w:r>
            <w:r w:rsidRPr="00F7488F">
              <w:rPr>
                <w:rStyle w:val="CommentReference"/>
                <w:rFonts w:hint="eastAsia"/>
                <w:sz w:val="20"/>
                <w:szCs w:val="20"/>
                <w:lang w:eastAsia="zh-CN"/>
              </w:rPr>
              <w:t xml:space="preserve">he </w:t>
            </w:r>
            <w:proofErr w:type="spellStart"/>
            <w:r w:rsidRPr="00F7488F">
              <w:rPr>
                <w:rStyle w:val="CommentReference"/>
                <w:rFonts w:hint="eastAsia"/>
                <w:sz w:val="20"/>
                <w:szCs w:val="20"/>
                <w:lang w:eastAsia="zh-CN"/>
              </w:rPr>
              <w:t>LoS</w:t>
            </w:r>
            <w:proofErr w:type="spellEnd"/>
            <w:r w:rsidRPr="00F7488F">
              <w:rPr>
                <w:rStyle w:val="CommentReference"/>
                <w:rFonts w:hint="eastAsia"/>
                <w:sz w:val="20"/>
                <w:szCs w:val="20"/>
                <w:lang w:eastAsia="zh-CN"/>
              </w:rPr>
              <w:t xml:space="preserve"> probability with</w:t>
            </w:r>
            <w:r w:rsidRPr="00F7488F">
              <w:rPr>
                <w:rStyle w:val="CommentReference"/>
                <w:sz w:val="20"/>
                <w:szCs w:val="20"/>
                <w:lang w:eastAsia="zh-CN"/>
              </w:rPr>
              <w:t xml:space="preserve"> </w:t>
            </w:r>
            <w:r w:rsidRPr="00F7488F">
              <w:rPr>
                <w:rStyle w:val="CommentReference"/>
                <w:rFonts w:hint="eastAsia"/>
                <w:sz w:val="20"/>
                <w:szCs w:val="20"/>
                <w:lang w:eastAsia="zh-CN"/>
              </w:rPr>
              <w:t>non-zero value</w:t>
            </w:r>
            <w:r w:rsidRPr="00F7488F">
              <w:rPr>
                <w:rStyle w:val="CommentReference"/>
                <w:sz w:val="20"/>
                <w:szCs w:val="20"/>
                <w:lang w:eastAsia="zh-CN"/>
              </w:rPr>
              <w:t xml:space="preserve"> in case of </w:t>
            </w:r>
            <w:r w:rsidRPr="00F7488F">
              <w:rPr>
                <w:rStyle w:val="CommentReference"/>
                <w:rFonts w:hint="eastAsia"/>
                <w:sz w:val="20"/>
                <w:szCs w:val="20"/>
                <w:lang w:eastAsia="zh-CN"/>
              </w:rPr>
              <w:t>large Tx-Rx distance (e.g., over 1000m)</w:t>
            </w:r>
            <w:r w:rsidRPr="00F7488F">
              <w:rPr>
                <w:rStyle w:val="CommentReference"/>
                <w:sz w:val="20"/>
                <w:szCs w:val="20"/>
                <w:lang w:eastAsia="zh-CN"/>
              </w:rPr>
              <w:t xml:space="preserve"> can be achieved for the scenario with </w:t>
            </w:r>
            <w:r w:rsidRPr="00F7488F">
              <w:rPr>
                <w:rStyle w:val="CommentReference"/>
                <w:rFonts w:hint="eastAsia"/>
                <w:sz w:val="20"/>
                <w:szCs w:val="20"/>
                <w:lang w:eastAsia="zh-CN"/>
              </w:rPr>
              <w:t>lower building density at the edge of the map and open areas in the distant region</w:t>
            </w:r>
            <w:r w:rsidRPr="00F7488F">
              <w:rPr>
                <w:rStyle w:val="CommentReference"/>
                <w:sz w:val="20"/>
                <w:szCs w:val="20"/>
                <w:lang w:eastAsia="zh-CN"/>
              </w:rPr>
              <w:t xml:space="preserve"> (e.g., as Map-1)</w:t>
            </w:r>
            <w:r w:rsidRPr="00F7488F">
              <w:rPr>
                <w:rStyle w:val="CommentReference"/>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The simulation results of SMa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he pathloss of SMa scenario can well match the pathloss model of UMa in TR 38.901.</w:t>
            </w:r>
          </w:p>
          <w:p w14:paraId="0D38E8A9" w14:textId="77777777" w:rsidR="000A0557" w:rsidRPr="00DD3D65" w:rsidRDefault="000A0557" w:rsidP="000A0557">
            <w:pPr>
              <w:spacing w:before="0" w:after="0" w:line="240" w:lineRule="auto"/>
              <w:rPr>
                <w:rStyle w:val="CommentReference"/>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CommentReference"/>
                <w:sz w:val="20"/>
                <w:szCs w:val="20"/>
                <w:lang w:eastAsia="zh-CN"/>
              </w:rPr>
              <w:t xml:space="preserve"> the following option</w:t>
            </w:r>
            <w:r w:rsidRPr="00DD3D65">
              <w:rPr>
                <w:rStyle w:val="CommentReference"/>
                <w:rFonts w:hint="eastAsia"/>
                <w:sz w:val="20"/>
                <w:szCs w:val="20"/>
                <w:lang w:eastAsia="zh-CN"/>
              </w:rPr>
              <w:t>s</w:t>
            </w:r>
            <w:r w:rsidRPr="00DD3D65">
              <w:rPr>
                <w:rStyle w:val="CommentReference"/>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ListParagraph"/>
              <w:numPr>
                <w:ilvl w:val="0"/>
                <w:numId w:val="30"/>
              </w:numPr>
              <w:suppressAutoHyphens w:val="0"/>
              <w:overflowPunct/>
              <w:snapToGrid w:val="0"/>
              <w:spacing w:before="0" w:line="240" w:lineRule="auto"/>
              <w:rPr>
                <w:szCs w:val="20"/>
                <w:lang w:eastAsia="zh-CN"/>
              </w:rPr>
            </w:pPr>
            <w:r w:rsidRPr="00DD3D65">
              <w:rPr>
                <w:szCs w:val="20"/>
                <w:lang w:eastAsia="zh-CN"/>
              </w:rPr>
              <w:lastRenderedPageBreak/>
              <w:t>Option-1: Define a sub-scenario for UMa with different assumption on building density</w:t>
            </w:r>
          </w:p>
          <w:p w14:paraId="0731806C" w14:textId="542C83AD" w:rsidR="000A0557" w:rsidRPr="000A0557" w:rsidRDefault="000A0557" w:rsidP="000A0557">
            <w:pPr>
              <w:pStyle w:val="ListParagraph"/>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Option-2: Define a new scenario, e.g., SMa.</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lastRenderedPageBreak/>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ListParagraph"/>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Caption"/>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NLOS path loss model for UMi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Further study needed on whether LOS path loss modelling for UMi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Caption"/>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Min BS - UT distance(2D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Caption"/>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SMa</w:t>
                  </w:r>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(SMa)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Caption"/>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r w:rsidRPr="00B815F7">
                    <w:rPr>
                      <w:rFonts w:ascii="Times New Roman" w:hAnsi="Times New Roman" w:cs="Times New Roman"/>
                      <w:sz w:val="20"/>
                      <w:szCs w:val="20"/>
                    </w:rPr>
                    <w:t>SMa</w:t>
                  </w:r>
                </w:p>
              </w:tc>
              <w:tc>
                <w:tcPr>
                  <w:tcW w:w="6853" w:type="dxa"/>
                </w:tcPr>
                <w:p w14:paraId="1F59313B" w14:textId="77777777" w:rsidR="00220244" w:rsidRPr="00B815F7" w:rsidRDefault="002F5A61"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m:t>
                                            </m:r>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BodyText"/>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(SMa) scenario.</w:t>
            </w:r>
            <w:bookmarkEnd w:id="30"/>
          </w:p>
          <w:p w14:paraId="3882D8D9" w14:textId="043F4151" w:rsidR="00D17400" w:rsidRPr="00B815F7" w:rsidRDefault="00D17400" w:rsidP="00D17400">
            <w:pPr>
              <w:spacing w:before="0" w:after="0" w:line="240" w:lineRule="auto"/>
            </w:pPr>
          </w:p>
        </w:tc>
      </w:tr>
      <w:tr w:rsidR="00220244" w:rsidRPr="00D67607"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BodyText"/>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90% buildings are residential buildings and 10% buildings are commercial buildings</w:t>
            </w:r>
          </w:p>
          <w:p w14:paraId="0180C683" w14:textId="0CC95014"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10 m</w:t>
            </w:r>
          </w:p>
          <w:p w14:paraId="2C96352E" w14:textId="77777777" w:rsidR="00220244" w:rsidRPr="00B815F7" w:rsidRDefault="00220244" w:rsidP="00B815F7">
            <w:pPr>
              <w:spacing w:before="0" w:after="0" w:line="240" w:lineRule="auto"/>
              <w:rPr>
                <w:bCs/>
                <w:lang w:val="fr-FR"/>
              </w:rPr>
            </w:pPr>
          </w:p>
        </w:tc>
      </w:tr>
      <w:tr w:rsidR="00220244" w:rsidRPr="00D67607"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UMi, UMa,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(SMa)deployment scenario that captures typical deployment scenarios outside of UMa and UMi</w:t>
            </w:r>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The following parameters are used as a starting point for defining an SMa channel model:</w:t>
            </w:r>
          </w:p>
          <w:p w14:paraId="59D899A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lastRenderedPageBreak/>
              <w:t>UT height: [1.5 or 4.5 m for residential buildings], [1.5/4.5/7.5/10.5/13.5 m for commercial buildings]</w:t>
            </w:r>
          </w:p>
          <w:p w14:paraId="6179B9F5"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zCs w:val="20"/>
                <w:lang w:val="fr-FR" w:eastAsia="ko-KR"/>
              </w:rPr>
              <w:t xml:space="preserve">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BodyText"/>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BodyText"/>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proofErr w:type="gramStart"/>
            <w:r w:rsidRPr="00B815F7">
              <w:rPr>
                <w:rFonts w:ascii="Times New Roman" w:eastAsia="DengXian" w:hAnsi="Times New Roman"/>
                <w:szCs w:val="20"/>
                <w:lang w:val="fr-FR" w:eastAsia="ko-KR"/>
              </w:rPr>
              <w:t>):</w:t>
            </w:r>
            <w:proofErr w:type="gramEnd"/>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SMa scenario in ITU-R M.2135-1 can be used with frequency extension up to 24 GHz</w:t>
            </w:r>
          </w:p>
          <w:p w14:paraId="3BA88BF9" w14:textId="48B50ADF" w:rsidR="00AD599F" w:rsidRPr="00B815F7" w:rsidRDefault="002F5A61"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SMa model for 7-24 GHz, with potential extension to sub-7 GHz frequencies using one of the two following options as a starting point:</w:t>
            </w:r>
          </w:p>
          <w:p w14:paraId="1C94643C" w14:textId="77777777" w:rsidR="00AD599F" w:rsidRPr="008C3C4F" w:rsidRDefault="00AD599F" w:rsidP="00B815F7">
            <w:pPr>
              <w:pStyle w:val="ListParagraph"/>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ListParagraph"/>
              <w:numPr>
                <w:ilvl w:val="0"/>
                <w:numId w:val="17"/>
              </w:numPr>
              <w:overflowPunct/>
              <w:spacing w:before="0" w:line="240" w:lineRule="auto"/>
              <w:contextualSpacing/>
              <w:rPr>
                <w:rFonts w:eastAsia="DengXian"/>
              </w:rPr>
            </w:pPr>
            <w:r w:rsidRPr="008C3C4F">
              <w:rPr>
                <w:lang w:val="en-GB"/>
              </w:rPr>
              <w:t xml:space="preserve">Option 2: Use UMa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Scenario-specific parameters for SMa can be configured as follows:</w:t>
            </w:r>
          </w:p>
          <w:p w14:paraId="44B40104" w14:textId="77777777" w:rsidR="00AD599F" w:rsidRPr="000C6CD7" w:rsidRDefault="00AD599F" w:rsidP="00B815F7">
            <w:pPr>
              <w:pStyle w:val="BodyText"/>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BodyText"/>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BodyText"/>
              <w:numPr>
                <w:ilvl w:val="0"/>
                <w:numId w:val="20"/>
              </w:numPr>
              <w:spacing w:before="0" w:after="0" w:line="240" w:lineRule="auto"/>
            </w:pPr>
            <w:r w:rsidRPr="000C6CD7">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BodyText"/>
              <w:numPr>
                <w:ilvl w:val="0"/>
                <w:numId w:val="20"/>
              </w:numPr>
              <w:spacing w:before="0" w:after="0" w:line="240" w:lineRule="auto"/>
            </w:pPr>
            <w:r w:rsidRPr="003B779A">
              <w:rPr>
                <w:rFonts w:eastAsia="DengXian"/>
                <w:lang w:eastAsia="ko-KR"/>
              </w:rPr>
              <w:t>Min BS - UT 2D distance: 35m (follow guidance in 36.873/38.901 for UMa)</w:t>
            </w:r>
          </w:p>
          <w:p w14:paraId="50466107" w14:textId="77777777" w:rsidR="00AD599F" w:rsidRPr="004D7FD9" w:rsidRDefault="00AD599F" w:rsidP="00B815F7">
            <w:pPr>
              <w:pStyle w:val="BodyText"/>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BodyText"/>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The measured ZSDs at 3.4 GHz in a suburban 5G NR macrocell are very similar to the ZSDs in urban macrocells,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lgZSD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The measured ASDs at 3.4 GHz in a suburban 5G NR macrocell are very similar to the ASDs in urban macrocells,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r w:rsidRPr="00B815F7">
              <w:t xml:space="preserve">lgZSD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Caption"/>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r>
                  <w:r w:rsidR="00D67607"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45pt;height:19.65pt;mso-width-percent:0;mso-height-percent:0;mso-width-percent:0;mso-height-percent:0" o:ole="">
                        <v:imagedata r:id="rId15" o:title=""/>
                      </v:shape>
                      <o:OLEObject Type="Embed" ProgID="Equation.3" ShapeID="_x0000_i1026" DrawAspect="Content" ObjectID="_1785527513"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Caption"/>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002F764C" w:rsidRPr="00B815F7">
                    <w:rPr>
                      <w:rFonts w:ascii="Times New Roman" w:hAnsi="Times New Roman" w:cs="Times New Roman"/>
                      <w:sz w:val="20"/>
                      <w:szCs w:val="20"/>
                      <w:vertAlign w:val="subscript"/>
                    </w:rPr>
                    <w:t>lgZSD</w:t>
                  </w:r>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BodyText"/>
        <w:spacing w:after="0"/>
        <w:rPr>
          <w:rFonts w:ascii="Times New Roman" w:eastAsiaTheme="minorEastAsia" w:hAnsi="Times New Roman"/>
          <w:szCs w:val="20"/>
          <w:lang w:eastAsia="ko-KR"/>
        </w:rPr>
      </w:pPr>
    </w:p>
    <w:p w14:paraId="0BAFB09C" w14:textId="77777777" w:rsidR="00220244" w:rsidRDefault="00220244" w:rsidP="00220244">
      <w:pPr>
        <w:pStyle w:val="BodyText"/>
        <w:spacing w:after="0"/>
        <w:rPr>
          <w:rFonts w:ascii="Times New Roman" w:eastAsiaTheme="minorEastAsia" w:hAnsi="Times New Roman"/>
          <w:szCs w:val="20"/>
          <w:lang w:eastAsia="ko-KR"/>
        </w:rPr>
      </w:pPr>
    </w:p>
    <w:p w14:paraId="6E170232" w14:textId="77777777" w:rsidR="00220244" w:rsidRPr="00386933" w:rsidRDefault="00220244" w:rsidP="00220244">
      <w:pPr>
        <w:pStyle w:val="Heading4"/>
        <w:rPr>
          <w:rFonts w:eastAsia="SimSun"/>
          <w:lang w:eastAsia="zh-CN"/>
        </w:rPr>
      </w:pPr>
      <w:r w:rsidRPr="00FE11E4">
        <w:rPr>
          <w:rFonts w:eastAsia="SimSun"/>
          <w:lang w:eastAsia="zh-CN"/>
        </w:rPr>
        <w:t>Summary of Issues</w:t>
      </w:r>
    </w:p>
    <w:p w14:paraId="03BC3AD8" w14:textId="189E430F" w:rsidR="00220244" w:rsidRDefault="00995E77" w:rsidP="00220244">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support of SMa deployment scenario.</w:t>
      </w:r>
    </w:p>
    <w:p w14:paraId="672A1B8D" w14:textId="77777777" w:rsidR="00220244" w:rsidRDefault="00220244" w:rsidP="00220244">
      <w:pPr>
        <w:pStyle w:val="BodyText"/>
        <w:spacing w:after="0"/>
        <w:rPr>
          <w:rFonts w:ascii="Times New Roman" w:hAnsi="Times New Roman"/>
          <w:szCs w:val="20"/>
          <w:lang w:eastAsia="zh-CN"/>
        </w:rPr>
      </w:pPr>
    </w:p>
    <w:p w14:paraId="556FDB12" w14:textId="62FD1FBE" w:rsidR="00220244" w:rsidRDefault="00220244" w:rsidP="00220244">
      <w:pPr>
        <w:pStyle w:val="Heading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BodyText"/>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604B3E42" w14:textId="77777777" w:rsidR="00790D10" w:rsidRPr="00DD3D65" w:rsidRDefault="00790D10" w:rsidP="00790D10">
      <w:pPr>
        <w:pStyle w:val="ListParagraph"/>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BodyText"/>
        <w:numPr>
          <w:ilvl w:val="1"/>
          <w:numId w:val="25"/>
        </w:numPr>
        <w:spacing w:after="0"/>
        <w:rPr>
          <w:rFonts w:ascii="Times New Roman" w:eastAsiaTheme="minorEastAsia" w:hAnsi="Times New Roman"/>
          <w:szCs w:val="20"/>
          <w:lang w:eastAsia="ko-KR"/>
        </w:rPr>
      </w:pPr>
      <w:r w:rsidRPr="00DD3D65">
        <w:rPr>
          <w:szCs w:val="20"/>
          <w:lang w:eastAsia="zh-CN"/>
        </w:rPr>
        <w:t>Option-2: Define a new scenario, e.g., SMa.</w:t>
      </w:r>
    </w:p>
    <w:p w14:paraId="2665C4F6" w14:textId="49DBCAA0" w:rsidR="00790D10" w:rsidRP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parameter difference between UMa and SMa</w:t>
      </w:r>
    </w:p>
    <w:p w14:paraId="6098890F" w14:textId="66C711FE" w:rsid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27E89E" w14:textId="77777777" w:rsidR="00220244" w:rsidRDefault="00220244" w:rsidP="00220244">
      <w:pPr>
        <w:pStyle w:val="BodyText"/>
        <w:spacing w:after="0"/>
        <w:rPr>
          <w:rFonts w:ascii="Times New Roman" w:eastAsiaTheme="minorEastAsia" w:hAnsi="Times New Roman"/>
          <w:szCs w:val="20"/>
          <w:lang w:eastAsia="ko-KR"/>
        </w:rPr>
      </w:pPr>
    </w:p>
    <w:p w14:paraId="58C005A2" w14:textId="77777777" w:rsidR="00995E77" w:rsidRDefault="00995E77">
      <w:pPr>
        <w:pStyle w:val="BodyText"/>
        <w:spacing w:after="0"/>
        <w:rPr>
          <w:rFonts w:ascii="Times New Roman" w:eastAsiaTheme="minorEastAsia" w:hAnsi="Times New Roman"/>
          <w:szCs w:val="20"/>
          <w:lang w:eastAsia="ko-KR"/>
        </w:rPr>
      </w:pPr>
    </w:p>
    <w:p w14:paraId="75CFCE4B" w14:textId="78B81567" w:rsidR="00995E77" w:rsidRDefault="00995E77" w:rsidP="00995E77">
      <w:pPr>
        <w:pStyle w:val="Heading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79D4D00" w14:textId="2539FDB9"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ListParagraph"/>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ListParagraph"/>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BodyText"/>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BodyText"/>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(2D</w:t>
      </w:r>
      <w:proofErr w:type="gramStart"/>
      <w:r w:rsidRPr="00B815F7">
        <w:rPr>
          <w:rFonts w:ascii="Times New Roman" w:hAnsi="Times New Roman"/>
          <w:szCs w:val="20"/>
          <w:lang w:val="fr-FR"/>
        </w:rPr>
        <w:t>):</w:t>
      </w:r>
      <w:proofErr w:type="gramEnd"/>
      <w:r w:rsidRPr="00B815F7">
        <w:rPr>
          <w:rFonts w:ascii="Times New Roman" w:hAnsi="Times New Roman"/>
          <w:szCs w:val="20"/>
          <w:lang w:val="fr-FR"/>
        </w:rPr>
        <w:t xml:space="preserve"> </w:t>
      </w:r>
    </w:p>
    <w:p w14:paraId="1D0247BA" w14:textId="73381189" w:rsidR="00995E77"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BodyText"/>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BodyText"/>
        <w:suppressAutoHyphens w:val="0"/>
        <w:spacing w:after="0" w:line="240" w:lineRule="auto"/>
        <w:rPr>
          <w:rFonts w:ascii="Times New Roman" w:hAnsi="Times New Roman"/>
          <w:szCs w:val="20"/>
        </w:rPr>
      </w:pPr>
    </w:p>
    <w:p w14:paraId="77678C42" w14:textId="77777777" w:rsidR="00995E77" w:rsidRPr="003B779A" w:rsidRDefault="00995E77">
      <w:pPr>
        <w:pStyle w:val="BodyText"/>
        <w:spacing w:after="0"/>
        <w:rPr>
          <w:rFonts w:ascii="Times New Roman" w:eastAsiaTheme="minorEastAsia" w:hAnsi="Times New Roman"/>
          <w:szCs w:val="20"/>
          <w:lang w:eastAsia="ko-KR"/>
        </w:rPr>
      </w:pPr>
    </w:p>
    <w:p w14:paraId="7F24A1B0" w14:textId="77777777" w:rsidR="00995E77" w:rsidRPr="003B779A" w:rsidRDefault="00995E77">
      <w:pPr>
        <w:pStyle w:val="BodyText"/>
        <w:spacing w:after="0"/>
        <w:rPr>
          <w:rFonts w:ascii="Times New Roman" w:eastAsiaTheme="minorEastAsia" w:hAnsi="Times New Roman"/>
          <w:szCs w:val="20"/>
          <w:lang w:eastAsia="ko-KR"/>
        </w:rPr>
      </w:pPr>
    </w:p>
    <w:p w14:paraId="6D6EC26E" w14:textId="31EF249F" w:rsidR="00790D10" w:rsidRDefault="00995E77" w:rsidP="00790D10">
      <w:pPr>
        <w:pStyle w:val="Heading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ListParagraph"/>
        <w:numPr>
          <w:ilvl w:val="0"/>
          <w:numId w:val="45"/>
        </w:numPr>
        <w:rPr>
          <w:lang w:val="en-GB" w:eastAsia="zh-CN"/>
        </w:rPr>
      </w:pPr>
      <w:r>
        <w:rPr>
          <w:lang w:val="en-GB" w:eastAsia="zh-CN"/>
        </w:rPr>
        <w:t>Pathloss</w:t>
      </w:r>
    </w:p>
    <w:p w14:paraId="7243A8CA" w14:textId="0F1FF08B" w:rsidR="00D17400" w:rsidRPr="003B779A" w:rsidRDefault="00D17400" w:rsidP="00D17400">
      <w:pPr>
        <w:pStyle w:val="ListParagraph"/>
        <w:numPr>
          <w:ilvl w:val="1"/>
          <w:numId w:val="45"/>
        </w:numPr>
        <w:rPr>
          <w:lang w:val="fr-FR" w:eastAsia="zh-CN"/>
        </w:rPr>
      </w:pPr>
      <w:proofErr w:type="gramStart"/>
      <w:r w:rsidRPr="003B779A">
        <w:rPr>
          <w:lang w:val="fr-FR" w:eastAsia="zh-CN"/>
        </w:rPr>
        <w:t>NLOS:</w:t>
      </w:r>
      <w:proofErr w:type="gramEnd"/>
      <w:r w:rsidRPr="003B779A">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ListParagraph"/>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ListParagraph"/>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ListParagraph"/>
        <w:numPr>
          <w:ilvl w:val="0"/>
          <w:numId w:val="45"/>
        </w:numPr>
        <w:rPr>
          <w:lang w:val="en-GB" w:eastAsia="zh-CN"/>
        </w:rPr>
      </w:pPr>
      <w:r>
        <w:rPr>
          <w:lang w:val="en-GB" w:eastAsia="zh-CN"/>
        </w:rPr>
        <w:t>LOS probability</w:t>
      </w:r>
    </w:p>
    <w:p w14:paraId="0FEA4F1D" w14:textId="2AE9CBC0" w:rsidR="00D17400" w:rsidRDefault="002F5A61" w:rsidP="00D17400">
      <w:pPr>
        <w:pStyle w:val="ListParagraph"/>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m:t>
                              </m:r>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ListParagraph"/>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r>
            <w:r w:rsidR="00D67607"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45pt;height:19.65pt;mso-width-percent:0;mso-height-percent:0;mso-width-percent:0;mso-height-percent:0" o:ole="">
                  <v:imagedata r:id="rId15" o:title=""/>
                </v:shape>
                <o:OLEObject Type="Embed" ProgID="Equation.3" ShapeID="_x0000_i1027" DrawAspect="Content" ObjectID="_1785527514"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ListParagraph"/>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Pr="00B815F7">
              <w:rPr>
                <w:rFonts w:ascii="Times New Roman" w:hAnsi="Times New Roman" w:cs="Times New Roman"/>
                <w:sz w:val="20"/>
                <w:szCs w:val="20"/>
                <w:vertAlign w:val="subscript"/>
              </w:rPr>
              <w:t>lgZSD</w:t>
            </w:r>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Heading4"/>
        <w:rPr>
          <w:rFonts w:eastAsia="SimSun"/>
          <w:lang w:eastAsia="zh-CN"/>
        </w:rPr>
      </w:pPr>
      <w:r w:rsidRPr="00EE5325">
        <w:rPr>
          <w:rFonts w:eastAsia="SimSun"/>
          <w:lang w:eastAsia="zh-CN"/>
        </w:rPr>
        <w:lastRenderedPageBreak/>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F9B0781" w14:textId="77777777"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3B4D87" w14:paraId="425DF5FE" w14:textId="77777777" w:rsidTr="00DD5094">
        <w:tc>
          <w:tcPr>
            <w:tcW w:w="1795" w:type="dxa"/>
          </w:tcPr>
          <w:p w14:paraId="748365CB" w14:textId="2C910EB5" w:rsidR="003B4D87" w:rsidRDefault="003B4D8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3EDF91D" w14:textId="77777777"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6B7AB2B0" w14:textId="00629553"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#3-2. More discussion may be needed to align </w:t>
            </w:r>
            <w:r>
              <w:rPr>
                <w:rFonts w:ascii="Times New Roman" w:eastAsiaTheme="minorEastAsia" w:hAnsi="Times New Roman"/>
                <w:szCs w:val="20"/>
                <w:lang w:eastAsia="ko-KR"/>
              </w:rPr>
              <w:t>companies’</w:t>
            </w:r>
            <w:r>
              <w:rPr>
                <w:rFonts w:ascii="Times New Roman" w:eastAsiaTheme="minorEastAsia" w:hAnsi="Times New Roman"/>
                <w:szCs w:val="20"/>
                <w:lang w:eastAsia="ko-KR"/>
              </w:rPr>
              <w:t xml:space="preserve"> views on the different options.</w:t>
            </w:r>
          </w:p>
          <w:p w14:paraId="6FE514DB" w14:textId="5D25EC04"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bl>
    <w:p w14:paraId="0CB74C0B" w14:textId="77777777" w:rsidR="00E42BAB" w:rsidRDefault="00E42BAB" w:rsidP="00E42BAB">
      <w:pPr>
        <w:pStyle w:val="BodyText"/>
        <w:spacing w:after="0"/>
        <w:rPr>
          <w:rFonts w:ascii="Times New Roman" w:eastAsiaTheme="minorEastAsia" w:hAnsi="Times New Roman"/>
          <w:szCs w:val="20"/>
          <w:lang w:eastAsia="ko-KR"/>
        </w:rPr>
      </w:pPr>
    </w:p>
    <w:p w14:paraId="408A673C" w14:textId="77777777" w:rsidR="00790D10" w:rsidRPr="003B779A" w:rsidRDefault="00790D10">
      <w:pPr>
        <w:pStyle w:val="BodyText"/>
        <w:spacing w:after="0"/>
        <w:rPr>
          <w:rFonts w:ascii="Times New Roman" w:eastAsiaTheme="minorEastAsia" w:hAnsi="Times New Roman"/>
          <w:szCs w:val="20"/>
          <w:lang w:eastAsia="ko-KR"/>
        </w:rPr>
      </w:pPr>
    </w:p>
    <w:p w14:paraId="374AAA09" w14:textId="77777777" w:rsidR="002D3E65" w:rsidRDefault="002D3E65">
      <w:pPr>
        <w:pStyle w:val="BodyText"/>
        <w:spacing w:after="0"/>
        <w:rPr>
          <w:rFonts w:ascii="Times New Roman" w:eastAsiaTheme="minorEastAsia" w:hAnsi="Times New Roman"/>
          <w:szCs w:val="20"/>
          <w:lang w:eastAsia="ko-KR"/>
        </w:rPr>
      </w:pPr>
    </w:p>
    <w:p w14:paraId="366E2EF8" w14:textId="57A682B7" w:rsidR="00161435" w:rsidRPr="00031682" w:rsidRDefault="00161435" w:rsidP="0016143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TableGrid"/>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BodyText"/>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Caption"/>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Caption"/>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Caption"/>
              <w:spacing w:before="0" w:after="0" w:line="240" w:lineRule="auto"/>
              <w:rPr>
                <w:rFonts w:eastAsia="Times New Roman"/>
                <w:b w:val="0"/>
                <w:bCs w:val="0"/>
                <w:sz w:val="20"/>
                <w:szCs w:val="20"/>
              </w:rPr>
            </w:pPr>
          </w:p>
          <w:p w14:paraId="31090DB9"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lastRenderedPageBreak/>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Caption"/>
              <w:spacing w:before="0" w:after="0" w:line="240" w:lineRule="auto"/>
              <w:rPr>
                <w:rFonts w:eastAsia="Times New Roman"/>
                <w:b w:val="0"/>
                <w:bCs w:val="0"/>
                <w:sz w:val="20"/>
                <w:szCs w:val="20"/>
              </w:rPr>
            </w:pPr>
          </w:p>
          <w:p w14:paraId="4FC8EA7D"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Caption"/>
              <w:spacing w:before="0" w:after="0" w:line="240" w:lineRule="auto"/>
              <w:rPr>
                <w:rFonts w:eastAsia="Times New Roman"/>
                <w:b w:val="0"/>
                <w:bCs w:val="0"/>
                <w:sz w:val="20"/>
                <w:szCs w:val="20"/>
              </w:rPr>
            </w:pPr>
          </w:p>
          <w:p w14:paraId="36433782"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Caption"/>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BodyText"/>
        <w:spacing w:after="0"/>
        <w:rPr>
          <w:rFonts w:ascii="Times New Roman" w:eastAsiaTheme="minorEastAsia" w:hAnsi="Times New Roman"/>
          <w:szCs w:val="20"/>
          <w:lang w:eastAsia="ko-KR"/>
        </w:rPr>
      </w:pPr>
    </w:p>
    <w:p w14:paraId="14030CB4" w14:textId="77777777" w:rsidR="00161435" w:rsidRDefault="00161435" w:rsidP="00161435">
      <w:pPr>
        <w:pStyle w:val="BodyText"/>
        <w:spacing w:after="0"/>
        <w:rPr>
          <w:rFonts w:ascii="Times New Roman" w:eastAsiaTheme="minorEastAsia" w:hAnsi="Times New Roman"/>
          <w:szCs w:val="20"/>
          <w:lang w:eastAsia="ko-KR"/>
        </w:rPr>
      </w:pPr>
    </w:p>
    <w:p w14:paraId="540B16A7" w14:textId="77777777" w:rsidR="00161435" w:rsidRPr="00386933" w:rsidRDefault="00161435" w:rsidP="00161435">
      <w:pPr>
        <w:pStyle w:val="Heading4"/>
        <w:rPr>
          <w:rFonts w:eastAsia="SimSun"/>
          <w:lang w:eastAsia="zh-CN"/>
        </w:rPr>
      </w:pPr>
      <w:r w:rsidRPr="00FE11E4">
        <w:rPr>
          <w:rFonts w:eastAsia="SimSun"/>
          <w:lang w:eastAsia="zh-CN"/>
        </w:rPr>
        <w:t>Summary of Issues</w:t>
      </w:r>
    </w:p>
    <w:p w14:paraId="4870E686" w14:textId="33FEB70F" w:rsidR="00161435" w:rsidRDefault="00281F22" w:rsidP="00161435">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BodyText"/>
        <w:spacing w:after="0"/>
        <w:rPr>
          <w:rFonts w:ascii="Times New Roman" w:hAnsi="Times New Roman"/>
          <w:szCs w:val="20"/>
          <w:lang w:eastAsia="zh-CN"/>
        </w:rPr>
      </w:pPr>
    </w:p>
    <w:p w14:paraId="2F257D3F" w14:textId="77777777" w:rsidR="00161435" w:rsidRDefault="00161435" w:rsidP="00161435">
      <w:pPr>
        <w:pStyle w:val="Heading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ListParagraph"/>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ListParagraph"/>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BodyText"/>
        <w:spacing w:after="0"/>
        <w:rPr>
          <w:rFonts w:ascii="Times New Roman" w:eastAsiaTheme="minorEastAsia" w:hAnsi="Times New Roman"/>
          <w:szCs w:val="20"/>
          <w:lang w:eastAsia="ko-KR"/>
        </w:rPr>
      </w:pPr>
    </w:p>
    <w:p w14:paraId="766C5E65" w14:textId="77777777" w:rsidR="00161435" w:rsidRDefault="00161435">
      <w:pPr>
        <w:pStyle w:val="BodyText"/>
        <w:spacing w:after="0"/>
        <w:rPr>
          <w:rFonts w:ascii="Times New Roman" w:eastAsiaTheme="minorEastAsia" w:hAnsi="Times New Roman"/>
          <w:szCs w:val="20"/>
          <w:lang w:eastAsia="ko-KR"/>
        </w:rPr>
      </w:pPr>
    </w:p>
    <w:p w14:paraId="1815BDAA" w14:textId="77777777" w:rsidR="00E42BAB" w:rsidRDefault="00E42BAB" w:rsidP="00E42BAB">
      <w:pPr>
        <w:pStyle w:val="Heading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DC644B" w14:textId="5740324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3CC3165" w14:textId="6845DB9B"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lastRenderedPageBreak/>
              <w:t>Antenna radiation pattern</w:t>
            </w:r>
          </w:p>
          <w:p w14:paraId="23EE9234" w14:textId="77777777"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BodyText"/>
              <w:spacing w:after="0"/>
              <w:rPr>
                <w:rFonts w:ascii="Times New Roman" w:eastAsiaTheme="minorEastAsia" w:hAnsi="Times New Roman"/>
                <w:szCs w:val="20"/>
                <w:lang w:eastAsia="ko-KR"/>
              </w:rPr>
            </w:pPr>
          </w:p>
        </w:tc>
      </w:tr>
      <w:tr w:rsidR="00453FBF" w14:paraId="1AD3B82C" w14:textId="77777777" w:rsidTr="00DD5094">
        <w:tc>
          <w:tcPr>
            <w:tcW w:w="1795" w:type="dxa"/>
          </w:tcPr>
          <w:p w14:paraId="464BA83D" w14:textId="6C986D9E" w:rsidR="00453FBF" w:rsidRDefault="00453FBF"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5F820A58" w14:textId="4A1DF254" w:rsidR="00453FBF" w:rsidRDefault="00453FBF" w:rsidP="003C642E">
            <w:pPr>
              <w:pStyle w:val="BodyText"/>
              <w:spacing w:after="0"/>
              <w:rPr>
                <w:rFonts w:ascii="Times New Roman" w:eastAsiaTheme="minorEastAsia" w:hAnsi="Times New Roman"/>
                <w:szCs w:val="20"/>
                <w:lang w:eastAsia="ko-KR"/>
              </w:rPr>
            </w:pPr>
            <w:r w:rsidRPr="00453FBF">
              <w:rPr>
                <w:rFonts w:ascii="Times New Roman" w:eastAsiaTheme="minorEastAsia" w:hAnsi="Times New Roman"/>
                <w:szCs w:val="20"/>
                <w:lang w:eastAsia="ko-KR"/>
              </w:rPr>
              <w:t>We are open to consider UE antenna modeling, but we prefer to limit the discussion to UE antenna placement/rotation/</w:t>
            </w:r>
            <w:r w:rsidR="002F5A61" w:rsidRPr="00453FBF">
              <w:rPr>
                <w:rFonts w:ascii="Times New Roman" w:eastAsiaTheme="minorEastAsia" w:hAnsi="Times New Roman"/>
                <w:szCs w:val="20"/>
                <w:lang w:eastAsia="ko-KR"/>
              </w:rPr>
              <w:t>pattern and</w:t>
            </w:r>
            <w:r w:rsidRPr="00453FBF">
              <w:rPr>
                <w:rFonts w:ascii="Times New Roman" w:eastAsiaTheme="minorEastAsia" w:hAnsi="Times New Roman"/>
                <w:szCs w:val="20"/>
                <w:lang w:eastAsia="ko-KR"/>
              </w:rPr>
              <w:t xml:space="preserve"> avoid other aspects that depends on hardware implementatio</w:t>
            </w:r>
            <w:r>
              <w:rPr>
                <w:rFonts w:ascii="Times New Roman" w:eastAsiaTheme="minorEastAsia" w:hAnsi="Times New Roman"/>
                <w:szCs w:val="20"/>
                <w:lang w:eastAsia="ko-KR"/>
              </w:rPr>
              <w:t>n.</w:t>
            </w:r>
          </w:p>
        </w:tc>
      </w:tr>
    </w:tbl>
    <w:p w14:paraId="293D2AEE" w14:textId="77777777" w:rsidR="00E42BAB" w:rsidRDefault="00E42BAB">
      <w:pPr>
        <w:pStyle w:val="BodyText"/>
        <w:spacing w:after="0"/>
        <w:rPr>
          <w:rFonts w:ascii="Times New Roman" w:eastAsiaTheme="minorEastAsia" w:hAnsi="Times New Roman"/>
          <w:szCs w:val="20"/>
          <w:lang w:eastAsia="ko-KR"/>
        </w:rPr>
      </w:pPr>
    </w:p>
    <w:p w14:paraId="0A19BA89" w14:textId="77777777" w:rsidR="00E42BAB" w:rsidRDefault="00E42BAB">
      <w:pPr>
        <w:pStyle w:val="BodyText"/>
        <w:spacing w:after="0"/>
        <w:rPr>
          <w:rFonts w:ascii="Times New Roman" w:eastAsiaTheme="minorEastAsia" w:hAnsi="Times New Roman"/>
          <w:szCs w:val="20"/>
          <w:lang w:eastAsia="ko-KR"/>
        </w:rPr>
      </w:pPr>
    </w:p>
    <w:p w14:paraId="017FE117" w14:textId="2817DA4C" w:rsidR="008B5F54" w:rsidRPr="00031682" w:rsidRDefault="008B5F54" w:rsidP="008B5F5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BodyText"/>
        <w:spacing w:after="0"/>
        <w:rPr>
          <w:rFonts w:ascii="Times New Roman" w:eastAsiaTheme="minorEastAsia" w:hAnsi="Times New Roman"/>
          <w:szCs w:val="20"/>
          <w:lang w:eastAsia="ko-KR"/>
        </w:rPr>
      </w:pPr>
    </w:p>
    <w:p w14:paraId="43E624DF" w14:textId="77777777" w:rsidR="00990286" w:rsidRPr="00386933" w:rsidRDefault="00990286" w:rsidP="00990286">
      <w:pPr>
        <w:pStyle w:val="Heading4"/>
        <w:rPr>
          <w:rFonts w:eastAsia="SimSun"/>
          <w:lang w:eastAsia="zh-CN"/>
        </w:rPr>
      </w:pPr>
      <w:r w:rsidRPr="00FE11E4">
        <w:rPr>
          <w:rFonts w:eastAsia="SimSun"/>
          <w:lang w:eastAsia="zh-CN"/>
        </w:rPr>
        <w:t>Summary of Issues</w:t>
      </w:r>
    </w:p>
    <w:p w14:paraId="7F54C78E" w14:textId="0B6817E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BodyText"/>
        <w:spacing w:after="0"/>
        <w:rPr>
          <w:rFonts w:ascii="Times New Roman" w:eastAsiaTheme="minorEastAsia" w:hAnsi="Times New Roman"/>
          <w:szCs w:val="20"/>
          <w:lang w:eastAsia="ko-KR"/>
        </w:rPr>
      </w:pPr>
    </w:p>
    <w:p w14:paraId="064FCBDD" w14:textId="3F71103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BodyText"/>
        <w:spacing w:after="0"/>
        <w:rPr>
          <w:rFonts w:ascii="Times New Roman" w:eastAsiaTheme="minorEastAsia" w:hAnsi="Times New Roman"/>
          <w:szCs w:val="20"/>
          <w:lang w:eastAsia="ko-KR"/>
        </w:rPr>
      </w:pPr>
    </w:p>
    <w:p w14:paraId="69F25BDA" w14:textId="77777777" w:rsidR="00E42BAB" w:rsidRDefault="00E42BAB" w:rsidP="00E42BAB">
      <w:pPr>
        <w:pStyle w:val="Heading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BodyText"/>
              <w:spacing w:after="0"/>
              <w:rPr>
                <w:rFonts w:ascii="Times New Roman" w:eastAsiaTheme="minorEastAsia" w:hAnsi="Times New Roman"/>
                <w:szCs w:val="20"/>
                <w:lang w:eastAsia="ko-KR"/>
              </w:rPr>
            </w:pPr>
          </w:p>
        </w:tc>
      </w:tr>
    </w:tbl>
    <w:p w14:paraId="6C3C6BD8" w14:textId="77777777" w:rsidR="00E42BAB" w:rsidRDefault="00E42BAB" w:rsidP="00E42BAB">
      <w:pPr>
        <w:pStyle w:val="BodyText"/>
        <w:spacing w:after="0"/>
        <w:rPr>
          <w:rFonts w:ascii="Times New Roman" w:eastAsiaTheme="minorEastAsia" w:hAnsi="Times New Roman"/>
          <w:szCs w:val="20"/>
          <w:lang w:eastAsia="ko-KR"/>
        </w:rPr>
      </w:pPr>
    </w:p>
    <w:p w14:paraId="015DFAEB" w14:textId="77777777" w:rsidR="00E42BAB" w:rsidRDefault="00E42BAB">
      <w:pPr>
        <w:pStyle w:val="BodyText"/>
        <w:spacing w:after="0"/>
        <w:rPr>
          <w:rFonts w:ascii="Times New Roman" w:eastAsiaTheme="minorEastAsia" w:hAnsi="Times New Roman"/>
          <w:szCs w:val="20"/>
          <w:lang w:eastAsia="ko-KR"/>
        </w:rPr>
      </w:pPr>
    </w:p>
    <w:p w14:paraId="14B7CAF8" w14:textId="77777777" w:rsidR="00E42BAB" w:rsidRDefault="00E42BAB">
      <w:pPr>
        <w:pStyle w:val="BodyText"/>
        <w:spacing w:after="0"/>
        <w:rPr>
          <w:rFonts w:ascii="Times New Roman" w:eastAsiaTheme="minorEastAsia" w:hAnsi="Times New Roman"/>
          <w:szCs w:val="20"/>
          <w:lang w:eastAsia="ko-KR"/>
        </w:rPr>
      </w:pPr>
    </w:p>
    <w:p w14:paraId="6BDB0ACD" w14:textId="472E4B7C" w:rsidR="00A17A9E" w:rsidRPr="00031682" w:rsidRDefault="00A17A9E" w:rsidP="00A17A9E">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D4E96F5" w14:textId="77777777" w:rsid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C464799" w14:textId="0809B1AC" w:rsidR="009A3FD1" w:rsidRDefault="00A95A87" w:rsidP="003C5BBD">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BodyText"/>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tdoc that adds these references into the tdoc along with a </w:t>
            </w:r>
            <w:r>
              <w:rPr>
                <w:rFonts w:ascii="Times New Roman" w:eastAsiaTheme="minorEastAsia" w:hAnsi="Times New Roman" w:hint="eastAsia"/>
                <w:szCs w:val="20"/>
                <w:lang w:eastAsia="ko-KR"/>
              </w:rPr>
              <w:lastRenderedPageBreak/>
              <w:t>short description of what results should be referenced or looked into for our SI.</w:t>
            </w:r>
          </w:p>
          <w:p w14:paraId="6C7D3670" w14:textId="754C3AD6" w:rsidR="006238F9"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12B99DA" w14:textId="77777777" w:rsidR="009A3FD1" w:rsidRDefault="009A3FD1" w:rsidP="003C5BBD">
            <w:pPr>
              <w:pStyle w:val="BodyText"/>
              <w:spacing w:after="0"/>
              <w:rPr>
                <w:rFonts w:ascii="Times New Roman" w:hAnsi="Times New Roman"/>
                <w:szCs w:val="20"/>
                <w:lang w:eastAsia="zh-CN"/>
              </w:rPr>
            </w:pPr>
          </w:p>
        </w:tc>
      </w:tr>
    </w:tbl>
    <w:p w14:paraId="481C63BC" w14:textId="77777777" w:rsidR="003C5BBD" w:rsidRDefault="003C5BBD" w:rsidP="003C5BBD">
      <w:pPr>
        <w:pStyle w:val="BodyText"/>
        <w:spacing w:after="0"/>
        <w:rPr>
          <w:rFonts w:ascii="Times New Roman" w:hAnsi="Times New Roman"/>
          <w:szCs w:val="20"/>
          <w:lang w:eastAsia="zh-CN"/>
        </w:rPr>
      </w:pPr>
    </w:p>
    <w:p w14:paraId="64CCD223" w14:textId="77777777" w:rsidR="003C5BBD" w:rsidRDefault="003C5BBD">
      <w:pPr>
        <w:pStyle w:val="BodyText"/>
        <w:spacing w:after="0"/>
        <w:rPr>
          <w:rFonts w:ascii="Times New Roman" w:eastAsiaTheme="minorEastAsia" w:hAnsi="Times New Roman"/>
          <w:szCs w:val="20"/>
          <w:lang w:eastAsia="ko-KR"/>
        </w:rPr>
      </w:pPr>
    </w:p>
    <w:p w14:paraId="0702A34F" w14:textId="2FB45B89"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ListParagraph"/>
        <w:numPr>
          <w:ilvl w:val="0"/>
          <w:numId w:val="28"/>
        </w:numPr>
        <w:ind w:left="540" w:hanging="540"/>
      </w:pPr>
      <w:r w:rsidRPr="000B604A">
        <w:t>R1-2405865</w:t>
      </w:r>
      <w:r>
        <w:t>, “</w:t>
      </w:r>
      <w:r w:rsidRPr="000B604A">
        <w:t>Considerations on the 7-24GHz channel model validation</w:t>
      </w:r>
      <w:r>
        <w:t xml:space="preserve">,” </w:t>
      </w:r>
      <w:r w:rsidRPr="000B604A">
        <w:t>Huawei, HiSilicon</w:t>
      </w:r>
    </w:p>
    <w:p w14:paraId="11330980" w14:textId="1076FD5E" w:rsidR="000B604A" w:rsidRPr="000B604A" w:rsidRDefault="000B604A" w:rsidP="000B604A">
      <w:pPr>
        <w:pStyle w:val="ListParagraph"/>
        <w:numPr>
          <w:ilvl w:val="0"/>
          <w:numId w:val="28"/>
        </w:numPr>
        <w:ind w:left="540" w:hanging="540"/>
      </w:pPr>
      <w:r w:rsidRPr="000B604A">
        <w:t>R1-2405884</w:t>
      </w:r>
      <w:r>
        <w:t>, “</w:t>
      </w:r>
      <w:r w:rsidRPr="000B604A">
        <w:t>On Angle Scaling for MIMO CDL Channel</w:t>
      </w:r>
      <w:r>
        <w:t xml:space="preserve">,” </w:t>
      </w:r>
      <w:r w:rsidRPr="000B604A">
        <w:t>InterDigital, Inc.</w:t>
      </w:r>
    </w:p>
    <w:p w14:paraId="6E00227A" w14:textId="72FC2CB4" w:rsidR="000B604A" w:rsidRPr="000B604A" w:rsidRDefault="000B604A" w:rsidP="000B604A">
      <w:pPr>
        <w:pStyle w:val="ListParagraph"/>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ListParagraph"/>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ListParagraph"/>
        <w:numPr>
          <w:ilvl w:val="0"/>
          <w:numId w:val="28"/>
        </w:numPr>
        <w:ind w:left="540" w:hanging="540"/>
      </w:pPr>
      <w:r w:rsidRPr="000B604A">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ListParagraph"/>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ListParagraph"/>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ListParagraph"/>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ListParagraph"/>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ListParagraph"/>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ListParagraph"/>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ListParagraph"/>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ListParagraph"/>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ListParagraph"/>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ListParagraph"/>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ListParagraph"/>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ListParagraph"/>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ListParagraph"/>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ListParagraph"/>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ListParagraph"/>
        <w:numPr>
          <w:ilvl w:val="0"/>
          <w:numId w:val="28"/>
        </w:numPr>
        <w:ind w:left="540" w:hanging="540"/>
      </w:pPr>
      <w:r w:rsidRPr="000B604A">
        <w:t>R1-2407106</w:t>
      </w:r>
      <w:r>
        <w:t>, “</w:t>
      </w:r>
      <w:r w:rsidRPr="000B604A">
        <w:t>Measurements of the angular spread in a suburban macrocell</w:t>
      </w:r>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Heading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Heading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ListParagraph"/>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ListParagraph"/>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ListParagraph"/>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lastRenderedPageBreak/>
        <w:t>Pathloss</w:t>
      </w:r>
    </w:p>
    <w:p w14:paraId="1F0258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AoA spread (mean, variance)</w:t>
      </w:r>
    </w:p>
    <w:p w14:paraId="045AC53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ListParagraph"/>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ListParagraph"/>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ListParagraph"/>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ListParagraph"/>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ListParagraph"/>
        <w:numPr>
          <w:ilvl w:val="0"/>
          <w:numId w:val="9"/>
        </w:numPr>
        <w:autoSpaceDE w:val="0"/>
        <w:autoSpaceDN w:val="0"/>
        <w:adjustRightInd w:val="0"/>
        <w:snapToGrid w:val="0"/>
        <w:spacing w:line="240" w:lineRule="auto"/>
      </w:pPr>
      <w:r>
        <w:t>Addition of SMa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RAN1 to compile measurement/simulation descriptions from companies into a Tdoc to be added as reference to TR38.901.</w:t>
      </w:r>
    </w:p>
    <w:p w14:paraId="39F86C8E" w14:textId="77777777" w:rsidR="005D15C7" w:rsidRPr="006048B6" w:rsidRDefault="005D15C7">
      <w:pPr>
        <w:pStyle w:val="BodyText"/>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 to update the Tdoc in each meeting based on inputs from companies.</w:t>
      </w:r>
    </w:p>
    <w:p w14:paraId="0A6954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Heading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BodyText"/>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InH-Office NLOS, InF LOS, InF NLOS, UMi LOS, UMi NLOS, UMa LOS, UMa NLOS, [Outdoor courtyard], RMa LOS, RMA NLOS, SMa NLOS</w:t>
      </w:r>
    </w:p>
    <w:p w14:paraId="32532772"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polarization for UMa deployment scenario</w:t>
      </w:r>
    </w:p>
    <w:p w14:paraId="3B1D1A41"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measurements for DS for following scenarios: InH-Office LOS, InH-Office NLOS, UMi LOS, UMI NLOS, UMa LOS, UMa NLOS, InF LOS, Inf NLOS.</w:t>
      </w:r>
    </w:p>
    <w:p w14:paraId="6685014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angular distributions, such as ZOD, ZOA, AOD, AOA for following scenarios: InH, UMi, UMa</w:t>
      </w:r>
    </w:p>
    <w:p w14:paraId="178F26E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number of clusters for following scenarios: InH, UMi</w:t>
      </w:r>
    </w:p>
    <w:p w14:paraId="69D486D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Simulations for LOS probability for SMa deployment scenario</w:t>
      </w:r>
    </w:p>
    <w:p w14:paraId="1946E4C4"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InH-Office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UMa</w:t>
      </w:r>
    </w:p>
    <w:p w14:paraId="4FC2FF2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UMi, UMa,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BodyText"/>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BodyText"/>
        <w:spacing w:after="0"/>
        <w:rPr>
          <w:rFonts w:ascii="Times New Roman" w:eastAsia="DengXian" w:hAnsi="Times New Roman"/>
          <w:szCs w:val="20"/>
          <w:lang w:eastAsia="zh-CN"/>
        </w:rPr>
      </w:pPr>
    </w:p>
    <w:p w14:paraId="50FC7718"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w:t>
      </w:r>
      <w:proofErr w:type="gramStart"/>
      <w:r w:rsidRPr="00A017ED">
        <w:rPr>
          <w:rFonts w:ascii="Times New Roman" w:eastAsia="DengXian" w:hAnsi="Times New Roman"/>
          <w:szCs w:val="20"/>
          <w:lang w:val="fr-FR" w:eastAsia="ko-KR"/>
        </w:rPr>
        <w:t>):</w:t>
      </w:r>
      <w:proofErr w:type="gramEnd"/>
      <w:r w:rsidRPr="00A017ED">
        <w:rPr>
          <w:rFonts w:ascii="Times New Roman" w:eastAsia="DengXian" w:hAnsi="Times New Roman"/>
          <w:szCs w:val="20"/>
          <w:lang w:val="fr-FR" w:eastAsia="ko-KR"/>
        </w:rPr>
        <w:t xml:space="preserve"> [25] m</w:t>
      </w:r>
    </w:p>
    <w:p w14:paraId="46ED972F" w14:textId="77777777" w:rsidR="00061681" w:rsidRPr="00A017ED" w:rsidRDefault="00061681" w:rsidP="00061681">
      <w:pPr>
        <w:pStyle w:val="BodyText"/>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BodyText"/>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BodyText"/>
        <w:spacing w:after="0"/>
        <w:rPr>
          <w:rFonts w:ascii="Times New Roman" w:eastAsia="DengXian" w:hAnsi="Times New Roman"/>
          <w:szCs w:val="20"/>
          <w:lang w:eastAsia="zh-CN"/>
        </w:rPr>
      </w:pPr>
    </w:p>
    <w:p w14:paraId="501B69EB" w14:textId="77777777" w:rsidR="00061681" w:rsidRPr="00A017ED" w:rsidRDefault="00061681" w:rsidP="00061681">
      <w:pPr>
        <w:pStyle w:val="BodyText"/>
        <w:spacing w:after="0"/>
        <w:rPr>
          <w:rFonts w:ascii="Times New Roman" w:eastAsia="DengXian" w:hAnsi="Times New Roman"/>
          <w:szCs w:val="20"/>
          <w:lang w:eastAsia="zh-CN"/>
        </w:rPr>
      </w:pPr>
    </w:p>
    <w:p w14:paraId="46BB2A39"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ListParagraph"/>
        <w:numPr>
          <w:ilvl w:val="1"/>
          <w:numId w:val="10"/>
        </w:numPr>
        <w:autoSpaceDE w:val="0"/>
        <w:autoSpaceDN w:val="0"/>
        <w:adjustRightInd w:val="0"/>
        <w:snapToGrid w:val="0"/>
        <w:spacing w:line="240" w:lineRule="auto"/>
        <w:rPr>
          <w:color w:val="C00000"/>
          <w:szCs w:val="20"/>
        </w:rPr>
      </w:pPr>
      <w:r w:rsidRPr="00A017ED">
        <w:rPr>
          <w:szCs w:val="20"/>
        </w:rPr>
        <w:t xml:space="preserve">Delay spread, pathloss, penetration loss, </w:t>
      </w:r>
      <w:proofErr w:type="spellStart"/>
      <w:r w:rsidRPr="00A017ED">
        <w:rPr>
          <w:szCs w:val="20"/>
        </w:rPr>
        <w:t>AoD</w:t>
      </w:r>
      <w:proofErr w:type="spellEnd"/>
      <w:r w:rsidRPr="00A017ED">
        <w:rPr>
          <w:szCs w:val="20"/>
        </w:rPr>
        <w:t>/AoA/</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BodyText"/>
        <w:spacing w:after="0"/>
        <w:rPr>
          <w:rFonts w:ascii="Times New Roman" w:eastAsia="DengXian" w:hAnsi="Times New Roman"/>
          <w:szCs w:val="20"/>
          <w:lang w:eastAsia="zh-CN"/>
        </w:rPr>
      </w:pPr>
    </w:p>
    <w:p w14:paraId="2346FBF8"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BodyText"/>
        <w:spacing w:after="0"/>
        <w:rPr>
          <w:rFonts w:ascii="Times New Roman" w:eastAsia="DengXian" w:hAnsi="Times New Roman"/>
          <w:szCs w:val="20"/>
          <w:lang w:eastAsia="zh-CN"/>
        </w:rPr>
      </w:pPr>
    </w:p>
    <w:p w14:paraId="47A8AA86"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BodyText"/>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BodyText"/>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39CB" w14:textId="77777777" w:rsidR="00AF26DB" w:rsidRDefault="00AF26DB" w:rsidP="0005512E">
      <w:pPr>
        <w:spacing w:after="0" w:line="240" w:lineRule="auto"/>
      </w:pPr>
      <w:r>
        <w:separator/>
      </w:r>
    </w:p>
  </w:endnote>
  <w:endnote w:type="continuationSeparator" w:id="0">
    <w:p w14:paraId="3641DADC" w14:textId="77777777" w:rsidR="00AF26DB" w:rsidRDefault="00AF26DB" w:rsidP="0005512E">
      <w:pPr>
        <w:spacing w:after="0" w:line="240" w:lineRule="auto"/>
      </w:pPr>
      <w:r>
        <w:continuationSeparator/>
      </w:r>
    </w:p>
  </w:endnote>
  <w:endnote w:type="continuationNotice" w:id="1">
    <w:p w14:paraId="2389D7E3" w14:textId="77777777" w:rsidR="00AF26DB" w:rsidRDefault="00AF2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20B0604020202020204"/>
    <w:charset w:val="80"/>
    <w:family w:val="auto"/>
    <w:notTrueType/>
    <w:pitch w:val="default"/>
    <w:sig w:usb0="00000001" w:usb1="08070000" w:usb2="00000010" w:usb3="00000000" w:csb0="00020000" w:csb1="00000000"/>
  </w:font>
  <w:font w:name="Liberation Sans">
    <w:altName w:val="Microsoft Sans Serif"/>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A00002AF" w:usb1="500078FB" w:usb2="00000000" w:usb3="00000000" w:csb0="6000009F" w:csb1="DFD70000"/>
  </w:font>
  <w:font w:name="Noto Serif CJK SC">
    <w:panose1 w:val="020B0604020202020204"/>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B06040202020202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0D97" w14:textId="77777777" w:rsidR="00AF26DB" w:rsidRDefault="00AF26DB" w:rsidP="0005512E">
      <w:pPr>
        <w:spacing w:after="0" w:line="240" w:lineRule="auto"/>
      </w:pPr>
      <w:r>
        <w:separator/>
      </w:r>
    </w:p>
  </w:footnote>
  <w:footnote w:type="continuationSeparator" w:id="0">
    <w:p w14:paraId="29C08F39" w14:textId="77777777" w:rsidR="00AF26DB" w:rsidRDefault="00AF26DB" w:rsidP="0005512E">
      <w:pPr>
        <w:spacing w:after="0" w:line="240" w:lineRule="auto"/>
      </w:pPr>
      <w:r>
        <w:continuationSeparator/>
      </w:r>
    </w:p>
  </w:footnote>
  <w:footnote w:type="continuationNotice" w:id="1">
    <w:p w14:paraId="3F51E0C0" w14:textId="77777777" w:rsidR="00AF26DB" w:rsidRDefault="00AF2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autoHyphenation/>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0"/>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sid w:val="000164D9"/>
    <w:rPr>
      <w:rFonts w:ascii="Times New Roman" w:eastAsia="MS Mincho" w:hAnsi="Times New Roman" w:cs="Times New Roman"/>
      <w:b/>
      <w:szCs w:val="24"/>
      <w:lang w:eastAsia="ja-JP"/>
    </w:rPr>
  </w:style>
  <w:style w:type="paragraph" w:customStyle="1" w:styleId="Tabletext">
    <w:name w:val="Table_text"/>
    <w:basedOn w:val="Normal"/>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Revision">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DefaultParagraphFont"/>
    <w:rsid w:val="00317B64"/>
  </w:style>
  <w:style w:type="paragraph" w:customStyle="1" w:styleId="Proposal1">
    <w:name w:val="Proposal_1"/>
    <w:basedOn w:val="Normal"/>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sid w:val="00E25E63"/>
    <w:rPr>
      <w:rFonts w:ascii="Times New Roman" w:hAnsi="Times New Roman" w:cs="Arial"/>
      <w:b/>
    </w:rPr>
  </w:style>
  <w:style w:type="paragraph" w:customStyle="1" w:styleId="Observation1">
    <w:name w:val="Observation_1"/>
    <w:basedOn w:val="Normal"/>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rsid w:val="00E25E63"/>
    <w:rPr>
      <w:rFonts w:ascii="Times New Roman" w:hAnsi="Times New Roman" w:cs="Times New Roman"/>
      <w:b/>
      <w:lang w:val="en-GB" w:eastAsia="ko-KR"/>
    </w:rPr>
  </w:style>
  <w:style w:type="character" w:customStyle="1" w:styleId="BodyTextChar1">
    <w:name w:val="Body Text Char1"/>
    <w:basedOn w:val="DefaultParagraphFont"/>
    <w:semiHidden/>
    <w:rsid w:val="00C01D38"/>
    <w:rPr>
      <w:rFonts w:ascii="Times New Roman" w:eastAsia="SimSun" w:hAnsi="Times New Roman" w:cs="Times New Roman"/>
    </w:rPr>
  </w:style>
  <w:style w:type="character" w:customStyle="1" w:styleId="DocumentMapChar1">
    <w:name w:val="Document Map Char1"/>
    <w:basedOn w:val="DefaultParagraphFont"/>
    <w:uiPriority w:val="99"/>
    <w:semiHidden/>
    <w:rsid w:val="00C01D38"/>
    <w:rPr>
      <w:rFonts w:ascii="Segoe UI" w:eastAsia="SimSun" w:hAnsi="Segoe UI" w:cs="Segoe UI"/>
      <w:sz w:val="16"/>
      <w:szCs w:val="16"/>
    </w:rPr>
  </w:style>
  <w:style w:type="character" w:customStyle="1" w:styleId="CommentTextChar1">
    <w:name w:val="Comment Text Char1"/>
    <w:basedOn w:val="DefaultParagraphFont"/>
    <w:semiHidden/>
    <w:rsid w:val="00C01D38"/>
    <w:rPr>
      <w:rFonts w:ascii="Times New Roman" w:eastAsia="SimSun" w:hAnsi="Times New Roman" w:cs="Times New Roman"/>
    </w:rPr>
  </w:style>
  <w:style w:type="character" w:customStyle="1" w:styleId="BodyText3Char1">
    <w:name w:val="Body Text 3 Char1"/>
    <w:basedOn w:val="DefaultParagraphFont"/>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rsid w:val="00C01D38"/>
    <w:rPr>
      <w:rFonts w:ascii="Times New Roman" w:eastAsia="SimSun" w:hAnsi="Times New Roman" w:cs="Times New Roman"/>
    </w:rPr>
  </w:style>
  <w:style w:type="character" w:customStyle="1" w:styleId="BalloonTextChar1">
    <w:name w:val="Balloon Text Char1"/>
    <w:basedOn w:val="DefaultParagraphFont"/>
    <w:uiPriority w:val="99"/>
    <w:semiHidden/>
    <w:rsid w:val="00C01D38"/>
    <w:rPr>
      <w:rFonts w:ascii="Segoe UI" w:eastAsia="SimSun" w:hAnsi="Segoe UI" w:cs="Segoe UI"/>
      <w:sz w:val="18"/>
      <w:szCs w:val="18"/>
    </w:rPr>
  </w:style>
  <w:style w:type="character" w:customStyle="1" w:styleId="FooterChar1">
    <w:name w:val="Footer Char1"/>
    <w:basedOn w:val="DefaultParagraphFont"/>
    <w:uiPriority w:val="99"/>
    <w:semiHidden/>
    <w:rsid w:val="00C01D38"/>
    <w:rPr>
      <w:rFonts w:ascii="Times New Roman" w:eastAsia="SimSun" w:hAnsi="Times New Roman" w:cs="Times New Roman"/>
    </w:rPr>
  </w:style>
  <w:style w:type="character" w:customStyle="1" w:styleId="HeaderChar1">
    <w:name w:val="Header Char1"/>
    <w:basedOn w:val="DefaultParagraphFont"/>
    <w:semiHidden/>
    <w:rsid w:val="00C01D38"/>
    <w:rPr>
      <w:rFonts w:ascii="Times New Roman" w:eastAsia="SimSun" w:hAnsi="Times New Roman" w:cs="Times New Roman"/>
    </w:rPr>
  </w:style>
  <w:style w:type="character" w:customStyle="1" w:styleId="SubtitleChar1">
    <w:name w:val="Subtitle Char1"/>
    <w:basedOn w:val="DefaultParagraphFont"/>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rsid w:val="00C01D38"/>
    <w:rPr>
      <w:rFonts w:ascii="Times New Roman" w:eastAsia="SimSun" w:hAnsi="Times New Roman" w:cs="Times New Roman"/>
    </w:rPr>
  </w:style>
  <w:style w:type="character" w:customStyle="1" w:styleId="BodyText2Char1">
    <w:name w:val="Body Text 2 Char1"/>
    <w:basedOn w:val="DefaultParagraphFont"/>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49ad96b0-caf3-4f73-a41a-1bfb2e5a4f18"/>
    <ds:schemaRef ds:uri="a7bc6c04-a6f3-4b85-abcc-278c78dc556b"/>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36</Pages>
  <Words>14305</Words>
  <Characters>81541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95655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Sven Jacobsson</cp:lastModifiedBy>
  <cp:revision>27</cp:revision>
  <dcterms:created xsi:type="dcterms:W3CDTF">2024-08-18T00:29:00Z</dcterms:created>
  <dcterms:modified xsi:type="dcterms:W3CDTF">2024-08-18T21:04:00Z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ies>
</file>