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E3D46" w14:textId="55787290" w:rsidR="00660CF3" w:rsidRPr="005C6D4C" w:rsidRDefault="00660CF3" w:rsidP="00660CF3">
      <w:pPr>
        <w:tabs>
          <w:tab w:val="center" w:pos="4536"/>
          <w:tab w:val="right" w:pos="8280"/>
          <w:tab w:val="right" w:pos="9639"/>
        </w:tabs>
        <w:snapToGrid w:val="0"/>
        <w:spacing w:line="288" w:lineRule="auto"/>
        <w:ind w:right="2"/>
        <w:rPr>
          <w:rFonts w:ascii="Arial" w:hAnsi="Arial" w:cs="Arial"/>
          <w:b/>
          <w:bCs/>
          <w:lang w:val="de-DE"/>
        </w:rPr>
      </w:pPr>
      <w:r w:rsidRPr="005C6D4C">
        <w:rPr>
          <w:rFonts w:ascii="Arial" w:hAnsi="Arial" w:cs="Arial"/>
          <w:b/>
          <w:bCs/>
          <w:lang w:val="de-DE"/>
        </w:rPr>
        <w:t>3GPP TSG RAN WG1 #118bis</w:t>
      </w:r>
      <w:r w:rsidRPr="005C6D4C">
        <w:rPr>
          <w:rFonts w:ascii="Arial" w:hAnsi="Arial" w:cs="Arial"/>
          <w:b/>
          <w:bCs/>
          <w:lang w:val="de-DE"/>
        </w:rPr>
        <w:tab/>
      </w:r>
      <w:r w:rsidRPr="005C6D4C">
        <w:rPr>
          <w:rFonts w:ascii="Arial" w:hAnsi="Arial" w:cs="Arial"/>
          <w:b/>
          <w:bCs/>
          <w:lang w:val="de-DE"/>
        </w:rPr>
        <w:tab/>
      </w:r>
      <w:r w:rsidRPr="005C6D4C">
        <w:rPr>
          <w:rFonts w:ascii="Arial" w:hAnsi="Arial" w:cs="Arial"/>
          <w:b/>
          <w:bCs/>
          <w:lang w:val="de-DE"/>
        </w:rPr>
        <w:tab/>
        <w:t>R1-240</w:t>
      </w:r>
      <w:r w:rsidR="002876E2">
        <w:rPr>
          <w:rFonts w:ascii="Arial" w:hAnsi="Arial" w:cs="Arial"/>
          <w:b/>
          <w:bCs/>
          <w:lang w:val="de-DE"/>
        </w:rPr>
        <w:t>9061</w:t>
      </w:r>
    </w:p>
    <w:p w14:paraId="013182F8" w14:textId="77777777" w:rsidR="00660CF3" w:rsidRDefault="00660CF3" w:rsidP="00660CF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w:t>
      </w:r>
      <w:r w:rsidRPr="00F2315E">
        <w:rPr>
          <w:rFonts w:ascii="Arial" w:hAnsi="Arial" w:cs="Arial"/>
          <w:b/>
          <w:bCs/>
          <w:lang w:val="en-GB"/>
        </w:rPr>
        <w:t xml:space="preserve">, </w:t>
      </w:r>
      <w:r>
        <w:rPr>
          <w:rFonts w:ascii="Arial" w:hAnsi="Arial" w:cs="Arial"/>
          <w:b/>
          <w:bCs/>
          <w:lang w:val="en-GB"/>
        </w:rPr>
        <w:t>China</w:t>
      </w:r>
      <w:r w:rsidRPr="00F2315E">
        <w:rPr>
          <w:rFonts w:ascii="Arial" w:hAnsi="Arial" w:cs="Arial"/>
          <w:b/>
          <w:bCs/>
          <w:lang w:val="en-GB"/>
        </w:rPr>
        <w:t xml:space="preserve">, </w:t>
      </w:r>
      <w:r>
        <w:rPr>
          <w:rFonts w:ascii="Arial" w:hAnsi="Arial" w:cs="Arial"/>
          <w:b/>
          <w:bCs/>
          <w:lang w:val="en-GB"/>
        </w:rPr>
        <w:t>October</w:t>
      </w:r>
      <w:r w:rsidRPr="00F2315E">
        <w:rPr>
          <w:rFonts w:ascii="Arial" w:hAnsi="Arial" w:cs="Arial"/>
          <w:b/>
          <w:bCs/>
          <w:lang w:val="en-GB"/>
        </w:rPr>
        <w:t xml:space="preserve"> </w:t>
      </w:r>
      <w:r>
        <w:rPr>
          <w:rFonts w:ascii="Arial" w:hAnsi="Arial" w:cs="Arial"/>
          <w:b/>
          <w:bCs/>
          <w:lang w:val="en-GB"/>
        </w:rPr>
        <w:t>14</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18</w:t>
      </w:r>
      <w:r>
        <w:rPr>
          <w:rFonts w:ascii="Arial" w:hAnsi="Arial" w:cs="Arial"/>
          <w:b/>
          <w:bCs/>
          <w:vertAlign w:val="superscript"/>
          <w:lang w:val="en-GB"/>
        </w:rPr>
        <w:t>th</w:t>
      </w:r>
      <w:r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4DF6E20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60CF3">
        <w:rPr>
          <w:rFonts w:ascii="Arial" w:hAnsi="Arial" w:cs="Arial"/>
        </w:rPr>
        <w:t>for</w:t>
      </w:r>
      <w:r w:rsidR="0053203B" w:rsidRPr="0053203B">
        <w:rPr>
          <w:rFonts w:ascii="Arial" w:hAnsi="Arial" w:cs="Arial"/>
        </w:rPr>
        <w:t xml:space="preserve"> </w:t>
      </w:r>
      <w:r w:rsidR="00660CF3">
        <w:rPr>
          <w:rFonts w:ascii="Arial" w:hAnsi="Arial" w:cs="Arial"/>
        </w:rPr>
        <w:t>1</w:t>
      </w:r>
      <w:r w:rsidR="00660CF3" w:rsidRPr="00660CF3">
        <w:rPr>
          <w:rFonts w:ascii="Arial" w:hAnsi="Arial" w:cs="Arial"/>
          <w:vertAlign w:val="superscript"/>
        </w:rPr>
        <w:t>st</w:t>
      </w:r>
      <w:r w:rsidR="00660CF3">
        <w:rPr>
          <w:rFonts w:ascii="Arial" w:hAnsi="Arial" w:cs="Arial"/>
        </w:rPr>
        <w:t xml:space="preserve"> </w:t>
      </w:r>
      <w:r w:rsidR="0053203B" w:rsidRPr="0053203B">
        <w:rPr>
          <w:rFonts w:ascii="Arial" w:hAnsi="Arial" w:cs="Arial"/>
        </w:rPr>
        <w:t xml:space="preserve">offline </w:t>
      </w:r>
      <w:r w:rsidR="00660CF3">
        <w:rPr>
          <w:rFonts w:ascii="Arial" w:hAnsi="Arial" w:cs="Arial"/>
        </w:rPr>
        <w:t xml:space="preserve">on </w:t>
      </w:r>
      <w:r>
        <w:rPr>
          <w:rFonts w:ascii="Arial" w:hAnsi="Arial" w:cs="Arial"/>
        </w:rPr>
        <w:t>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7045ECE2" w14:textId="77777777" w:rsidR="00EA50E6" w:rsidRDefault="00EA50E6" w:rsidP="00EA50E6">
      <w:pPr>
        <w:snapToGrid w:val="0"/>
        <w:rPr>
          <w:sz w:val="20"/>
          <w:szCs w:val="20"/>
        </w:rPr>
      </w:pPr>
    </w:p>
    <w:p w14:paraId="28B5C7FA" w14:textId="45588728" w:rsidR="001C19E9" w:rsidRDefault="00241F8E" w:rsidP="00EA50E6">
      <w:pPr>
        <w:snapToGrid w:val="0"/>
        <w:rPr>
          <w:sz w:val="20"/>
          <w:szCs w:val="20"/>
        </w:rPr>
      </w:pPr>
      <w:r>
        <w:rPr>
          <w:sz w:val="20"/>
          <w:szCs w:val="20"/>
        </w:rPr>
        <w:t xml:space="preserve">The </w:t>
      </w:r>
      <w:r w:rsidR="0053203B">
        <w:rPr>
          <w:sz w:val="20"/>
          <w:szCs w:val="20"/>
        </w:rPr>
        <w:t>following proposals were discussed.</w:t>
      </w:r>
    </w:p>
    <w:p w14:paraId="521CBE6D" w14:textId="77777777" w:rsidR="001C19E9" w:rsidRDefault="001C19E9" w:rsidP="00EA50E6">
      <w:pPr>
        <w:snapToGrid w:val="0"/>
        <w:jc w:val="both"/>
        <w:rPr>
          <w:sz w:val="20"/>
          <w:szCs w:val="20"/>
        </w:rPr>
      </w:pPr>
    </w:p>
    <w:p w14:paraId="33C23750" w14:textId="44104A65" w:rsidR="001C19E9" w:rsidRDefault="00241F8E">
      <w:pPr>
        <w:pStyle w:val="Heading2"/>
        <w:numPr>
          <w:ilvl w:val="0"/>
          <w:numId w:val="13"/>
        </w:numPr>
      </w:pPr>
      <w:r>
        <w:t xml:space="preserve">Summary of </w:t>
      </w:r>
      <w:r w:rsidR="0053203B">
        <w:t>proposals</w:t>
      </w:r>
      <w:r>
        <w:t xml:space="preserve"> </w:t>
      </w:r>
    </w:p>
    <w:p w14:paraId="62998CA0" w14:textId="563DB5F2" w:rsidR="001C19E9" w:rsidRDefault="001C19E9">
      <w:pPr>
        <w:snapToGrid w:val="0"/>
        <w:rPr>
          <w:sz w:val="20"/>
          <w:lang w:val="en-GB"/>
        </w:rPr>
      </w:pP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182D715A" w14:textId="41352B54" w:rsidR="008A5124" w:rsidRDefault="008A5124" w:rsidP="0053203B">
      <w:pPr>
        <w:snapToGrid w:val="0"/>
      </w:pPr>
    </w:p>
    <w:tbl>
      <w:tblPr>
        <w:tblW w:w="9985" w:type="dxa"/>
        <w:tblLayout w:type="fixed"/>
        <w:tblLook w:val="04A0" w:firstRow="1" w:lastRow="0" w:firstColumn="1" w:lastColumn="0" w:noHBand="0" w:noVBand="1"/>
      </w:tblPr>
      <w:tblGrid>
        <w:gridCol w:w="531"/>
        <w:gridCol w:w="7024"/>
        <w:gridCol w:w="2430"/>
      </w:tblGrid>
      <w:tr w:rsidR="00371E64" w14:paraId="4989565D" w14:textId="77777777" w:rsidTr="00F911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E13656" w14:textId="77777777" w:rsidR="00371E64" w:rsidRDefault="00371E64" w:rsidP="00F91160">
            <w:pPr>
              <w:widowControl w:val="0"/>
              <w:snapToGrid w:val="0"/>
              <w:rPr>
                <w:sz w:val="18"/>
                <w:szCs w:val="18"/>
              </w:rPr>
            </w:pPr>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6EE7C34" w14:textId="77777777" w:rsidR="00371E64" w:rsidRDefault="00371E64" w:rsidP="00F91160">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561F8D36" w14:textId="77777777" w:rsidR="00371E64" w:rsidRDefault="00371E64" w:rsidP="00371E64">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137944E9" w14:textId="77777777" w:rsidR="00371E64" w:rsidRDefault="00371E64" w:rsidP="00F91160">
            <w:pPr>
              <w:widowControl w:val="0"/>
              <w:snapToGrid w:val="0"/>
              <w:rPr>
                <w:rFonts w:eastAsia="Batang"/>
                <w:b/>
                <w:iCs/>
                <w:color w:val="3333FF"/>
                <w:sz w:val="18"/>
                <w:szCs w:val="20"/>
                <w:u w:val="single"/>
                <w:lang w:val="en-GB"/>
              </w:rPr>
            </w:pPr>
          </w:p>
          <w:p w14:paraId="2E554E86" w14:textId="77777777" w:rsidR="00371E64" w:rsidRDefault="00371E64" w:rsidP="00F91160">
            <w:pPr>
              <w:widowControl w:val="0"/>
              <w:snapToGrid w:val="0"/>
              <w:rPr>
                <w:rFonts w:eastAsia="Batang"/>
                <w:b/>
                <w:iCs/>
                <w:color w:val="3333FF"/>
                <w:sz w:val="18"/>
                <w:szCs w:val="20"/>
                <w:u w:val="single"/>
                <w:lang w:val="en-GB"/>
              </w:rPr>
            </w:pPr>
          </w:p>
          <w:p w14:paraId="19B24725" w14:textId="77777777" w:rsidR="00371E64" w:rsidRDefault="00371E64" w:rsidP="00F91160">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sound for the completeness of Rel-19 Type-I SP codebook. Note that this doesn’t impact the legacy Rel-15 Type-I SP design.</w:t>
            </w:r>
          </w:p>
          <w:p w14:paraId="67600F76" w14:textId="77777777" w:rsidR="00371E64" w:rsidRDefault="00371E64" w:rsidP="00F91160">
            <w:pPr>
              <w:widowControl w:val="0"/>
              <w:snapToGrid w:val="0"/>
              <w:rPr>
                <w:rFonts w:eastAsia="Batang"/>
                <w:iCs/>
                <w:color w:val="3333FF"/>
                <w:sz w:val="18"/>
                <w:szCs w:val="20"/>
                <w:lang w:val="en-GB"/>
              </w:rPr>
            </w:pPr>
          </w:p>
          <w:p w14:paraId="6B3E0478" w14:textId="77777777" w:rsidR="00371E64" w:rsidRDefault="00371E64" w:rsidP="00F91160">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 </w:t>
            </w:r>
            <w:r>
              <w:rPr>
                <w:rFonts w:eastAsia="Batang"/>
                <w:iCs/>
                <w:color w:val="3333FF"/>
                <w:sz w:val="18"/>
                <w:szCs w:val="20"/>
              </w:rPr>
              <w:t xml:space="preserve">supporting </w:t>
            </w:r>
            <w:r>
              <w:rPr>
                <w:rFonts w:eastAsia="Batang"/>
                <w:b/>
                <w:iCs/>
                <w:color w:val="3333FF"/>
                <w:sz w:val="18"/>
                <w:szCs w:val="20"/>
                <w:highlight w:val="yellow"/>
              </w:rPr>
              <w:t>up to a total of 128 CSI-RS ports</w:t>
            </w:r>
            <w:r>
              <w:rPr>
                <w:rFonts w:eastAsia="Batang"/>
                <w:iCs/>
                <w:color w:val="3333FF"/>
                <w:sz w:val="18"/>
                <w:szCs w:val="20"/>
              </w:rPr>
              <w:t xml:space="preserve"> across all resources, assuming </w:t>
            </w:r>
            <w:r>
              <w:rPr>
                <w:rFonts w:eastAsia="Batang"/>
                <w:b/>
                <w:iCs/>
                <w:color w:val="3333FF"/>
                <w:sz w:val="18"/>
                <w:szCs w:val="20"/>
                <w:highlight w:val="yellow"/>
              </w:rPr>
              <w:t>legacy CSI-RS resources (with up to 32 CSI-RS ports per resource)</w:t>
            </w:r>
            <w:r>
              <w:rPr>
                <w:rFonts w:eastAsia="Batang"/>
                <w:iCs/>
                <w:color w:val="3333FF"/>
                <w:sz w:val="18"/>
                <w:szCs w:val="20"/>
              </w:rPr>
              <w:t>, …</w:t>
            </w:r>
            <w:r>
              <w:rPr>
                <w:rFonts w:eastAsia="Batang"/>
                <w:iCs/>
                <w:color w:val="3333FF"/>
                <w:sz w:val="18"/>
                <w:szCs w:val="20"/>
                <w:lang w:val="en-GB"/>
              </w:rPr>
              <w:t xml:space="preserve">” which, strictly speaking, doesn’t preclude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53E714B" w14:textId="77777777" w:rsidR="00371E64" w:rsidRDefault="00371E64" w:rsidP="00F91160">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8D3446" w14:textId="77777777" w:rsidR="00371E64" w:rsidRDefault="00371E64" w:rsidP="00F91160">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4F1B15BB" w14:textId="77777777" w:rsidR="00371E64" w:rsidRDefault="00371E64" w:rsidP="00F91160">
            <w:pPr>
              <w:snapToGrid w:val="0"/>
              <w:rPr>
                <w:rFonts w:eastAsiaTheme="minorEastAsia"/>
                <w:b/>
                <w:iCs/>
                <w:sz w:val="18"/>
                <w:szCs w:val="18"/>
                <w:lang w:val="en-GB"/>
              </w:rPr>
            </w:pPr>
          </w:p>
          <w:p w14:paraId="5D1D7887" w14:textId="77777777" w:rsidR="00371E64" w:rsidRDefault="00371E64" w:rsidP="00F91160">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 (OOS),</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vivo, HONOR, Apple, TCL, Fraunhofer IIS/HHI,</w:t>
            </w:r>
            <w:r>
              <w:rPr>
                <w:rFonts w:eastAsiaTheme="minorEastAsia"/>
                <w:iCs/>
                <w:sz w:val="18"/>
                <w:szCs w:val="20"/>
                <w:lang w:val="en-GB"/>
              </w:rPr>
              <w:t xml:space="preserve"> </w:t>
            </w:r>
            <w:proofErr w:type="spellStart"/>
            <w:r>
              <w:rPr>
                <w:rFonts w:eastAsiaTheme="minorEastAsia"/>
                <w:iCs/>
                <w:sz w:val="18"/>
                <w:szCs w:val="18"/>
                <w:lang w:val="en-GB"/>
              </w:rPr>
              <w:t>Tejas</w:t>
            </w:r>
            <w:proofErr w:type="spellEnd"/>
            <w:r>
              <w:rPr>
                <w:rFonts w:eastAsiaTheme="minorEastAsia"/>
                <w:iCs/>
                <w:sz w:val="18"/>
                <w:szCs w:val="18"/>
                <w:lang w:val="en-GB"/>
              </w:rPr>
              <w:t xml:space="preserve">,   </w:t>
            </w:r>
          </w:p>
          <w:p w14:paraId="4EA5CBD4" w14:textId="77777777" w:rsidR="00371E64" w:rsidRDefault="00371E64" w:rsidP="00F91160">
            <w:pPr>
              <w:snapToGrid w:val="0"/>
              <w:jc w:val="both"/>
              <w:rPr>
                <w:rFonts w:eastAsiaTheme="minorEastAsia"/>
                <w:b/>
                <w:iCs/>
                <w:sz w:val="18"/>
                <w:szCs w:val="18"/>
                <w:lang w:val="en-GB"/>
              </w:rPr>
            </w:pPr>
          </w:p>
        </w:tc>
      </w:tr>
    </w:tbl>
    <w:p w14:paraId="6DA671AD" w14:textId="77777777" w:rsidR="00D84F60" w:rsidRPr="00371E64" w:rsidRDefault="00D84F60" w:rsidP="0053203B">
      <w:pPr>
        <w:snapToGrid w:val="0"/>
        <w:rPr>
          <w:lang w:val="en-GB"/>
        </w:rPr>
      </w:pPr>
    </w:p>
    <w:p w14:paraId="0B019FA9" w14:textId="77777777" w:rsidR="0053203B" w:rsidRDefault="0053203B" w:rsidP="0053203B">
      <w:pPr>
        <w:snapToGrid w:val="0"/>
      </w:pPr>
    </w:p>
    <w:p w14:paraId="7CD6E1E2" w14:textId="6B3EA3CA" w:rsidR="001C19E9" w:rsidRDefault="00241F8E">
      <w:pPr>
        <w:pStyle w:val="Heading3"/>
        <w:numPr>
          <w:ilvl w:val="1"/>
          <w:numId w:val="13"/>
        </w:numPr>
      </w:pPr>
      <w:r>
        <w:t>Issue 2 (WID objective 2c): CRI-based CSI for hybrid beamforming (HBF)</w:t>
      </w:r>
    </w:p>
    <w:p w14:paraId="5D1E67C1" w14:textId="77777777" w:rsidR="008C5E16" w:rsidRPr="008C5E16" w:rsidRDefault="008C5E16" w:rsidP="008C5E16"/>
    <w:tbl>
      <w:tblPr>
        <w:tblW w:w="9985" w:type="dxa"/>
        <w:tblLayout w:type="fixed"/>
        <w:tblLook w:val="04A0" w:firstRow="1" w:lastRow="0" w:firstColumn="1" w:lastColumn="0" w:noHBand="0" w:noVBand="1"/>
      </w:tblPr>
      <w:tblGrid>
        <w:gridCol w:w="531"/>
        <w:gridCol w:w="7024"/>
        <w:gridCol w:w="2430"/>
      </w:tblGrid>
      <w:tr w:rsidR="008C5E16" w:rsidRPr="005B5729" w14:paraId="7E7B9945" w14:textId="77777777" w:rsidTr="00F91160">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15117" w14:textId="77777777" w:rsidR="008C5E16" w:rsidRPr="005B5729" w:rsidRDefault="008C5E16" w:rsidP="00F91160">
            <w:pPr>
              <w:widowControl w:val="0"/>
              <w:snapToGrid w:val="0"/>
              <w:rPr>
                <w:sz w:val="20"/>
                <w:szCs w:val="18"/>
              </w:rPr>
            </w:pPr>
            <w:r>
              <w:rPr>
                <w:sz w:val="20"/>
                <w:szCs w:val="18"/>
              </w:rPr>
              <w:t>2.1.1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E10CCC1" w14:textId="77777777" w:rsidR="008C5E16" w:rsidRDefault="008C5E16" w:rsidP="00F91160">
            <w:pPr>
              <w:snapToGrid w:val="0"/>
              <w:rPr>
                <w:b/>
                <w:sz w:val="20"/>
                <w:szCs w:val="22"/>
                <w:highlight w:val="green"/>
              </w:rPr>
            </w:pPr>
            <w:r>
              <w:rPr>
                <w:b/>
                <w:sz w:val="20"/>
                <w:szCs w:val="22"/>
                <w:u w:val="single"/>
              </w:rPr>
              <w:t>Proposal 2.A.1</w:t>
            </w:r>
            <w:r>
              <w:rPr>
                <w:sz w:val="20"/>
                <w:szCs w:val="22"/>
              </w:rPr>
              <w:t xml:space="preserve">: Amend the agreement on Monday online session </w:t>
            </w:r>
            <w:r w:rsidRPr="00F7190B">
              <w:rPr>
                <w:sz w:val="20"/>
                <w:szCs w:val="22"/>
                <w:highlight w:val="cyan"/>
              </w:rPr>
              <w:t>as follows</w:t>
            </w:r>
            <w:r>
              <w:rPr>
                <w:sz w:val="20"/>
                <w:szCs w:val="22"/>
              </w:rPr>
              <w:t>:</w:t>
            </w:r>
          </w:p>
          <w:p w14:paraId="558BC315" w14:textId="77777777" w:rsidR="008C5E16" w:rsidRDefault="008C5E16" w:rsidP="00F91160">
            <w:pPr>
              <w:snapToGrid w:val="0"/>
              <w:rPr>
                <w:b/>
                <w:sz w:val="20"/>
                <w:szCs w:val="22"/>
                <w:highlight w:val="green"/>
              </w:rPr>
            </w:pPr>
          </w:p>
          <w:p w14:paraId="6DC7D498" w14:textId="77777777" w:rsidR="008C5E16" w:rsidRPr="00052979" w:rsidRDefault="008C5E16" w:rsidP="00F91160">
            <w:pPr>
              <w:snapToGrid w:val="0"/>
              <w:rPr>
                <w:sz w:val="20"/>
                <w:szCs w:val="22"/>
              </w:rPr>
            </w:pPr>
            <w:r w:rsidRPr="00052979">
              <w:rPr>
                <w:b/>
                <w:sz w:val="20"/>
                <w:szCs w:val="22"/>
                <w:highlight w:val="green"/>
              </w:rPr>
              <w:t>Agreement</w:t>
            </w:r>
            <w:r w:rsidRPr="00052979">
              <w:rPr>
                <w:sz w:val="20"/>
                <w:szCs w:val="22"/>
                <w:highlight w:val="green"/>
              </w:rPr>
              <w:t>:</w:t>
            </w:r>
            <w:r w:rsidRPr="00052979">
              <w:rPr>
                <w:sz w:val="20"/>
                <w:szCs w:val="22"/>
              </w:rPr>
              <w:t xml:space="preserve"> </w:t>
            </w:r>
          </w:p>
          <w:p w14:paraId="2633AE80" w14:textId="77777777" w:rsidR="008C5E16" w:rsidRDefault="008C5E16" w:rsidP="00F91160">
            <w:pPr>
              <w:snapToGrid w:val="0"/>
              <w:rPr>
                <w:sz w:val="20"/>
                <w:szCs w:val="22"/>
              </w:rPr>
            </w:pPr>
            <w:r>
              <w:rPr>
                <w:sz w:val="20"/>
                <w:szCs w:val="22"/>
              </w:rPr>
              <w:t xml:space="preserve">For the Rel-19 CRI-based CSI refinement for up to 128 CSI-RS ports, </w:t>
            </w:r>
            <w:r>
              <w:rPr>
                <w:rFonts w:ascii="Times" w:eastAsia="Malgun Gothic" w:hAnsi="Times" w:cs="Times"/>
                <w:sz w:val="20"/>
                <w:szCs w:val="20"/>
                <w:lang w:val="en-GB"/>
              </w:rPr>
              <w:t>regarding priority 0 (G0)</w:t>
            </w:r>
            <w:r w:rsidRPr="00F7190B">
              <w:rPr>
                <w:rFonts w:ascii="Times" w:eastAsia="Malgun Gothic" w:hAnsi="Times" w:cs="Times"/>
                <w:sz w:val="20"/>
                <w:szCs w:val="20"/>
                <w:highlight w:val="cyan"/>
                <w:lang w:val="en-GB"/>
              </w:rPr>
              <w:t>/wideband</w:t>
            </w:r>
            <w:r>
              <w:rPr>
                <w:rFonts w:ascii="Times" w:eastAsia="Malgun Gothic" w:hAnsi="Times" w:cs="Times"/>
                <w:sz w:val="20"/>
                <w:szCs w:val="20"/>
                <w:lang w:val="en-GB"/>
              </w:rPr>
              <w:t xml:space="preserve"> in CSI part 2, the UCI packing order is as follows:</w:t>
            </w:r>
          </w:p>
          <w:p w14:paraId="27BA31E7"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The G0 for the 1</w:t>
            </w:r>
            <w:r>
              <w:rPr>
                <w:rFonts w:eastAsia="Malgun Gothic"/>
                <w:sz w:val="20"/>
                <w:szCs w:val="18"/>
                <w:vertAlign w:val="superscript"/>
              </w:rPr>
              <w:t>st</w:t>
            </w:r>
            <w:r>
              <w:rPr>
                <w:rFonts w:eastAsia="Malgun Gothic"/>
                <w:sz w:val="20"/>
                <w:szCs w:val="18"/>
              </w:rPr>
              <w:t xml:space="preserve"> configured CMR among the non-reported M</w:t>
            </w:r>
            <w:r>
              <w:rPr>
                <w:rFonts w:eastAsia="Malgun Gothic"/>
                <w:sz w:val="20"/>
                <w:szCs w:val="18"/>
                <w:vertAlign w:val="subscript"/>
              </w:rPr>
              <w:t>R</w:t>
            </w:r>
            <w:r>
              <w:rPr>
                <w:rFonts w:eastAsia="Malgun Gothic"/>
                <w:sz w:val="20"/>
                <w:szCs w:val="18"/>
              </w:rPr>
              <w:t xml:space="preserve"> CRIs;</w:t>
            </w:r>
          </w:p>
          <w:p w14:paraId="2D1936BF"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w:t>
            </w:r>
          </w:p>
          <w:p w14:paraId="3B561055"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The G0 for the last configured CMR among the non-reported M</w:t>
            </w:r>
            <w:r>
              <w:rPr>
                <w:rFonts w:eastAsia="Malgun Gothic"/>
                <w:sz w:val="20"/>
                <w:szCs w:val="18"/>
                <w:vertAlign w:val="subscript"/>
              </w:rPr>
              <w:t>R</w:t>
            </w:r>
            <w:r>
              <w:rPr>
                <w:rFonts w:eastAsia="Malgun Gothic"/>
                <w:sz w:val="20"/>
                <w:szCs w:val="18"/>
              </w:rPr>
              <w:t xml:space="preserve"> CRIs;</w:t>
            </w:r>
          </w:p>
          <w:p w14:paraId="6FBD69A3"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The G0 for the 1</w:t>
            </w:r>
            <w:r>
              <w:rPr>
                <w:rFonts w:eastAsia="Malgun Gothic"/>
                <w:sz w:val="20"/>
                <w:szCs w:val="18"/>
                <w:vertAlign w:val="superscript"/>
              </w:rPr>
              <w:t>st</w:t>
            </w:r>
            <w:r>
              <w:rPr>
                <w:rFonts w:eastAsia="Malgun Gothic"/>
                <w:sz w:val="20"/>
                <w:szCs w:val="18"/>
              </w:rPr>
              <w:t xml:space="preserve"> reported CRI;</w:t>
            </w:r>
          </w:p>
          <w:p w14:paraId="508A8D79"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w:t>
            </w:r>
          </w:p>
          <w:p w14:paraId="6E622D27"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lastRenderedPageBreak/>
              <w:t>The G0 for the (M- M</w:t>
            </w:r>
            <w:r>
              <w:rPr>
                <w:rFonts w:eastAsia="Malgun Gothic"/>
                <w:sz w:val="20"/>
                <w:szCs w:val="18"/>
                <w:vertAlign w:val="subscript"/>
              </w:rPr>
              <w:t>R</w:t>
            </w:r>
            <w:r>
              <w:rPr>
                <w:rFonts w:eastAsia="Malgun Gothic"/>
                <w:sz w:val="20"/>
                <w:szCs w:val="18"/>
              </w:rPr>
              <w:t>)-</w:t>
            </w:r>
            <w:proofErr w:type="spellStart"/>
            <w:r>
              <w:rPr>
                <w:rFonts w:eastAsia="Malgun Gothic"/>
                <w:sz w:val="20"/>
                <w:szCs w:val="18"/>
              </w:rPr>
              <w:t>th</w:t>
            </w:r>
            <w:proofErr w:type="spellEnd"/>
            <w:r>
              <w:rPr>
                <w:rFonts w:eastAsia="Malgun Gothic"/>
                <w:sz w:val="20"/>
                <w:szCs w:val="18"/>
              </w:rPr>
              <w:t xml:space="preserve"> reported CRI;</w:t>
            </w:r>
          </w:p>
          <w:p w14:paraId="476B14F9" w14:textId="77777777" w:rsidR="008C5E16" w:rsidRDefault="008C5E16" w:rsidP="00F91160">
            <w:pPr>
              <w:snapToGrid w:val="0"/>
              <w:rPr>
                <w:rFonts w:eastAsia="Malgun Gothic"/>
                <w:sz w:val="20"/>
                <w:szCs w:val="18"/>
              </w:rPr>
            </w:pPr>
            <w:r>
              <w:rPr>
                <w:rFonts w:eastAsia="Malgun Gothic"/>
                <w:sz w:val="20"/>
                <w:szCs w:val="18"/>
              </w:rPr>
              <w:t>The entire G0 is either reported or dropped entirely, following the legacy principle.</w:t>
            </w:r>
          </w:p>
          <w:p w14:paraId="72106C32" w14:textId="77777777" w:rsidR="008C5E16" w:rsidRDefault="008C5E16" w:rsidP="00F91160">
            <w:pPr>
              <w:snapToGrid w:val="0"/>
              <w:jc w:val="both"/>
              <w:rPr>
                <w:rFonts w:eastAsia="Malgun Gothic"/>
                <w:sz w:val="18"/>
                <w:szCs w:val="18"/>
              </w:rPr>
            </w:pPr>
          </w:p>
          <w:p w14:paraId="7B13AEE6" w14:textId="77777777" w:rsidR="008C5E16" w:rsidRDefault="008C5E16" w:rsidP="00F911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amendment is needed to capture the behaviour for wideband part in CSI part 2</w:t>
            </w:r>
          </w:p>
          <w:p w14:paraId="3D29ADC2" w14:textId="77777777" w:rsidR="008C5E16" w:rsidRPr="00F7190B" w:rsidRDefault="008C5E16" w:rsidP="00F91160">
            <w:pPr>
              <w:snapToGrid w:val="0"/>
              <w:jc w:val="both"/>
              <w:rPr>
                <w:rFonts w:eastAsia="Malgun Gothic"/>
                <w:sz w:val="18"/>
                <w:szCs w:val="18"/>
                <w:lang w:val="en-GB"/>
              </w:rPr>
            </w:pPr>
          </w:p>
          <w:p w14:paraId="02FBBD3A" w14:textId="77777777" w:rsidR="008C5E16" w:rsidRDefault="008C5E16" w:rsidP="00F91160">
            <w:pPr>
              <w:snapToGrid w:val="0"/>
              <w:jc w:val="both"/>
              <w:rPr>
                <w:rFonts w:eastAsia="Malgun Gothic"/>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E971411" w14:textId="77777777" w:rsidR="008C5E16" w:rsidRDefault="008C5E16" w:rsidP="00F91160">
            <w:pPr>
              <w:widowControl w:val="0"/>
              <w:snapToGrid w:val="0"/>
              <w:rPr>
                <w:rFonts w:eastAsiaTheme="minorEastAsia"/>
                <w:b/>
                <w:iCs/>
                <w:sz w:val="18"/>
                <w:szCs w:val="18"/>
                <w:lang w:val="en-GB"/>
              </w:rPr>
            </w:pPr>
          </w:p>
          <w:p w14:paraId="54E99A48" w14:textId="77777777" w:rsidR="008C5E16" w:rsidRDefault="008C5E16" w:rsidP="00F91160">
            <w:pPr>
              <w:widowControl w:val="0"/>
              <w:snapToGrid w:val="0"/>
              <w:rPr>
                <w:rFonts w:eastAsiaTheme="minorEastAsia"/>
                <w:b/>
                <w:iCs/>
                <w:sz w:val="18"/>
                <w:szCs w:val="18"/>
                <w:lang w:val="en-GB"/>
              </w:rPr>
            </w:pPr>
          </w:p>
          <w:p w14:paraId="20D09F4A" w14:textId="77777777" w:rsidR="008C5E16" w:rsidRPr="005B5729" w:rsidRDefault="008C5E16" w:rsidP="00F91160">
            <w:pPr>
              <w:widowControl w:val="0"/>
              <w:snapToGrid w:val="0"/>
              <w:rPr>
                <w:rFonts w:eastAsiaTheme="minorEastAsia"/>
                <w:b/>
                <w:iCs/>
                <w:sz w:val="18"/>
                <w:szCs w:val="18"/>
                <w:lang w:val="en-GB"/>
              </w:rPr>
            </w:pPr>
          </w:p>
        </w:tc>
      </w:tr>
      <w:tr w:rsidR="008C5E16" w14:paraId="1FC1DCC1" w14:textId="77777777" w:rsidTr="00F91160">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B3DF87" w14:textId="77777777" w:rsidR="008C5E16" w:rsidRDefault="008C5E16" w:rsidP="00F91160">
            <w:pPr>
              <w:widowControl w:val="0"/>
              <w:snapToGrid w:val="0"/>
              <w:rPr>
                <w:sz w:val="20"/>
                <w:szCs w:val="18"/>
              </w:rPr>
            </w:pPr>
            <w:r>
              <w:rPr>
                <w:sz w:val="20"/>
                <w:szCs w:val="18"/>
              </w:rPr>
              <w:t>2.2.2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D933ACD" w14:textId="77777777" w:rsidR="008C5E16" w:rsidRDefault="008C5E16" w:rsidP="00F91160">
            <w:pPr>
              <w:snapToGrid w:val="0"/>
              <w:rPr>
                <w:sz w:val="20"/>
                <w:szCs w:val="22"/>
              </w:rPr>
            </w:pPr>
            <w:r>
              <w:rPr>
                <w:b/>
                <w:sz w:val="20"/>
                <w:szCs w:val="22"/>
                <w:u w:val="single"/>
              </w:rPr>
              <w:t>Proposal 2.A.2</w:t>
            </w:r>
            <w:r>
              <w:rPr>
                <w:sz w:val="20"/>
                <w:szCs w:val="22"/>
              </w:rPr>
              <w:t xml:space="preserve">: For the Rel-19 CRI-based CSI refinement for up to 128 CSI-RS ports, </w:t>
            </w:r>
            <w:r>
              <w:rPr>
                <w:rFonts w:ascii="Times" w:eastAsia="Malgun Gothic" w:hAnsi="Times" w:cs="Times"/>
                <w:sz w:val="20"/>
                <w:szCs w:val="20"/>
                <w:lang w:val="en-GB"/>
              </w:rPr>
              <w:t xml:space="preserve">regarding </w:t>
            </w:r>
            <w:r w:rsidRPr="00F7190B">
              <w:rPr>
                <w:rFonts w:ascii="Times" w:eastAsia="Malgun Gothic" w:hAnsi="Times" w:cs="Times"/>
                <w:sz w:val="20"/>
                <w:szCs w:val="20"/>
                <w:highlight w:val="cyan"/>
                <w:lang w:val="en-GB"/>
              </w:rPr>
              <w:t>periodic</w:t>
            </w:r>
            <w:r>
              <w:rPr>
                <w:rFonts w:ascii="Times" w:eastAsia="Malgun Gothic" w:hAnsi="Times" w:cs="Times"/>
                <w:sz w:val="20"/>
                <w:szCs w:val="20"/>
                <w:lang w:val="en-GB"/>
              </w:rPr>
              <w:t xml:space="preserve"> wideband CQI/PMI reporting, the UCI packing order is as follows:</w:t>
            </w:r>
          </w:p>
          <w:p w14:paraId="34438E82"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1</w:t>
            </w:r>
            <w:r>
              <w:rPr>
                <w:rFonts w:eastAsia="Malgun Gothic"/>
                <w:sz w:val="20"/>
                <w:szCs w:val="18"/>
                <w:vertAlign w:val="superscript"/>
              </w:rPr>
              <w:t>st</w:t>
            </w:r>
            <w:r>
              <w:rPr>
                <w:rFonts w:eastAsia="Malgun Gothic"/>
                <w:sz w:val="20"/>
                <w:szCs w:val="18"/>
              </w:rPr>
              <w:t xml:space="preserve"> reported CRI;</w:t>
            </w:r>
          </w:p>
          <w:p w14:paraId="1EBEE85F"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w:t>
            </w:r>
          </w:p>
          <w:p w14:paraId="1CE54181" w14:textId="77777777" w:rsidR="008C5E16" w:rsidRDefault="008C5E16" w:rsidP="008C5E16">
            <w:pPr>
              <w:pStyle w:val="ListParagraph"/>
              <w:numPr>
                <w:ilvl w:val="0"/>
                <w:numId w:val="42"/>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M-</w:t>
            </w:r>
            <w:proofErr w:type="spellStart"/>
            <w:r>
              <w:rPr>
                <w:rFonts w:eastAsia="Malgun Gothic"/>
                <w:sz w:val="20"/>
                <w:szCs w:val="18"/>
              </w:rPr>
              <w:t>th</w:t>
            </w:r>
            <w:proofErr w:type="spellEnd"/>
            <w:r>
              <w:rPr>
                <w:rFonts w:eastAsia="Malgun Gothic"/>
                <w:sz w:val="20"/>
                <w:szCs w:val="18"/>
              </w:rPr>
              <w:t xml:space="preserve"> reported CRI;</w:t>
            </w:r>
          </w:p>
          <w:p w14:paraId="220EC629" w14:textId="77777777" w:rsidR="008C5E16" w:rsidRDefault="008C5E16" w:rsidP="00F91160">
            <w:pPr>
              <w:snapToGrid w:val="0"/>
              <w:rPr>
                <w:b/>
                <w:sz w:val="20"/>
                <w:szCs w:val="22"/>
                <w:highlight w:val="green"/>
              </w:rPr>
            </w:pPr>
          </w:p>
          <w:p w14:paraId="2BD4D3A2" w14:textId="77777777" w:rsidR="008C5E16" w:rsidRDefault="008C5E16" w:rsidP="00F91160">
            <w:pPr>
              <w:snapToGrid w:val="0"/>
              <w:rPr>
                <w:b/>
                <w:sz w:val="20"/>
                <w:szCs w:val="22"/>
                <w:highlight w:val="green"/>
              </w:rPr>
            </w:pPr>
          </w:p>
          <w:p w14:paraId="1EC7C54C" w14:textId="77777777" w:rsidR="008C5E16" w:rsidRDefault="008C5E16" w:rsidP="00F911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addresses only P-CSI reporting </w:t>
            </w:r>
          </w:p>
          <w:p w14:paraId="70E8A71C" w14:textId="77777777" w:rsidR="008C5E16" w:rsidRPr="00F7190B" w:rsidRDefault="008C5E16" w:rsidP="00F91160">
            <w:pPr>
              <w:snapToGrid w:val="0"/>
              <w:rPr>
                <w:b/>
                <w:sz w:val="20"/>
                <w:szCs w:val="22"/>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5FC759" w14:textId="77777777" w:rsidR="008C5E16" w:rsidRDefault="008C5E16" w:rsidP="00F911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ZTE, CATT, HONOR,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IDC, New H3C, Google, Samsung, Qualcomm, NTT DOCOMO, Ericsson, OPPO, Xiaomi, Nokia/NSB, NEC, Fujitsu, HONOR, Sharp, Intel, Apple, </w:t>
            </w:r>
            <w:proofErr w:type="spellStart"/>
            <w:r>
              <w:rPr>
                <w:rFonts w:ascii="Times" w:eastAsia="Batang" w:hAnsi="Times" w:cs="Times"/>
                <w:sz w:val="18"/>
                <w:szCs w:val="16"/>
              </w:rPr>
              <w:t>Spreadtrum</w:t>
            </w:r>
            <w:proofErr w:type="spellEnd"/>
            <w:r>
              <w:rPr>
                <w:rFonts w:ascii="Times" w:eastAsia="Batang" w:hAnsi="Times" w:cs="Times"/>
                <w:sz w:val="18"/>
                <w:szCs w:val="16"/>
              </w:rPr>
              <w:t>, CMCC,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MediaTek, </w:t>
            </w:r>
            <w:proofErr w:type="spellStart"/>
            <w:r>
              <w:rPr>
                <w:rFonts w:ascii="Times" w:eastAsia="Batang" w:hAnsi="Times" w:cs="Times"/>
                <w:sz w:val="18"/>
                <w:szCs w:val="16"/>
              </w:rPr>
              <w:t>Tejas</w:t>
            </w:r>
            <w:proofErr w:type="spellEnd"/>
            <w:r>
              <w:rPr>
                <w:rFonts w:ascii="Times" w:eastAsia="Batang" w:hAnsi="Times" w:cs="Times"/>
                <w:sz w:val="18"/>
                <w:szCs w:val="16"/>
              </w:rPr>
              <w:t xml:space="preserve">, </w:t>
            </w:r>
          </w:p>
          <w:p w14:paraId="7D6F63A4" w14:textId="77777777" w:rsidR="008C5E16" w:rsidRDefault="008C5E16" w:rsidP="00F91160">
            <w:pPr>
              <w:snapToGrid w:val="0"/>
              <w:rPr>
                <w:rFonts w:ascii="Times" w:eastAsia="Batang" w:hAnsi="Times" w:cs="Times"/>
                <w:sz w:val="18"/>
                <w:szCs w:val="16"/>
              </w:rPr>
            </w:pPr>
          </w:p>
          <w:p w14:paraId="1634FEEB" w14:textId="77777777" w:rsidR="008C5E16" w:rsidRDefault="008C5E16" w:rsidP="00F91160">
            <w:pPr>
              <w:widowControl w:val="0"/>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p>
          <w:p w14:paraId="354E8144" w14:textId="727F3C30" w:rsidR="008C5E16" w:rsidRDefault="008C5E16" w:rsidP="00F91160">
            <w:pPr>
              <w:widowControl w:val="0"/>
              <w:snapToGrid w:val="0"/>
              <w:rPr>
                <w:rFonts w:eastAsiaTheme="minorEastAsia"/>
                <w:b/>
                <w:iCs/>
                <w:sz w:val="18"/>
                <w:szCs w:val="18"/>
                <w:lang w:val="en-GB"/>
              </w:rPr>
            </w:pPr>
            <w:bookmarkStart w:id="2" w:name="_GoBack"/>
            <w:bookmarkEnd w:id="2"/>
          </w:p>
        </w:tc>
      </w:tr>
    </w:tbl>
    <w:p w14:paraId="5AA4A8DD" w14:textId="47D1E66A" w:rsidR="001C19E9" w:rsidRDefault="001C19E9" w:rsidP="0053203B">
      <w:pPr>
        <w:snapToGrid w:val="0"/>
      </w:pPr>
    </w:p>
    <w:p w14:paraId="555914C9" w14:textId="46F823A1" w:rsidR="0053203B" w:rsidRPr="006646EB" w:rsidRDefault="0053203B" w:rsidP="0053203B">
      <w:pPr>
        <w:snapToGrid w:val="0"/>
        <w:rPr>
          <w:sz w:val="20"/>
          <w:lang w:val="en-GB"/>
        </w:rPr>
      </w:pPr>
    </w:p>
    <w:p w14:paraId="387AAD5A" w14:textId="77777777" w:rsidR="0053203B" w:rsidRDefault="0053203B" w:rsidP="0053203B">
      <w:pPr>
        <w:snapToGrid w:val="0"/>
      </w:pPr>
    </w:p>
    <w:p w14:paraId="4297EF4B" w14:textId="77777777" w:rsidR="001C19E9" w:rsidRDefault="00241F8E">
      <w:pPr>
        <w:pStyle w:val="Heading3"/>
        <w:numPr>
          <w:ilvl w:val="1"/>
          <w:numId w:val="13"/>
        </w:numPr>
      </w:pPr>
      <w:r>
        <w:t>Issue 3 (WID objective 3): CJT calibration reporting for non-ideal synchronization and backhaul</w:t>
      </w:r>
    </w:p>
    <w:p w14:paraId="0DF3460C" w14:textId="77777777" w:rsidR="0053203B" w:rsidRDefault="0053203B" w:rsidP="0053203B">
      <w:pPr>
        <w:snapToGrid w:val="0"/>
      </w:pPr>
    </w:p>
    <w:p w14:paraId="486E15DF" w14:textId="5F4F7E0C" w:rsidR="0000149C" w:rsidRPr="006646EB" w:rsidRDefault="0000149C" w:rsidP="00D84F60">
      <w:pPr>
        <w:snapToGrid w:val="0"/>
        <w:rPr>
          <w:bCs/>
          <w:sz w:val="22"/>
          <w:lang w:val="en-GB"/>
        </w:rPr>
      </w:pPr>
    </w:p>
    <w:tbl>
      <w:tblPr>
        <w:tblW w:w="9985" w:type="dxa"/>
        <w:tblLayout w:type="fixed"/>
        <w:tblLook w:val="04A0" w:firstRow="1" w:lastRow="0" w:firstColumn="1" w:lastColumn="0" w:noHBand="0" w:noVBand="1"/>
      </w:tblPr>
      <w:tblGrid>
        <w:gridCol w:w="531"/>
        <w:gridCol w:w="6934"/>
        <w:gridCol w:w="2520"/>
      </w:tblGrid>
      <w:tr w:rsidR="00371E64" w14:paraId="4269E5B8" w14:textId="77777777" w:rsidTr="00F911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246919" w14:textId="77777777" w:rsidR="00371E64" w:rsidRDefault="00371E64" w:rsidP="00F91160">
            <w:pPr>
              <w:widowControl w:val="0"/>
              <w:snapToGrid w:val="0"/>
              <w:rPr>
                <w:sz w:val="18"/>
                <w:szCs w:val="18"/>
              </w:rPr>
            </w:pPr>
            <w:r>
              <w:rPr>
                <w:sz w:val="20"/>
                <w:szCs w:val="20"/>
              </w:rPr>
              <w:t>3.3.12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FE098E8" w14:textId="77777777" w:rsidR="00371E64" w:rsidRDefault="00371E64" w:rsidP="00F91160">
            <w:pPr>
              <w:snapToGrid w:val="0"/>
              <w:rPr>
                <w:rFonts w:eastAsia="Batang"/>
                <w:sz w:val="20"/>
                <w:szCs w:val="20"/>
                <w:lang w:val="en-GB"/>
              </w:rPr>
            </w:pPr>
            <w:r>
              <w:rPr>
                <w:rFonts w:eastAsia="DengXian"/>
                <w:b/>
                <w:bCs/>
                <w:sz w:val="20"/>
                <w:szCs w:val="20"/>
                <w:u w:val="single"/>
                <w:lang w:eastAsia="zh-CN"/>
              </w:rPr>
              <w:t>Question</w:t>
            </w:r>
            <w:r w:rsidRPr="0039768C">
              <w:rPr>
                <w:rFonts w:eastAsia="DengXian"/>
                <w:b/>
                <w:bCs/>
                <w:sz w:val="20"/>
                <w:szCs w:val="20"/>
                <w:u w:val="single"/>
                <w:lang w:eastAsia="zh-CN"/>
              </w:rPr>
              <w:t xml:space="preserve"> 3.C.1</w:t>
            </w:r>
            <w:r>
              <w:rPr>
                <w:rFonts w:eastAsia="DengXian"/>
                <w:b/>
                <w:bCs/>
                <w:sz w:val="20"/>
                <w:szCs w:val="20"/>
                <w:u w:val="single"/>
                <w:lang w:eastAsia="zh-CN"/>
              </w:rPr>
              <w:t>2</w:t>
            </w:r>
            <w:r w:rsidRPr="0039768C">
              <w:rPr>
                <w:rFonts w:eastAsia="DengXian"/>
                <w:bCs/>
                <w:sz w:val="20"/>
                <w:szCs w:val="20"/>
                <w:lang w:eastAsia="zh-CN"/>
              </w:rPr>
              <w:t>: F</w:t>
            </w:r>
            <w:r w:rsidRPr="0039768C">
              <w:rPr>
                <w:rFonts w:eastAsia="DengXian"/>
                <w:bCs/>
                <w:sz w:val="20"/>
                <w:szCs w:val="20"/>
                <w:lang w:val="en-GB" w:eastAsia="zh-CN"/>
              </w:rPr>
              <w:t xml:space="preserve">or the Rel-19 aperiodic standalone CJT calibration (CJTC) reporting, </w:t>
            </w:r>
            <w:r w:rsidRPr="0039768C">
              <w:rPr>
                <w:rFonts w:eastAsia="Batang"/>
                <w:sz w:val="20"/>
                <w:szCs w:val="20"/>
                <w:lang w:val="en-GB"/>
              </w:rPr>
              <w:t xml:space="preserve">when linking CJTC Dd and Rel-18 </w:t>
            </w:r>
            <w:proofErr w:type="spellStart"/>
            <w:r w:rsidRPr="0039768C">
              <w:rPr>
                <w:rFonts w:eastAsia="Batang"/>
                <w:sz w:val="20"/>
                <w:szCs w:val="20"/>
                <w:lang w:val="en-GB"/>
              </w:rPr>
              <w:t>eType</w:t>
            </w:r>
            <w:proofErr w:type="spellEnd"/>
            <w:r w:rsidRPr="0039768C">
              <w:rPr>
                <w:rFonts w:eastAsia="Batang"/>
                <w:sz w:val="20"/>
                <w:szCs w:val="20"/>
                <w:lang w:val="en-GB"/>
              </w:rPr>
              <w:t>-II CJT CSI reports is configured with two separate triggers,</w:t>
            </w:r>
            <w:r>
              <w:rPr>
                <w:rFonts w:eastAsia="Batang"/>
                <w:sz w:val="20"/>
                <w:szCs w:val="20"/>
                <w:lang w:val="en-GB"/>
              </w:rPr>
              <w:t xml:space="preserve"> please share your view, if any, on the following FFS: “</w:t>
            </w:r>
            <w:r>
              <w:rPr>
                <w:rFonts w:ascii="Times" w:eastAsia="Batang" w:hAnsi="Times" w:cs="Times"/>
                <w:sz w:val="20"/>
                <w:szCs w:val="20"/>
                <w:lang w:val="en-GB"/>
              </w:rPr>
              <w:t>Details on signalling design for the indicator including whether it is per CSI-RS resource/Dd value and the associated UE behaviour(s)</w:t>
            </w:r>
            <w:r>
              <w:rPr>
                <w:rFonts w:eastAsia="Batang"/>
                <w:sz w:val="20"/>
                <w:szCs w:val="20"/>
                <w:lang w:val="en-GB"/>
              </w:rPr>
              <w:t>”</w:t>
            </w:r>
          </w:p>
          <w:p w14:paraId="5656D84B" w14:textId="77777777" w:rsidR="00371E64" w:rsidRDefault="00371E64" w:rsidP="00371E64">
            <w:pPr>
              <w:pStyle w:val="ListParagraph"/>
              <w:numPr>
                <w:ilvl w:val="0"/>
                <w:numId w:val="49"/>
              </w:numPr>
              <w:snapToGrid w:val="0"/>
              <w:spacing w:after="0" w:line="240" w:lineRule="auto"/>
              <w:rPr>
                <w:rFonts w:eastAsia="Batang"/>
                <w:sz w:val="20"/>
                <w:szCs w:val="20"/>
                <w:lang w:val="en-GB"/>
              </w:rPr>
            </w:pPr>
            <w:r>
              <w:rPr>
                <w:rFonts w:eastAsia="Batang"/>
                <w:sz w:val="20"/>
                <w:szCs w:val="20"/>
                <w:lang w:val="en-GB"/>
              </w:rPr>
              <w:t>Alt1. The indicator indicates whether the linked Dd report is successfully decoded or not (i.e. ACK/NACK)</w:t>
            </w:r>
          </w:p>
          <w:p w14:paraId="5CB4912F" w14:textId="77777777" w:rsidR="00371E64" w:rsidRDefault="00371E64" w:rsidP="00371E64">
            <w:pPr>
              <w:pStyle w:val="ListParagraph"/>
              <w:numPr>
                <w:ilvl w:val="0"/>
                <w:numId w:val="49"/>
              </w:numPr>
              <w:snapToGrid w:val="0"/>
              <w:spacing w:after="0" w:line="240" w:lineRule="auto"/>
              <w:rPr>
                <w:rFonts w:eastAsia="Batang"/>
                <w:sz w:val="20"/>
                <w:szCs w:val="20"/>
                <w:lang w:val="en-GB"/>
              </w:rPr>
            </w:pPr>
            <w:r>
              <w:rPr>
                <w:rFonts w:eastAsia="Batang"/>
                <w:sz w:val="20"/>
                <w:szCs w:val="20"/>
                <w:lang w:val="en-GB"/>
              </w:rPr>
              <w:t xml:space="preserve">Alt2. The indicator indicates whether the Rel-18 </w:t>
            </w:r>
            <w:proofErr w:type="spellStart"/>
            <w:r>
              <w:rPr>
                <w:rFonts w:eastAsia="Batang"/>
                <w:sz w:val="20"/>
                <w:szCs w:val="20"/>
                <w:lang w:val="en-GB"/>
              </w:rPr>
              <w:t>eType</w:t>
            </w:r>
            <w:proofErr w:type="spellEnd"/>
            <w:r>
              <w:rPr>
                <w:rFonts w:eastAsia="Batang"/>
                <w:sz w:val="20"/>
                <w:szCs w:val="20"/>
                <w:lang w:val="en-GB"/>
              </w:rPr>
              <w:t>-II CJT CSI is calculated assuming the latest linked CJTC Dd report</w:t>
            </w:r>
          </w:p>
          <w:p w14:paraId="16328D0C" w14:textId="77777777" w:rsidR="00371E64" w:rsidRPr="0039768C" w:rsidRDefault="00371E64" w:rsidP="00371E64">
            <w:pPr>
              <w:pStyle w:val="ListParagraph"/>
              <w:numPr>
                <w:ilvl w:val="0"/>
                <w:numId w:val="49"/>
              </w:numPr>
              <w:snapToGrid w:val="0"/>
              <w:spacing w:after="0" w:line="240" w:lineRule="auto"/>
              <w:rPr>
                <w:rFonts w:eastAsia="Batang"/>
                <w:sz w:val="20"/>
                <w:szCs w:val="20"/>
                <w:lang w:val="en-GB"/>
              </w:rPr>
            </w:pPr>
            <w:r>
              <w:rPr>
                <w:rFonts w:eastAsia="Batang"/>
                <w:sz w:val="20"/>
                <w:szCs w:val="20"/>
                <w:lang w:val="en-GB"/>
              </w:rPr>
              <w:t>…</w:t>
            </w:r>
          </w:p>
          <w:p w14:paraId="2C59B816" w14:textId="77777777" w:rsidR="00371E64" w:rsidRDefault="00371E64" w:rsidP="00F91160">
            <w:pPr>
              <w:snapToGrid w:val="0"/>
              <w:rPr>
                <w:rFonts w:eastAsia="Batang"/>
                <w:sz w:val="20"/>
                <w:szCs w:val="20"/>
                <w:lang w:val="en-GB"/>
              </w:rPr>
            </w:pPr>
          </w:p>
          <w:p w14:paraId="08F7FCB6" w14:textId="77777777" w:rsidR="00371E64" w:rsidRDefault="00371E64" w:rsidP="00F91160">
            <w:pPr>
              <w:snapToGrid w:val="0"/>
              <w:rPr>
                <w:rFonts w:eastAsia="Batang"/>
                <w:sz w:val="20"/>
                <w:szCs w:val="20"/>
                <w:lang w:val="en-GB"/>
              </w:rPr>
            </w:pPr>
          </w:p>
          <w:p w14:paraId="2CA687FE" w14:textId="77777777" w:rsidR="00371E64" w:rsidRDefault="00371E64" w:rsidP="00F91160">
            <w:pPr>
              <w:snapToGrid w:val="0"/>
              <w:contextualSpacing/>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issue pertains to the interpretation of the indicator. Note that Alt1 and Alt2 do not exclude each other. The following issues will be discussed in later rounds: 1) detailed hypotheses for the second trigger, 2) whether to include the indicator as a part of trigger state, or elsewhere (without introducing a new DCI field), 3) whether it is per CSI-RS resource or for all resources (TRPs)</w:t>
            </w:r>
          </w:p>
          <w:p w14:paraId="0BBBE5C1" w14:textId="77777777" w:rsidR="00371E64" w:rsidRDefault="00371E64" w:rsidP="00F91160">
            <w:pPr>
              <w:widowControl w:val="0"/>
              <w:snapToGrid w:val="0"/>
              <w:rPr>
                <w:b/>
                <w:sz w:val="18"/>
                <w:szCs w:val="18"/>
                <w:lang w:val="en-GB"/>
              </w:rPr>
            </w:pPr>
          </w:p>
        </w:tc>
      </w:tr>
      <w:tr w:rsidR="00371E64" w14:paraId="0F48AAEF" w14:textId="77777777" w:rsidTr="00F911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737270" w14:textId="77777777" w:rsidR="00371E64" w:rsidRDefault="00371E64" w:rsidP="00F91160">
            <w:pPr>
              <w:widowControl w:val="0"/>
              <w:snapToGrid w:val="0"/>
              <w:rPr>
                <w:sz w:val="18"/>
                <w:szCs w:val="18"/>
              </w:rPr>
            </w:pPr>
            <w:r>
              <w:rPr>
                <w:sz w:val="18"/>
                <w:szCs w:val="18"/>
              </w:rPr>
              <w:t>3.3.5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AFA0A03" w14:textId="77777777" w:rsidR="00371E64" w:rsidRDefault="00371E64" w:rsidP="00F91160">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655F1D0C" w14:textId="77777777" w:rsidR="00371E64" w:rsidRDefault="00371E64" w:rsidP="00F91160">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signalling) to perform PMI calculation for the Rel-18 </w:t>
            </w:r>
            <w:proofErr w:type="spellStart"/>
            <w:r>
              <w:rPr>
                <w:rFonts w:ascii="Times" w:eastAsia="Batang" w:hAnsi="Times"/>
                <w:sz w:val="16"/>
                <w:lang w:val="en-GB"/>
              </w:rPr>
              <w:t>eType</w:t>
            </w:r>
            <w:proofErr w:type="spellEnd"/>
            <w:r>
              <w:rPr>
                <w:rFonts w:ascii="Times" w:eastAsia="Batang" w:hAnsi="Times"/>
                <w:sz w:val="16"/>
                <w:lang w:val="en-GB"/>
              </w:rPr>
              <w:t xml:space="preserv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0CEA32A6" w14:textId="77777777" w:rsidR="00371E64" w:rsidRDefault="00371E64" w:rsidP="00371E64">
            <w:pPr>
              <w:numPr>
                <w:ilvl w:val="0"/>
                <w:numId w:val="44"/>
              </w:numPr>
              <w:snapToGrid w:val="0"/>
              <w:rPr>
                <w:rFonts w:ascii="Times" w:eastAsia="SimSun" w:hAnsi="Times"/>
                <w:sz w:val="16"/>
                <w:lang w:val="en-GB"/>
              </w:rPr>
            </w:pPr>
            <w:r>
              <w:rPr>
                <w:rFonts w:ascii="Times" w:eastAsia="SimSun" w:hAnsi="Times"/>
                <w:sz w:val="16"/>
                <w:lang w:val="en-GB"/>
              </w:rPr>
              <w:t xml:space="preserve">The two separately configured reports (i.e. Rel-18 </w:t>
            </w:r>
            <w:proofErr w:type="spellStart"/>
            <w:r>
              <w:rPr>
                <w:rFonts w:ascii="Times" w:eastAsia="SimSun" w:hAnsi="Times"/>
                <w:sz w:val="16"/>
                <w:lang w:val="en-GB"/>
              </w:rPr>
              <w:t>eType</w:t>
            </w:r>
            <w:proofErr w:type="spellEnd"/>
            <w:r>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0FA5C341" w14:textId="77777777" w:rsidR="00371E64" w:rsidRDefault="00371E64" w:rsidP="00371E64">
            <w:pPr>
              <w:numPr>
                <w:ilvl w:val="1"/>
                <w:numId w:val="44"/>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654049E3" w14:textId="77777777" w:rsidR="00371E64" w:rsidRDefault="00371E64" w:rsidP="00371E64">
            <w:pPr>
              <w:numPr>
                <w:ilvl w:val="2"/>
                <w:numId w:val="44"/>
              </w:numPr>
              <w:snapToGrid w:val="0"/>
              <w:rPr>
                <w:rFonts w:ascii="Times" w:eastAsia="SimSun" w:hAnsi="Times"/>
                <w:sz w:val="16"/>
                <w:highlight w:val="yellow"/>
                <w:lang w:val="en-GB"/>
              </w:rPr>
            </w:pPr>
            <w:r>
              <w:rPr>
                <w:rFonts w:ascii="Times" w:eastAsia="SimSun" w:hAnsi="Times"/>
                <w:sz w:val="16"/>
                <w:highlight w:val="yellow"/>
                <w:lang w:val="en-GB"/>
              </w:rPr>
              <w:t>FFS: whether some expiration time interval is needed</w:t>
            </w:r>
          </w:p>
          <w:p w14:paraId="6E5F68EC" w14:textId="77777777" w:rsidR="00371E64" w:rsidRDefault="00371E64" w:rsidP="00F91160">
            <w:pPr>
              <w:rPr>
                <w:rFonts w:eastAsia="DengXian"/>
                <w:b/>
                <w:bCs/>
                <w:sz w:val="20"/>
                <w:szCs w:val="20"/>
                <w:u w:val="single"/>
                <w:lang w:val="en-GB" w:eastAsia="zh-CN"/>
              </w:rPr>
            </w:pPr>
          </w:p>
          <w:p w14:paraId="5D490F4F" w14:textId="77777777" w:rsidR="00371E64" w:rsidRDefault="00371E64" w:rsidP="00F91160">
            <w:pPr>
              <w:rPr>
                <w:rFonts w:eastAsia="DengXian"/>
                <w:b/>
                <w:bCs/>
                <w:sz w:val="20"/>
                <w:szCs w:val="20"/>
                <w:u w:val="single"/>
                <w:lang w:val="en-GB" w:eastAsia="zh-CN"/>
              </w:rPr>
            </w:pPr>
          </w:p>
          <w:p w14:paraId="56DD20FD" w14:textId="77777777" w:rsidR="00371E64" w:rsidRDefault="00371E64" w:rsidP="00F91160">
            <w:pPr>
              <w:snapToGrid w:val="0"/>
              <w:rPr>
                <w:rFonts w:ascii="Times" w:eastAsia="Batang" w:hAnsi="Times" w:cs="Times"/>
                <w:sz w:val="20"/>
                <w:szCs w:val="20"/>
                <w:lang w:val="en-GB"/>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t>
            </w:r>
            <w:r>
              <w:rPr>
                <w:rFonts w:ascii="Times" w:eastAsia="Batang" w:hAnsi="Times" w:cs="Times"/>
                <w:sz w:val="20"/>
                <w:szCs w:val="20"/>
                <w:lang w:val="en-GB"/>
              </w:rPr>
              <w:lastRenderedPageBreak/>
              <w:t>with two separate triggers, introduce a UE capability for an expiration timer for a CJTC Dd report</w:t>
            </w:r>
          </w:p>
          <w:p w14:paraId="7C477B33" w14:textId="77777777" w:rsidR="00371E64" w:rsidRDefault="00371E64" w:rsidP="00371E64">
            <w:pPr>
              <w:pStyle w:val="ListParagraph"/>
              <w:numPr>
                <w:ilvl w:val="0"/>
                <w:numId w:val="50"/>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5D4E45F1" w14:textId="77777777" w:rsidR="00371E64" w:rsidRDefault="00371E64" w:rsidP="00F91160">
            <w:pPr>
              <w:rPr>
                <w:rFonts w:eastAsia="DengXian"/>
                <w:b/>
                <w:bCs/>
                <w:sz w:val="20"/>
                <w:szCs w:val="20"/>
                <w:u w:val="single"/>
                <w:lang w:val="en-GB" w:eastAsia="zh-CN"/>
              </w:rPr>
            </w:pPr>
          </w:p>
          <w:p w14:paraId="1EDE167B" w14:textId="77777777" w:rsidR="00371E64" w:rsidRDefault="00371E64" w:rsidP="00F91160">
            <w:pPr>
              <w:widowControl w:val="0"/>
              <w:snapToGrid w:val="0"/>
              <w:rPr>
                <w:b/>
                <w:sz w:val="18"/>
                <w:szCs w:val="18"/>
                <w:lang w:val="en-GB"/>
              </w:rPr>
            </w:pPr>
          </w:p>
          <w:p w14:paraId="49111DB0" w14:textId="77777777" w:rsidR="00371E64" w:rsidRDefault="00371E64" w:rsidP="00F91160">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mentioned discussed OFFLINE [2]. Its resolution may help confirming the WA for separate triggering (issue 3.3.1 proposal 3.C.1). This is intended to avoid stale Dd report from being utilized. However, it can be argued that this can be handled via NW implementation.</w:t>
            </w:r>
          </w:p>
          <w:p w14:paraId="30ACBAD6" w14:textId="77777777" w:rsidR="00371E64" w:rsidRDefault="00371E64" w:rsidP="00F91160">
            <w:pPr>
              <w:rPr>
                <w:rFonts w:eastAsia="DengXian"/>
                <w:b/>
                <w:bCs/>
                <w:sz w:val="20"/>
                <w:szCs w:val="20"/>
                <w:u w:val="single"/>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886BAC" w14:textId="77777777" w:rsidR="00371E64" w:rsidRDefault="00371E64" w:rsidP="00F91160">
            <w:pPr>
              <w:jc w:val="both"/>
              <w:rPr>
                <w:rFonts w:eastAsia="DengXian"/>
                <w:b/>
                <w:bCs/>
                <w:sz w:val="16"/>
                <w:szCs w:val="20"/>
                <w:highlight w:val="green"/>
                <w:lang w:val="en-GB" w:eastAsia="zh-CN"/>
              </w:rPr>
            </w:pPr>
          </w:p>
          <w:p w14:paraId="25978DB6" w14:textId="77777777" w:rsidR="00371E64" w:rsidRDefault="00371E64" w:rsidP="00F91160">
            <w:pPr>
              <w:jc w:val="both"/>
              <w:rPr>
                <w:rFonts w:eastAsia="DengXian"/>
                <w:b/>
                <w:bCs/>
                <w:sz w:val="16"/>
                <w:szCs w:val="20"/>
                <w:highlight w:val="green"/>
                <w:lang w:val="en-GB" w:eastAsia="zh-CN"/>
              </w:rPr>
            </w:pPr>
          </w:p>
          <w:p w14:paraId="42244C12" w14:textId="77777777" w:rsidR="00371E64" w:rsidRDefault="00371E64" w:rsidP="00F91160">
            <w:pPr>
              <w:widowControl w:val="0"/>
              <w:snapToGrid w:val="0"/>
              <w:rPr>
                <w:b/>
                <w:sz w:val="18"/>
                <w:szCs w:val="18"/>
                <w:lang w:val="en-GB"/>
              </w:rPr>
            </w:pPr>
          </w:p>
          <w:p w14:paraId="058716EC" w14:textId="77777777" w:rsidR="00371E64" w:rsidRDefault="00371E64" w:rsidP="00F91160">
            <w:pPr>
              <w:widowControl w:val="0"/>
              <w:snapToGrid w:val="0"/>
              <w:rPr>
                <w:b/>
                <w:sz w:val="18"/>
                <w:szCs w:val="18"/>
                <w:lang w:val="en-GB"/>
              </w:rPr>
            </w:pPr>
          </w:p>
          <w:p w14:paraId="2A87210B" w14:textId="77777777" w:rsidR="00371E64" w:rsidRDefault="00371E64" w:rsidP="00F91160">
            <w:pPr>
              <w:widowControl w:val="0"/>
              <w:snapToGrid w:val="0"/>
              <w:rPr>
                <w:b/>
                <w:sz w:val="18"/>
                <w:szCs w:val="18"/>
                <w:lang w:val="en-GB"/>
              </w:rPr>
            </w:pPr>
          </w:p>
          <w:p w14:paraId="1D0B7D83" w14:textId="77777777" w:rsidR="00371E64" w:rsidRDefault="00371E64" w:rsidP="00F91160">
            <w:pPr>
              <w:widowControl w:val="0"/>
              <w:snapToGrid w:val="0"/>
              <w:rPr>
                <w:b/>
                <w:sz w:val="18"/>
                <w:szCs w:val="18"/>
                <w:lang w:val="en-GB"/>
              </w:rPr>
            </w:pPr>
          </w:p>
          <w:p w14:paraId="5CDACE40" w14:textId="77777777" w:rsidR="00371E64" w:rsidRDefault="00371E64" w:rsidP="00F91160">
            <w:pPr>
              <w:widowControl w:val="0"/>
              <w:snapToGrid w:val="0"/>
              <w:rPr>
                <w:b/>
                <w:sz w:val="18"/>
                <w:szCs w:val="18"/>
                <w:lang w:val="en-GB"/>
              </w:rPr>
            </w:pPr>
          </w:p>
          <w:p w14:paraId="512747EA" w14:textId="77777777" w:rsidR="00371E64" w:rsidRDefault="00371E64" w:rsidP="00F91160">
            <w:pPr>
              <w:widowControl w:val="0"/>
              <w:snapToGrid w:val="0"/>
              <w:rPr>
                <w:b/>
                <w:sz w:val="18"/>
                <w:szCs w:val="18"/>
                <w:lang w:val="en-GB"/>
              </w:rPr>
            </w:pPr>
          </w:p>
          <w:p w14:paraId="6AFEAD9A" w14:textId="77777777" w:rsidR="00371E64" w:rsidRDefault="00371E64" w:rsidP="00F91160">
            <w:pPr>
              <w:widowControl w:val="0"/>
              <w:snapToGrid w:val="0"/>
              <w:rPr>
                <w:b/>
                <w:sz w:val="18"/>
                <w:szCs w:val="18"/>
                <w:lang w:val="en-GB"/>
              </w:rPr>
            </w:pPr>
          </w:p>
          <w:p w14:paraId="4756E5BB" w14:textId="77777777" w:rsidR="00371E64" w:rsidRDefault="00371E64" w:rsidP="00F91160">
            <w:pPr>
              <w:snapToGrid w:val="0"/>
              <w:rPr>
                <w:sz w:val="18"/>
                <w:szCs w:val="16"/>
                <w:lang w:val="it-IT"/>
              </w:rPr>
            </w:pPr>
            <w:r>
              <w:rPr>
                <w:b/>
                <w:sz w:val="18"/>
                <w:szCs w:val="16"/>
                <w:lang w:val="it-IT"/>
              </w:rPr>
              <w:t>Support/fine</w:t>
            </w:r>
            <w:r>
              <w:rPr>
                <w:sz w:val="18"/>
                <w:szCs w:val="16"/>
                <w:lang w:val="it-IT"/>
              </w:rPr>
              <w:t xml:space="preserve">: </w:t>
            </w:r>
            <w:r>
              <w:rPr>
                <w:rFonts w:eastAsia="DengXian"/>
                <w:bCs/>
                <w:sz w:val="18"/>
                <w:szCs w:val="20"/>
                <w:lang w:val="it-IT" w:eastAsia="zh-CN"/>
              </w:rPr>
              <w:t xml:space="preserve">Lenovo/MotM, ZTE, Samsung (but no timer in RAN1 spec), Qualcomm (same as SS), vivo (same as SS),  Ericsson (same as SS), OPPO (same as SS), Xiaomi, Nokia/NSB, Huawei/HiSi, </w:t>
            </w:r>
            <w:r>
              <w:rPr>
                <w:rFonts w:eastAsia="DengXian"/>
                <w:bCs/>
                <w:sz w:val="18"/>
                <w:szCs w:val="20"/>
                <w:lang w:val="it-IT" w:eastAsia="zh-CN"/>
              </w:rPr>
              <w:lastRenderedPageBreak/>
              <w:t xml:space="preserve">NEC, </w:t>
            </w:r>
            <w:r>
              <w:rPr>
                <w:rFonts w:eastAsia="DengXian"/>
                <w:bCs/>
                <w:sz w:val="18"/>
                <w:szCs w:val="18"/>
                <w:lang w:val="en-GB" w:eastAsia="zh-CN"/>
              </w:rPr>
              <w:t xml:space="preserve">HONOR, </w:t>
            </w:r>
            <w:r>
              <w:rPr>
                <w:sz w:val="18"/>
                <w:szCs w:val="16"/>
                <w:lang w:val="en-GB"/>
              </w:rPr>
              <w:t xml:space="preserve">Sharp, KDDI, MediaTek,      </w:t>
            </w:r>
          </w:p>
          <w:p w14:paraId="6BB80947" w14:textId="77777777" w:rsidR="00371E64" w:rsidRDefault="00371E64" w:rsidP="00F91160">
            <w:pPr>
              <w:snapToGrid w:val="0"/>
              <w:rPr>
                <w:sz w:val="18"/>
                <w:szCs w:val="16"/>
                <w:lang w:val="it-IT"/>
              </w:rPr>
            </w:pPr>
          </w:p>
          <w:p w14:paraId="0E48DA8A" w14:textId="77777777" w:rsidR="00371E64" w:rsidRDefault="00371E64" w:rsidP="00F91160">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xml:space="preserve">, NTT DOCOMO, Intel, Apple, CATT, Sony, TCL,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Pr>
                <w:sz w:val="18"/>
                <w:szCs w:val="18"/>
                <w:lang w:val="en-GB"/>
              </w:rPr>
              <w:t xml:space="preserve"> </w:t>
            </w:r>
          </w:p>
          <w:p w14:paraId="1BF4896C" w14:textId="77777777" w:rsidR="00371E64" w:rsidRDefault="00371E64" w:rsidP="00F91160">
            <w:pPr>
              <w:widowControl w:val="0"/>
              <w:snapToGrid w:val="0"/>
              <w:rPr>
                <w:b/>
                <w:sz w:val="18"/>
                <w:szCs w:val="18"/>
                <w:lang w:val="en-GB"/>
              </w:rPr>
            </w:pPr>
          </w:p>
        </w:tc>
      </w:tr>
    </w:tbl>
    <w:p w14:paraId="43B1ABC1" w14:textId="77777777" w:rsidR="0000149C" w:rsidRPr="00371E64" w:rsidRDefault="0000149C" w:rsidP="00D84F60">
      <w:pPr>
        <w:snapToGrid w:val="0"/>
        <w:rPr>
          <w:bCs/>
          <w:sz w:val="22"/>
          <w:lang w:val="en-GB"/>
        </w:rPr>
      </w:pPr>
    </w:p>
    <w:p w14:paraId="6BEBD4C4" w14:textId="5D461B18" w:rsidR="00D84F60" w:rsidRDefault="00D84F60" w:rsidP="0053203B">
      <w:pPr>
        <w:snapToGrid w:val="0"/>
        <w:rPr>
          <w:lang w:val="en-GB"/>
        </w:rPr>
      </w:pPr>
    </w:p>
    <w:p w14:paraId="658A454D" w14:textId="77777777" w:rsidR="00AB3E15" w:rsidRPr="00D84F60" w:rsidRDefault="00AB3E15" w:rsidP="0053203B">
      <w:pPr>
        <w:snapToGrid w:val="0"/>
        <w:rPr>
          <w:lang w:val="en-GB"/>
        </w:rPr>
      </w:pPr>
    </w:p>
    <w:p w14:paraId="5910E5C6" w14:textId="77777777" w:rsidR="00D84F60" w:rsidRDefault="00D84F60" w:rsidP="0053203B">
      <w:pPr>
        <w:snapToGrid w:val="0"/>
      </w:pPr>
    </w:p>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515A" w14:textId="77777777" w:rsidR="00F107A9" w:rsidRDefault="00F107A9" w:rsidP="001E51B2">
      <w:r>
        <w:separator/>
      </w:r>
    </w:p>
  </w:endnote>
  <w:endnote w:type="continuationSeparator" w:id="0">
    <w:p w14:paraId="4DD94A7E" w14:textId="77777777" w:rsidR="00F107A9" w:rsidRDefault="00F107A9"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F36D" w14:textId="77777777" w:rsidR="00F107A9" w:rsidRDefault="00F107A9" w:rsidP="001E51B2">
      <w:r>
        <w:separator/>
      </w:r>
    </w:p>
  </w:footnote>
  <w:footnote w:type="continuationSeparator" w:id="0">
    <w:p w14:paraId="0688720B" w14:textId="77777777" w:rsidR="00F107A9" w:rsidRDefault="00F107A9"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hybridMultilevel"/>
    <w:tmpl w:val="3134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851BF"/>
    <w:multiLevelType w:val="hybridMultilevel"/>
    <w:tmpl w:val="A5DC8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0D454D"/>
    <w:multiLevelType w:val="hybridMultilevel"/>
    <w:tmpl w:val="DA5A41CC"/>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A0069"/>
    <w:multiLevelType w:val="hybridMultilevel"/>
    <w:tmpl w:val="D092F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63088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A83227"/>
    <w:multiLevelType w:val="hybridMultilevel"/>
    <w:tmpl w:val="A1E0A10A"/>
    <w:lvl w:ilvl="0" w:tplc="9F842F50">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1"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7529E3"/>
    <w:multiLevelType w:val="hybridMultilevel"/>
    <w:tmpl w:val="26E6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77BC2"/>
    <w:multiLevelType w:val="hybridMultilevel"/>
    <w:tmpl w:val="09960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773A455F"/>
    <w:multiLevelType w:val="hybridMultilevel"/>
    <w:tmpl w:val="2F3A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9"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28"/>
  </w:num>
  <w:num w:numId="4">
    <w:abstractNumId w:val="37"/>
  </w:num>
  <w:num w:numId="5">
    <w:abstractNumId w:val="48"/>
  </w:num>
  <w:num w:numId="6">
    <w:abstractNumId w:val="25"/>
  </w:num>
  <w:num w:numId="7">
    <w:abstractNumId w:val="30"/>
  </w:num>
  <w:num w:numId="8">
    <w:abstractNumId w:val="33"/>
  </w:num>
  <w:num w:numId="9">
    <w:abstractNumId w:val="36"/>
  </w:num>
  <w:num w:numId="10">
    <w:abstractNumId w:val="45"/>
  </w:num>
  <w:num w:numId="1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6"/>
  </w:num>
  <w:num w:numId="15">
    <w:abstractNumId w:val="21"/>
  </w:num>
  <w:num w:numId="16">
    <w:abstractNumId w:val="31"/>
  </w:num>
  <w:num w:numId="17">
    <w:abstractNumId w:val="15"/>
  </w:num>
  <w:num w:numId="18">
    <w:abstractNumId w:val="4"/>
  </w:num>
  <w:num w:numId="19">
    <w:abstractNumId w:val="26"/>
  </w:num>
  <w:num w:numId="20">
    <w:abstractNumId w:val="23"/>
  </w:num>
  <w:num w:numId="21">
    <w:abstractNumId w:val="2"/>
  </w:num>
  <w:num w:numId="22">
    <w:abstractNumId w:val="42"/>
  </w:num>
  <w:num w:numId="23">
    <w:abstractNumId w:val="7"/>
  </w:num>
  <w:num w:numId="24">
    <w:abstractNumId w:val="49"/>
  </w:num>
  <w:num w:numId="25">
    <w:abstractNumId w:val="22"/>
  </w:num>
  <w:num w:numId="26">
    <w:abstractNumId w:val="34"/>
  </w:num>
  <w:num w:numId="27">
    <w:abstractNumId w:val="12"/>
  </w:num>
  <w:num w:numId="28">
    <w:abstractNumId w:val="0"/>
  </w:num>
  <w:num w:numId="29">
    <w:abstractNumId w:val="11"/>
  </w:num>
  <w:num w:numId="30">
    <w:abstractNumId w:val="14"/>
  </w:num>
  <w:num w:numId="31">
    <w:abstractNumId w:val="10"/>
  </w:num>
  <w:num w:numId="32">
    <w:abstractNumId w:val="41"/>
  </w:num>
  <w:num w:numId="33">
    <w:abstractNumId w:val="16"/>
  </w:num>
  <w:num w:numId="34">
    <w:abstractNumId w:val="20"/>
  </w:num>
  <w:num w:numId="35">
    <w:abstractNumId w:val="39"/>
  </w:num>
  <w:num w:numId="36">
    <w:abstractNumId w:val="27"/>
  </w:num>
  <w:num w:numId="37">
    <w:abstractNumId w:val="29"/>
  </w:num>
  <w:num w:numId="38">
    <w:abstractNumId w:val="17"/>
  </w:num>
  <w:num w:numId="39">
    <w:abstractNumId w:val="5"/>
  </w:num>
  <w:num w:numId="40">
    <w:abstractNumId w:val="13"/>
  </w:num>
  <w:num w:numId="41">
    <w:abstractNumId w:val="35"/>
  </w:num>
  <w:num w:numId="42">
    <w:abstractNumId w:val="1"/>
  </w:num>
  <w:num w:numId="43">
    <w:abstractNumId w:val="9"/>
  </w:num>
  <w:num w:numId="44">
    <w:abstractNumId w:val="24"/>
  </w:num>
  <w:num w:numId="45">
    <w:abstractNumId w:val="19"/>
  </w:num>
  <w:num w:numId="46">
    <w:abstractNumId w:val="44"/>
  </w:num>
  <w:num w:numId="47">
    <w:abstractNumId w:val="43"/>
  </w:num>
  <w:num w:numId="48">
    <w:abstractNumId w:val="3"/>
  </w:num>
  <w:num w:numId="49">
    <w:abstractNumId w:val="47"/>
  </w:num>
  <w:num w:numId="50">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49C"/>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0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3F5"/>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ED5"/>
    <w:rsid w:val="000A5FD9"/>
    <w:rsid w:val="000A6039"/>
    <w:rsid w:val="000A6A4D"/>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12"/>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62"/>
    <w:rsid w:val="00181677"/>
    <w:rsid w:val="001817CB"/>
    <w:rsid w:val="00181869"/>
    <w:rsid w:val="00181C93"/>
    <w:rsid w:val="00181DC9"/>
    <w:rsid w:val="00181FF6"/>
    <w:rsid w:val="00182237"/>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6E2"/>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0E69"/>
    <w:rsid w:val="002B1636"/>
    <w:rsid w:val="002B18BC"/>
    <w:rsid w:val="002B257A"/>
    <w:rsid w:val="002B26B8"/>
    <w:rsid w:val="002B39DF"/>
    <w:rsid w:val="002B3B3C"/>
    <w:rsid w:val="002B43E5"/>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0D9"/>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A6A"/>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1E64"/>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3923"/>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2C8"/>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03B"/>
    <w:rsid w:val="005329DE"/>
    <w:rsid w:val="00532D22"/>
    <w:rsid w:val="00532F17"/>
    <w:rsid w:val="0053354D"/>
    <w:rsid w:val="00533C7B"/>
    <w:rsid w:val="00533E44"/>
    <w:rsid w:val="00533F78"/>
    <w:rsid w:val="00534062"/>
    <w:rsid w:val="00535B1E"/>
    <w:rsid w:val="005360DF"/>
    <w:rsid w:val="0053630E"/>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0CF3"/>
    <w:rsid w:val="00661332"/>
    <w:rsid w:val="00661DA5"/>
    <w:rsid w:val="00662035"/>
    <w:rsid w:val="00662151"/>
    <w:rsid w:val="00662239"/>
    <w:rsid w:val="0066228F"/>
    <w:rsid w:val="00662BBC"/>
    <w:rsid w:val="00662D77"/>
    <w:rsid w:val="0066338B"/>
    <w:rsid w:val="00663693"/>
    <w:rsid w:val="00663942"/>
    <w:rsid w:val="00663985"/>
    <w:rsid w:val="006643D2"/>
    <w:rsid w:val="006646EB"/>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1BFD"/>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9BE"/>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0F07"/>
    <w:rsid w:val="007910F0"/>
    <w:rsid w:val="007910F6"/>
    <w:rsid w:val="007917A2"/>
    <w:rsid w:val="007917C3"/>
    <w:rsid w:val="007920FA"/>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480"/>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C7991"/>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B31"/>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15D"/>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7B8"/>
    <w:rsid w:val="00804B55"/>
    <w:rsid w:val="00804CDA"/>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3F05"/>
    <w:rsid w:val="008C445C"/>
    <w:rsid w:val="008C4EEA"/>
    <w:rsid w:val="008C57F5"/>
    <w:rsid w:val="008C5AE5"/>
    <w:rsid w:val="008C5BCF"/>
    <w:rsid w:val="008C5E16"/>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5EE2"/>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A0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CF1"/>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2F3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54C7"/>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261"/>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573D"/>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0839"/>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15"/>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3107"/>
    <w:rsid w:val="00AE315F"/>
    <w:rsid w:val="00AE3C69"/>
    <w:rsid w:val="00AE3DD8"/>
    <w:rsid w:val="00AE415D"/>
    <w:rsid w:val="00AE49B9"/>
    <w:rsid w:val="00AE49D0"/>
    <w:rsid w:val="00AE4C62"/>
    <w:rsid w:val="00AE51A3"/>
    <w:rsid w:val="00AE553E"/>
    <w:rsid w:val="00AE5717"/>
    <w:rsid w:val="00AE5CA0"/>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992"/>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B53"/>
    <w:rsid w:val="00CB2D73"/>
    <w:rsid w:val="00CB37BA"/>
    <w:rsid w:val="00CB47B2"/>
    <w:rsid w:val="00CB5070"/>
    <w:rsid w:val="00CB53C5"/>
    <w:rsid w:val="00CB587B"/>
    <w:rsid w:val="00CB5A18"/>
    <w:rsid w:val="00CB5ED3"/>
    <w:rsid w:val="00CB6293"/>
    <w:rsid w:val="00CB6F80"/>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AC8"/>
    <w:rsid w:val="00CF1EF7"/>
    <w:rsid w:val="00CF21A6"/>
    <w:rsid w:val="00CF221D"/>
    <w:rsid w:val="00CF249C"/>
    <w:rsid w:val="00CF2C91"/>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992"/>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4F60"/>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5B9"/>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6F33"/>
    <w:rsid w:val="00E47052"/>
    <w:rsid w:val="00E4717B"/>
    <w:rsid w:val="00E47A94"/>
    <w:rsid w:val="00E51840"/>
    <w:rsid w:val="00E51A12"/>
    <w:rsid w:val="00E51EC8"/>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0E6"/>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7A9"/>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4C3"/>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 w:type="table" w:customStyle="1" w:styleId="TableGrid4">
    <w:name w:val="Table Grid4"/>
    <w:basedOn w:val="TableNormal"/>
    <w:next w:val="TableGrid"/>
    <w:uiPriority w:val="39"/>
    <w:qFormat/>
    <w:rsid w:val="00D8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ADD5ECA1-F20C-42FD-8058-465B3E3C32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354</TotalTime>
  <Pages>3</Pages>
  <Words>928</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51</cp:revision>
  <cp:lastPrinted>2021-10-06T09:28:00Z</cp:lastPrinted>
  <dcterms:created xsi:type="dcterms:W3CDTF">2024-05-20T02:11:00Z</dcterms:created>
  <dcterms:modified xsi:type="dcterms:W3CDTF">2024-10-14T08:13:00Z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