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d"/>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d"/>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等线"/>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等线"/>
                <w:sz w:val="16"/>
                <w:szCs w:val="20"/>
                <w:highlight w:val="green"/>
                <w:lang w:eastAsia="zh-CN"/>
              </w:rPr>
            </w:pPr>
            <w:r w:rsidRPr="00BC3741">
              <w:rPr>
                <w:rFonts w:eastAsia="等线"/>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=2 is additionally supported as a separate UE capability (from 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xml:space="preserve">: </w:t>
            </w:r>
            <w:proofErr w:type="spellStart"/>
            <w:r w:rsidRPr="00BC3741">
              <w:rPr>
                <w:rFonts w:eastAsia="Batang"/>
                <w:iCs/>
                <w:sz w:val="20"/>
                <w:szCs w:val="20"/>
                <w:lang w:val="en-GB"/>
              </w:rPr>
              <w:t>Tejas</w:t>
            </w:r>
            <w:proofErr w:type="spellEnd"/>
            <w:r w:rsidRPr="00BC3741">
              <w:rPr>
                <w:rFonts w:eastAsia="Batang"/>
                <w:iCs/>
                <w:sz w:val="20"/>
                <w:szCs w:val="20"/>
                <w:lang w:val="en-GB"/>
              </w:rPr>
              <w:t>,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等线"/>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d"/>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77879CF5">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0716249F">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d"/>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F17513"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0E481BB6" w:rsidR="00F17513" w:rsidRDefault="00F17513" w:rsidP="00F1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F90F93" w14:textId="3C3A2091" w:rsidR="00F17513" w:rsidRDefault="00F17513" w:rsidP="00F17513">
            <w:pPr>
              <w:jc w:val="both"/>
              <w:rPr>
                <w:rFonts w:ascii="Times" w:eastAsiaTheme="minorEastAsia" w:hAnsi="Times" w:cs="Times"/>
                <w:b/>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d"/>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d"/>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d"/>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lastRenderedPageBreak/>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等线"/>
                <w:b/>
                <w:bCs/>
                <w:sz w:val="20"/>
                <w:szCs w:val="20"/>
                <w:u w:val="single"/>
                <w:lang w:eastAsia="zh-CN"/>
              </w:rPr>
              <w:t>Proposal</w:t>
            </w:r>
            <w:r w:rsidRPr="00D11162">
              <w:rPr>
                <w:rFonts w:eastAsia="等线"/>
                <w:b/>
                <w:bCs/>
                <w:sz w:val="20"/>
                <w:szCs w:val="20"/>
                <w:u w:val="single"/>
                <w:lang w:eastAsia="zh-CN"/>
              </w:rPr>
              <w:t xml:space="preserve">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等线"/>
                <w:b/>
                <w:bCs/>
                <w:color w:val="3333FF"/>
                <w:sz w:val="18"/>
                <w:szCs w:val="18"/>
                <w:lang w:eastAsia="zh-CN"/>
              </w:rPr>
            </w:pPr>
            <w:r w:rsidRPr="00C65A68">
              <w:rPr>
                <w:rFonts w:eastAsia="等线"/>
                <w:b/>
                <w:bCs/>
                <w:color w:val="3333FF"/>
                <w:sz w:val="18"/>
                <w:szCs w:val="18"/>
                <w:u w:val="single"/>
                <w:lang w:eastAsia="zh-CN"/>
              </w:rPr>
              <w:t>Question 2.A.3</w:t>
            </w:r>
            <w:r w:rsidRPr="00C65A68">
              <w:rPr>
                <w:rFonts w:eastAsia="等线"/>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d"/>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等线"/>
                <w:b/>
                <w:bCs/>
                <w:sz w:val="20"/>
                <w:szCs w:val="20"/>
                <w:u w:val="single"/>
                <w:lang w:eastAsia="zh-CN"/>
              </w:rPr>
            </w:pPr>
            <w:r>
              <w:rPr>
                <w:rFonts w:eastAsia="等线"/>
                <w:b/>
                <w:bCs/>
                <w:sz w:val="20"/>
                <w:szCs w:val="20"/>
                <w:u w:val="single"/>
                <w:lang w:eastAsia="zh-CN"/>
              </w:rPr>
              <w:t xml:space="preserve">Proposal </w:t>
            </w:r>
            <w:r w:rsidRPr="00D11162">
              <w:rPr>
                <w:rFonts w:eastAsia="等线"/>
                <w:b/>
                <w:bCs/>
                <w:sz w:val="20"/>
                <w:szCs w:val="20"/>
                <w:u w:val="single"/>
                <w:lang w:eastAsia="zh-CN"/>
              </w:rPr>
              <w:t>2.A.</w:t>
            </w:r>
            <w:r>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等线"/>
                <w:b/>
                <w:bCs/>
                <w:sz w:val="20"/>
                <w:szCs w:val="20"/>
                <w:u w:val="single"/>
                <w:lang w:eastAsia="zh-CN"/>
              </w:rPr>
            </w:pPr>
          </w:p>
          <w:p w14:paraId="3F8A5B2E" w14:textId="1678E47E" w:rsidR="00C65A68" w:rsidRDefault="00C65A68" w:rsidP="00DC0992">
            <w:pPr>
              <w:jc w:val="both"/>
              <w:rPr>
                <w:rFonts w:eastAsia="等线"/>
                <w:b/>
                <w:bCs/>
                <w:sz w:val="20"/>
                <w:szCs w:val="20"/>
                <w:u w:val="single"/>
                <w:lang w:eastAsia="zh-CN"/>
              </w:rPr>
            </w:pPr>
          </w:p>
          <w:p w14:paraId="36E28679" w14:textId="77777777" w:rsidR="00C65A68" w:rsidRDefault="00C65A68" w:rsidP="00DC0992">
            <w:pPr>
              <w:jc w:val="both"/>
              <w:rPr>
                <w:rFonts w:eastAsia="等线"/>
                <w:b/>
                <w:bCs/>
                <w:sz w:val="20"/>
                <w:szCs w:val="20"/>
                <w:u w:val="single"/>
                <w:lang w:eastAsia="zh-CN"/>
              </w:rPr>
            </w:pPr>
          </w:p>
          <w:p w14:paraId="4F6C5628" w14:textId="331F0BE9" w:rsidR="00C65A68" w:rsidRDefault="00C65A68"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等线"/>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等线"/>
                <w:b/>
                <w:bCs/>
                <w:color w:val="3333FF"/>
                <w:sz w:val="18"/>
                <w:szCs w:val="20"/>
                <w:u w:val="single"/>
                <w:lang w:eastAsia="zh-CN"/>
              </w:rPr>
              <w:t>Question 2.A.4</w:t>
            </w:r>
            <w:r w:rsidRPr="00C65A68">
              <w:rPr>
                <w:rFonts w:eastAsia="等线"/>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等线"/>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lastRenderedPageBreak/>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lastRenderedPageBreak/>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d"/>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662BBC"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F70D2BA"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15937A2D"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CB12247" w14:textId="7650D1F4" w:rsidR="00662BBC" w:rsidRPr="00C37F0B" w:rsidRDefault="00662BBC" w:rsidP="00662BBC">
            <w:pPr>
              <w:snapToGrid w:val="0"/>
              <w:rPr>
                <w:rFonts w:ascii="Times" w:eastAsiaTheme="minorEastAsia" w:hAnsi="Times" w:cs="Times"/>
                <w:b/>
                <w:color w:val="000000" w:themeColor="text1"/>
                <w:sz w:val="18"/>
                <w:szCs w:val="20"/>
                <w:lang w:val="en-GB" w:eastAsia="zh-CN"/>
              </w:rPr>
            </w:pPr>
          </w:p>
        </w:tc>
      </w:tr>
      <w:tr w:rsidR="00662BBC"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等线"/>
                <w:bCs/>
                <w:sz w:val="20"/>
                <w:szCs w:val="20"/>
                <w:lang w:val="en-GB" w:eastAsia="zh-CN"/>
              </w:rPr>
            </w:pPr>
          </w:p>
          <w:p w14:paraId="655712DC" w14:textId="77777777" w:rsidR="00FB0ADF" w:rsidRPr="00FB0ADF" w:rsidRDefault="00FB0ADF" w:rsidP="00FB0ADF">
            <w:pPr>
              <w:jc w:val="both"/>
              <w:rPr>
                <w:rFonts w:eastAsia="等线"/>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 F</w:t>
            </w:r>
            <w:r w:rsidRPr="00FB0ADF">
              <w:rPr>
                <w:rFonts w:eastAsia="等线"/>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等线"/>
                <w:bCs/>
                <w:sz w:val="20"/>
                <w:szCs w:val="20"/>
                <w:lang w:val="en-GB" w:eastAsia="zh-CN"/>
              </w:rPr>
              <w:t xml:space="preserve"> and frequency offset reporting </w:t>
            </w:r>
            <w:proofErr w:type="spellStart"/>
            <w:r w:rsidRPr="00FB0ADF">
              <w:rPr>
                <w:rFonts w:eastAsia="等线"/>
                <w:bCs/>
                <w:sz w:val="20"/>
                <w:szCs w:val="20"/>
                <w:lang w:val="en-GB" w:eastAsia="zh-CN"/>
              </w:rPr>
              <w:t>FO</w:t>
            </w:r>
            <w:r w:rsidRPr="00FB0ADF">
              <w:rPr>
                <w:rFonts w:eastAsia="等线"/>
                <w:bCs/>
                <w:sz w:val="20"/>
                <w:szCs w:val="20"/>
                <w:vertAlign w:val="subscript"/>
                <w:lang w:val="en-GB" w:eastAsia="zh-CN"/>
              </w:rPr>
              <w:t>n</w:t>
            </w:r>
            <w:proofErr w:type="spellEnd"/>
            <w:r w:rsidRPr="00FB0ADF">
              <w:rPr>
                <w:rFonts w:eastAsia="等线"/>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等线"/>
                <w:bCs/>
                <w:color w:val="FF0000"/>
                <w:sz w:val="20"/>
                <w:szCs w:val="20"/>
                <w:lang w:eastAsia="zh-CN"/>
              </w:rPr>
            </w:pPr>
            <w:r w:rsidRPr="00FB0ADF">
              <w:rPr>
                <w:rFonts w:eastAsia="等线"/>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等线"/>
                <w:bCs/>
                <w:color w:val="FF0000"/>
                <w:sz w:val="20"/>
                <w:szCs w:val="20"/>
                <w:lang w:eastAsia="zh-CN"/>
              </w:rPr>
              <w:t>E</w:t>
            </w:r>
            <w:r w:rsidRPr="00FB0ADF">
              <w:rPr>
                <w:rFonts w:eastAsia="等线"/>
                <w:bCs/>
                <w:color w:val="FF0000"/>
                <w:sz w:val="20"/>
                <w:szCs w:val="20"/>
                <w:lang w:eastAsia="zh-CN"/>
              </w:rPr>
              <w:t xml:space="preserve">veryone agrees that having a single unit is preferred, but cannot agree on which unit </w:t>
            </w:r>
            <w:r w:rsidRPr="00FB0ADF">
              <w:rPr>
                <mc:AlternateContent>
                  <mc:Choice Requires="w16se">
                    <w:rFonts w:eastAsia="等线"/>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9BD7A2"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9BD7A2"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9BD7A2"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3203A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lastRenderedPageBreak/>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3203A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3203A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 xml:space="preserve">FFS: Whether the sub-band size is NW-configured via higher-layer (RRC) </w:t>
            </w:r>
            <w:proofErr w:type="spellStart"/>
            <w:r w:rsidRPr="008E2094">
              <w:rPr>
                <w:rFonts w:eastAsia="宋体"/>
                <w:sz w:val="20"/>
                <w:szCs w:val="20"/>
              </w:rPr>
              <w:t>signalling</w:t>
            </w:r>
            <w:proofErr w:type="spellEnd"/>
            <w:r w:rsidRPr="008E2094">
              <w:rPr>
                <w:rFonts w:eastAsia="宋体"/>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7777777" w:rsidR="00FB0ADF" w:rsidRPr="008E2094" w:rsidRDefault="003203A3"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proofErr w:type="gramStart"/>
            <w:r w:rsidRPr="008E2094">
              <w:rPr>
                <w:rFonts w:eastAsia="宋体"/>
                <w:sz w:val="20"/>
                <w:szCs w:val="20"/>
                <w:vertAlign w:val="subscript"/>
              </w:rPr>
              <w:t>n,</w:t>
            </w:r>
            <w:r w:rsidRPr="006479CF">
              <w:rPr>
                <w:rFonts w:eastAsia="宋体"/>
                <w:sz w:val="20"/>
                <w:szCs w:val="20"/>
                <w:vertAlign w:val="subscript"/>
              </w:rPr>
              <w:t>NSB</w:t>
            </w:r>
            <w:proofErr w:type="spellEnd"/>
            <w:proofErr w:type="gram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 xml:space="preserve">follows the previously agreed alphabet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等线"/>
                <w:bCs/>
                <w:sz w:val="20"/>
                <w:szCs w:val="20"/>
                <w:lang w:eastAsia="zh-CN"/>
              </w:rPr>
            </w:pPr>
          </w:p>
          <w:p w14:paraId="38B976E6" w14:textId="77777777" w:rsidR="00FB0ADF" w:rsidRDefault="00FB0ADF" w:rsidP="00FB0ADF">
            <w:pPr>
              <w:jc w:val="both"/>
              <w:rPr>
                <w:rFonts w:eastAsia="等线"/>
                <w:bCs/>
                <w:sz w:val="20"/>
                <w:szCs w:val="20"/>
                <w:lang w:eastAsia="zh-CN"/>
              </w:rPr>
            </w:pPr>
          </w:p>
          <w:p w14:paraId="3E1338E9" w14:textId="77777777" w:rsidR="00FB0ADF" w:rsidRDefault="00FB0ADF" w:rsidP="00FB0ADF">
            <w:pPr>
              <w:rPr>
                <w:rFonts w:eastAsia="等线"/>
                <w:bCs/>
                <w:color w:val="3333FF"/>
                <w:sz w:val="18"/>
                <w:szCs w:val="20"/>
                <w:lang w:eastAsia="zh-CN"/>
              </w:rPr>
            </w:pPr>
            <w:r w:rsidRPr="00980B67">
              <w:rPr>
                <w:rFonts w:eastAsia="等线"/>
                <w:b/>
                <w:bCs/>
                <w:color w:val="3333FF"/>
                <w:sz w:val="18"/>
                <w:szCs w:val="20"/>
                <w:u w:val="single"/>
                <w:lang w:eastAsia="zh-CN"/>
              </w:rPr>
              <w:t>FL assessment</w:t>
            </w:r>
            <w:r w:rsidRPr="00980B67">
              <w:rPr>
                <w:rFonts w:eastAsia="等线"/>
                <w:bCs/>
                <w:color w:val="3333FF"/>
                <w:sz w:val="18"/>
                <w:szCs w:val="20"/>
                <w:lang w:eastAsia="zh-CN"/>
              </w:rPr>
              <w:t xml:space="preserve">: Based on the arguments from proponents, </w:t>
            </w:r>
          </w:p>
          <w:p w14:paraId="027B16F1" w14:textId="77777777" w:rsidR="00FB0ADF" w:rsidRDefault="00FB0ADF" w:rsidP="00FB0ADF">
            <w:pPr>
              <w:rPr>
                <w:rFonts w:eastAsia="等线"/>
                <w:bCs/>
                <w:color w:val="3333FF"/>
                <w:sz w:val="18"/>
                <w:szCs w:val="20"/>
                <w:lang w:eastAsia="zh-CN"/>
              </w:rPr>
            </w:pPr>
            <w:r w:rsidRPr="00980B67">
              <w:rPr>
                <w:rFonts w:eastAsia="等线"/>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等线"/>
                <w:bCs/>
                <w:color w:val="3333FF"/>
                <w:sz w:val="18"/>
                <w:szCs w:val="20"/>
                <w:lang w:eastAsia="zh-CN"/>
              </w:rPr>
            </w:pPr>
            <w:r w:rsidRPr="00980B67">
              <w:rPr>
                <w:rFonts w:eastAsia="等线"/>
                <w:bCs/>
                <w:color w:val="3333FF"/>
                <w:sz w:val="18"/>
                <w:szCs w:val="20"/>
                <w:lang w:eastAsia="zh-CN"/>
              </w:rPr>
              <w:t>O</w:t>
            </w:r>
            <w:r>
              <w:rPr>
                <w:rFonts w:eastAsia="等线"/>
                <w:bCs/>
                <w:color w:val="3333FF"/>
                <w:sz w:val="18"/>
                <w:szCs w:val="20"/>
                <w:lang w:eastAsia="zh-CN"/>
              </w:rPr>
              <w:t>p</w:t>
            </w:r>
            <w:r w:rsidRPr="00980B67">
              <w:rPr>
                <w:rFonts w:eastAsia="等线"/>
                <w:bCs/>
                <w:color w:val="3333FF"/>
                <w:sz w:val="18"/>
                <w:szCs w:val="20"/>
                <w:lang w:eastAsia="zh-CN"/>
              </w:rPr>
              <w:t>t2 is suitable when non-</w:t>
            </w:r>
            <w:proofErr w:type="spellStart"/>
            <w:r w:rsidRPr="00980B67">
              <w:rPr>
                <w:rFonts w:eastAsia="等线"/>
                <w:bCs/>
                <w:color w:val="3333FF"/>
                <w:sz w:val="18"/>
                <w:szCs w:val="20"/>
                <w:lang w:eastAsia="zh-CN"/>
              </w:rPr>
              <w:t>precoded</w:t>
            </w:r>
            <w:proofErr w:type="spellEnd"/>
            <w:r w:rsidRPr="00980B67">
              <w:rPr>
                <w:rFonts w:eastAsia="等线"/>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等线"/>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等线"/>
                <w:b/>
                <w:bCs/>
                <w:sz w:val="20"/>
                <w:szCs w:val="20"/>
                <w:u w:val="single"/>
                <w:lang w:val="en-GB" w:eastAsia="zh-CN"/>
              </w:rPr>
              <w:t>Question 3.C.1</w:t>
            </w:r>
            <w:r w:rsidRPr="004F389B">
              <w:rPr>
                <w:rFonts w:eastAsia="等线"/>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9BD7A2"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9BD7A2"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w:t>
            </w:r>
            <w:proofErr w:type="gramStart"/>
            <w:r w:rsidR="008119D0">
              <w:rPr>
                <w:rFonts w:eastAsia="Batang"/>
                <w:color w:val="3333FF"/>
                <w:sz w:val="18"/>
                <w:szCs w:val="20"/>
                <w:lang w:val="en-GB"/>
              </w:rPr>
              <w:t>3.C.</w:t>
            </w:r>
            <w:proofErr w:type="gramEnd"/>
            <w:r w:rsidR="008119D0">
              <w:rPr>
                <w:rFonts w:eastAsia="Batang"/>
                <w:color w:val="3333FF"/>
                <w:sz w:val="18"/>
                <w:szCs w:val="20"/>
                <w:lang w:val="en-GB"/>
              </w:rPr>
              <w:t>2.</w:t>
            </w:r>
            <w:r>
              <w:rPr>
                <w:rFonts w:eastAsia="Batang"/>
                <w:color w:val="3333FF"/>
                <w:sz w:val="18"/>
                <w:szCs w:val="20"/>
                <w:lang w:val="en-GB"/>
              </w:rPr>
              <w:t xml:space="preserve"> </w:t>
            </w:r>
          </w:p>
          <w:p w14:paraId="0D7ED30E" w14:textId="77777777" w:rsidR="004F389B" w:rsidRPr="00170ACD" w:rsidRDefault="004F389B" w:rsidP="004F389B">
            <w:pPr>
              <w:jc w:val="both"/>
              <w:rPr>
                <w:rFonts w:eastAsia="等线"/>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lastRenderedPageBreak/>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lastRenderedPageBreak/>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3203A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3203A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3203A3"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3203A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3203A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lastRenderedPageBreak/>
              <w:t xml:space="preserve">Support/fine: </w:t>
            </w:r>
            <w:r w:rsidRPr="00CF1EF7">
              <w:rPr>
                <w:sz w:val="18"/>
                <w:szCs w:val="18"/>
                <w:lang w:val="en-GB"/>
              </w:rPr>
              <w:t>vivo, Samsung, Ericsson, Xiaomi, NTT DOCOMO, ZTE, Apple, Intel, Qualcomm, CATT, IDC</w:t>
            </w:r>
            <w:r>
              <w:rPr>
                <w:sz w:val="18"/>
                <w:szCs w:val="18"/>
                <w:lang w:val="en-GB"/>
              </w:rPr>
              <w:t xml:space="preserve">, Intel, </w:t>
            </w:r>
            <w:r>
              <w:rPr>
                <w:sz w:val="18"/>
                <w:szCs w:val="18"/>
                <w:lang w:val="en-GB"/>
              </w:rPr>
              <w:lastRenderedPageBreak/>
              <w:t xml:space="preserve">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lastRenderedPageBreak/>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w:t>
            </w:r>
            <w:r>
              <w:rPr>
                <w:sz w:val="18"/>
                <w:szCs w:val="18"/>
              </w:rPr>
              <w:lastRenderedPageBreak/>
              <w:t>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lastRenderedPageBreak/>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lastRenderedPageBreak/>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w:t>
            </w:r>
            <w:proofErr w:type="gramStart"/>
            <w:r w:rsidRPr="00685EB0">
              <w:rPr>
                <w:rFonts w:ascii="Times" w:eastAsia="Batang" w:hAnsi="Times"/>
                <w:sz w:val="16"/>
                <w:highlight w:val="yellow"/>
                <w:lang w:val="en-GB"/>
              </w:rPr>
              <w:t>sets</w:t>
            </w:r>
            <w:proofErr w:type="gramEnd"/>
            <w:r w:rsidRPr="00685EB0">
              <w:rPr>
                <w:rFonts w:ascii="Times" w:eastAsia="Batang" w:hAnsi="Times"/>
                <w:sz w:val="16"/>
                <w:highlight w:val="yellow"/>
                <w:lang w:val="en-GB"/>
              </w:rPr>
              <w:t xml:space="preserve">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w:t>
            </w:r>
            <w:proofErr w:type="gramStart"/>
            <w:r w:rsidRPr="00685EB0">
              <w:rPr>
                <w:rFonts w:ascii="Times" w:eastAsia="Batang" w:hAnsi="Times"/>
                <w:sz w:val="20"/>
                <w:szCs w:val="20"/>
                <w:lang w:val="en-GB"/>
              </w:rPr>
              <w:t>sets</w:t>
            </w:r>
            <w:proofErr w:type="gramEnd"/>
            <w:r w:rsidRPr="00685EB0">
              <w:rPr>
                <w:rFonts w:ascii="Times" w:eastAsia="Batang" w:hAnsi="Times"/>
                <w:sz w:val="20"/>
                <w:szCs w:val="20"/>
                <w:lang w:val="en-GB"/>
              </w:rPr>
              <w:t xml:space="preserve">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ko-KR"/>
              </w:rPr>
              <w:lastRenderedPageBreak/>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B8E8F23">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ko-KR"/>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d"/>
              <w:numPr>
                <w:ilvl w:val="0"/>
                <w:numId w:val="31"/>
              </w:numPr>
              <w:rPr>
                <w:iCs/>
                <w:sz w:val="16"/>
                <w:szCs w:val="16"/>
                <w:lang w:val="en-GB"/>
              </w:rPr>
            </w:pPr>
            <w:r>
              <w:rPr>
                <w:iCs/>
                <w:sz w:val="16"/>
                <w:szCs w:val="16"/>
                <w:lang w:val="en-GB"/>
              </w:rPr>
              <w:lastRenderedPageBreak/>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06F40C75">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bookmarkStart w:id="8" w:name="_GoBack"/>
            <w:bookmarkEnd w:id="8"/>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9"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3203A3"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3203A3"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3203A3"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3203A3"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3203A3"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3203A3"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3203A3"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3203A3"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3203A3"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3203A3"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3203A3"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3203A3"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3203A3"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3203A3"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3203A3"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3203A3"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3203A3"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3203A3"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3203A3"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3203A3"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3203A3"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3203A3"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3203A3"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3203A3"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3203A3"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3203A3"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3203A3"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3203A3"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3203A3"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9"/>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AB63" w14:textId="77777777" w:rsidR="003203A3" w:rsidRDefault="003203A3" w:rsidP="001E51B2">
      <w:r>
        <w:separator/>
      </w:r>
    </w:p>
  </w:endnote>
  <w:endnote w:type="continuationSeparator" w:id="0">
    <w:p w14:paraId="5875FC9F" w14:textId="77777777" w:rsidR="003203A3" w:rsidRDefault="003203A3"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84E9" w14:textId="77777777" w:rsidR="003203A3" w:rsidRDefault="003203A3" w:rsidP="001E51B2">
      <w:r>
        <w:separator/>
      </w:r>
    </w:p>
  </w:footnote>
  <w:footnote w:type="continuationSeparator" w:id="0">
    <w:p w14:paraId="54F85887" w14:textId="77777777" w:rsidR="003203A3" w:rsidRDefault="003203A3"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3"/>
  </w:num>
  <w:num w:numId="4">
    <w:abstractNumId w:val="32"/>
  </w:num>
  <w:num w:numId="5">
    <w:abstractNumId w:val="40"/>
  </w:num>
  <w:num w:numId="6">
    <w:abstractNumId w:val="20"/>
  </w:num>
  <w:num w:numId="7">
    <w:abstractNumId w:val="25"/>
  </w:num>
  <w:num w:numId="8">
    <w:abstractNumId w:val="28"/>
  </w:num>
  <w:num w:numId="9">
    <w:abstractNumId w:val="31"/>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
  </w:num>
  <w:num w:numId="15">
    <w:abstractNumId w:val="17"/>
  </w:num>
  <w:num w:numId="16">
    <w:abstractNumId w:val="26"/>
  </w:num>
  <w:num w:numId="17">
    <w:abstractNumId w:val="13"/>
  </w:num>
  <w:num w:numId="18">
    <w:abstractNumId w:val="2"/>
  </w:num>
  <w:num w:numId="19">
    <w:abstractNumId w:val="21"/>
  </w:num>
  <w:num w:numId="20">
    <w:abstractNumId w:val="19"/>
  </w:num>
  <w:num w:numId="21">
    <w:abstractNumId w:val="1"/>
  </w:num>
  <w:num w:numId="22">
    <w:abstractNumId w:val="37"/>
  </w:num>
  <w:num w:numId="23">
    <w:abstractNumId w:val="6"/>
  </w:num>
  <w:num w:numId="24">
    <w:abstractNumId w:val="41"/>
  </w:num>
  <w:num w:numId="25">
    <w:abstractNumId w:val="18"/>
  </w:num>
  <w:num w:numId="26">
    <w:abstractNumId w:val="29"/>
  </w:num>
  <w:num w:numId="27">
    <w:abstractNumId w:val="10"/>
  </w:num>
  <w:num w:numId="28">
    <w:abstractNumId w:val="0"/>
  </w:num>
  <w:num w:numId="29">
    <w:abstractNumId w:val="9"/>
  </w:num>
  <w:num w:numId="30">
    <w:abstractNumId w:val="12"/>
  </w:num>
  <w:num w:numId="31">
    <w:abstractNumId w:val="8"/>
  </w:num>
  <w:num w:numId="32">
    <w:abstractNumId w:val="36"/>
  </w:num>
  <w:num w:numId="33">
    <w:abstractNumId w:val="14"/>
  </w:num>
  <w:num w:numId="34">
    <w:abstractNumId w:val="16"/>
  </w:num>
  <w:num w:numId="35">
    <w:abstractNumId w:val="34"/>
  </w:num>
  <w:num w:numId="36">
    <w:abstractNumId w:val="22"/>
  </w:num>
  <w:num w:numId="37">
    <w:abstractNumId w:val="24"/>
  </w:num>
  <w:num w:numId="38">
    <w:abstractNumId w:val="15"/>
  </w:num>
  <w:num w:numId="39">
    <w:abstractNumId w:val="3"/>
  </w:num>
  <w:num w:numId="40">
    <w:abstractNumId w:val="11"/>
  </w:num>
  <w:num w:numId="41">
    <w:abstractNumId w:val="3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cid:image001.png@01DAA8B6.C9E20CC0" TargetMode="External"/><Relationship Id="rId29" Type="http://schemas.openxmlformats.org/officeDocument/2006/relationships/image" Target="media/image9.png"/><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image" Target="media/image12.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5.png"/><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0.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image" Target="media/image13.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webSettings" Target="webSettings.xml"/><Relationship Id="rId31" Type="http://schemas.openxmlformats.org/officeDocument/2006/relationships/image" Target="media/image11.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4.png"/><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zh-CN"/>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55072"/>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zh-CN"/>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71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4.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5.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6.xml><?xml version="1.0" encoding="utf-8"?>
<ds:datastoreItem xmlns:ds="http://schemas.openxmlformats.org/officeDocument/2006/customXml" ds:itemID="{6401C62D-0B79-4B6C-9E54-DB94115ED33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21</Pages>
  <Words>7901</Words>
  <Characters>45037</Characters>
  <Application>Microsoft Office Word</Application>
  <DocSecurity>0</DocSecurity>
  <Lines>375</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eko.o@samsung.com</Manager>
  <Company/>
  <LinksUpToDate>false</LinksUpToDate>
  <CharactersWithSpaces>52833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Wenhong Chen</cp:lastModifiedBy>
  <cp:revision>14</cp:revision>
  <cp:lastPrinted>2021-10-06T09:28:00Z</cp:lastPrinted>
  <dcterms:created xsi:type="dcterms:W3CDTF">2024-05-20T09:14:00Z</dcterms:created>
  <dcterms:modified xsi:type="dcterms:W3CDTF">2024-05-20T12:15:00Z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